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债权申报</w:t>
      </w:r>
      <w:r>
        <w:rPr>
          <w:rFonts w:hint="eastAsia" w:ascii="仿宋" w:hAnsi="仿宋" w:eastAsia="仿宋" w:cs="仿宋"/>
          <w:b/>
          <w:sz w:val="36"/>
          <w:szCs w:val="36"/>
          <w:lang w:eastAsia="zh-Hans"/>
        </w:rPr>
        <w:t>通知</w:t>
      </w:r>
    </w:p>
    <w:p>
      <w:pPr>
        <w:spacing w:line="440" w:lineRule="exact"/>
        <w:jc w:val="center"/>
        <w:rPr>
          <w:rFonts w:hint="eastAsia" w:ascii="仿宋" w:hAnsi="仿宋" w:eastAsia="仿宋" w:cs="仿宋"/>
          <w:b/>
          <w:szCs w:val="21"/>
        </w:rPr>
      </w:pPr>
    </w:p>
    <w:p>
      <w:pPr>
        <w:spacing w:before="156" w:beforeLines="50" w:after="156" w:afterLines="50" w:line="300" w:lineRule="exact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尊敬的债权人：</w:t>
      </w:r>
    </w:p>
    <w:p>
      <w:p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</w:rPr>
        <w:t>天津市第二中级人民法院于2022年1</w:t>
      </w:r>
      <w:r>
        <w:rPr>
          <w:rFonts w:hint="default" w:ascii="仿宋" w:hAnsi="仿宋" w:eastAsia="仿宋" w:cs="仿宋"/>
          <w:sz w:val="28"/>
          <w:szCs w:val="28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default" w:ascii="仿宋" w:hAnsi="仿宋" w:eastAsia="仿宋" w:cs="仿宋"/>
          <w:sz w:val="28"/>
          <w:szCs w:val="28"/>
        </w:rPr>
        <w:t>27</w:t>
      </w:r>
      <w:r>
        <w:rPr>
          <w:rFonts w:hint="eastAsia" w:ascii="仿宋" w:hAnsi="仿宋" w:eastAsia="仿宋" w:cs="仿宋"/>
          <w:sz w:val="28"/>
          <w:szCs w:val="28"/>
        </w:rPr>
        <w:t>日作出（2022）津02破申</w:t>
      </w:r>
      <w:r>
        <w:rPr>
          <w:rFonts w:hint="default" w:ascii="仿宋" w:hAnsi="仿宋" w:eastAsia="仿宋" w:cs="仿宋"/>
          <w:sz w:val="28"/>
          <w:szCs w:val="28"/>
        </w:rPr>
        <w:t>128</w:t>
      </w:r>
      <w:r>
        <w:rPr>
          <w:rFonts w:hint="eastAsia" w:ascii="仿宋" w:hAnsi="仿宋" w:eastAsia="仿宋" w:cs="仿宋"/>
          <w:sz w:val="28"/>
          <w:szCs w:val="28"/>
        </w:rPr>
        <w:t>号《民事裁定书》，裁定受理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天津市银泰客车桥有限</w:t>
      </w:r>
      <w:r>
        <w:rPr>
          <w:rFonts w:hint="eastAsia" w:ascii="仿宋" w:hAnsi="仿宋" w:eastAsia="仿宋" w:cs="仿宋"/>
          <w:sz w:val="28"/>
          <w:szCs w:val="28"/>
        </w:rPr>
        <w:t>公司破产清算申请，并于2022年</w:t>
      </w:r>
      <w:r>
        <w:rPr>
          <w:rFonts w:hint="default" w:ascii="仿宋" w:hAnsi="仿宋" w:eastAsia="仿宋" w:cs="仿宋"/>
          <w:sz w:val="28"/>
          <w:szCs w:val="28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月1</w:t>
      </w:r>
      <w:r>
        <w:rPr>
          <w:rFonts w:hint="default" w:ascii="仿宋" w:hAnsi="仿宋" w:eastAsia="仿宋" w:cs="仿宋"/>
          <w:sz w:val="28"/>
          <w:szCs w:val="28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日作出（2022）津02破</w:t>
      </w:r>
      <w:r>
        <w:rPr>
          <w:rFonts w:hint="default" w:ascii="仿宋" w:hAnsi="仿宋" w:eastAsia="仿宋" w:cs="仿宋"/>
          <w:sz w:val="28"/>
          <w:szCs w:val="28"/>
        </w:rPr>
        <w:t>50</w:t>
      </w:r>
      <w:r>
        <w:rPr>
          <w:rFonts w:hint="eastAsia" w:ascii="仿宋" w:hAnsi="仿宋" w:eastAsia="仿宋" w:cs="仿宋"/>
          <w:sz w:val="28"/>
          <w:szCs w:val="28"/>
        </w:rPr>
        <w:t>号《决定书》，指定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天津凌宇律师事务所</w:t>
      </w:r>
      <w:r>
        <w:rPr>
          <w:rFonts w:hint="eastAsia" w:ascii="仿宋" w:hAnsi="仿宋" w:eastAsia="仿宋" w:cs="仿宋"/>
          <w:sz w:val="28"/>
          <w:szCs w:val="28"/>
        </w:rPr>
        <w:t>担任管理人。</w:t>
      </w:r>
    </w:p>
    <w:p>
      <w:p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管理人依法负责债权登记、审查工作。现就有关事项通知如下：</w:t>
      </w:r>
    </w:p>
    <w:p>
      <w:pPr>
        <w:pStyle w:val="11"/>
        <w:spacing w:before="156" w:beforeLines="50" w:after="156" w:afterLines="50" w:line="300" w:lineRule="exact"/>
        <w:ind w:firstLine="48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default" w:ascii="仿宋" w:hAnsi="仿宋" w:eastAsia="仿宋" w:cs="仿宋"/>
          <w:sz w:val="28"/>
          <w:szCs w:val="28"/>
          <w:lang w:eastAsia="zh-CN"/>
        </w:rPr>
        <w:t>天津市银泰客车桥有限公司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第一次债权人会议定于2023年2月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14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日9时在天津市第二中级人民法院召开，</w:t>
      </w:r>
      <w:r>
        <w:rPr>
          <w:rFonts w:hint="eastAsia" w:ascii="仿宋" w:hAnsi="仿宋" w:eastAsia="仿宋" w:cs="仿宋"/>
          <w:sz w:val="28"/>
          <w:szCs w:val="28"/>
        </w:rPr>
        <w:t>债权人应于202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年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月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31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前，向管理人申报债权，对债权数额和有无财产担保等情况应提交有关证明材料。逾期申报的，可以在清算财产最后分配前补充申报，但此前已进行的分配部分，不再补充分配。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为审查和确认补充申报债权产生的费用，由补充申报人承担，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管理人依照最高人民法院《诉讼费用交纳办法》标准收取，若补充申报债权人拒不承担审查及确认补充申报债权产生的费用，管理人有理由拒绝审核，由此造成的损失由债权人自行承担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。</w:t>
      </w:r>
    </w:p>
    <w:p>
      <w:p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为明确债权人及利害关系人在债权申报阶段之权利义务，特告知如下几点：</w:t>
      </w:r>
    </w:p>
    <w:p>
      <w:pPr>
        <w:numPr>
          <w:ilvl w:val="0"/>
          <w:numId w:val="1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天津市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第二中级人民</w:t>
      </w:r>
      <w:r>
        <w:rPr>
          <w:rFonts w:hint="eastAsia" w:ascii="仿宋" w:hAnsi="仿宋" w:eastAsia="仿宋" w:cs="仿宋"/>
          <w:sz w:val="28"/>
          <w:szCs w:val="28"/>
        </w:rPr>
        <w:t>法院在《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人民法院报</w:t>
      </w:r>
      <w:r>
        <w:rPr>
          <w:rFonts w:hint="eastAsia" w:ascii="仿宋" w:hAnsi="仿宋" w:eastAsia="仿宋" w:cs="仿宋"/>
          <w:sz w:val="28"/>
          <w:szCs w:val="28"/>
        </w:rPr>
        <w:t>》和《破产重整网》上发布了“受理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天津市银泰客车桥有限公司</w:t>
      </w:r>
      <w:r>
        <w:rPr>
          <w:rFonts w:hint="eastAsia" w:ascii="仿宋" w:hAnsi="仿宋" w:eastAsia="仿宋" w:cs="仿宋"/>
          <w:sz w:val="28"/>
          <w:szCs w:val="28"/>
        </w:rPr>
        <w:t>破产清算”的通知和公告。为保障债权人权益，债权人应于202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31</w:t>
      </w:r>
      <w:r>
        <w:rPr>
          <w:rFonts w:hint="eastAsia" w:ascii="仿宋" w:hAnsi="仿宋" w:eastAsia="仿宋" w:cs="仿宋"/>
          <w:sz w:val="28"/>
          <w:szCs w:val="28"/>
        </w:rPr>
        <w:t>日前向管理人申报债权。</w:t>
      </w:r>
    </w:p>
    <w:p>
      <w:pPr>
        <w:numPr>
          <w:ilvl w:val="0"/>
          <w:numId w:val="1"/>
        </w:num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根据《企业破产法》规定的破产债权是指人民法院受理破产申请时对债务人享有的债权。债权人在申报债权时应当注意以下几点：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未到期的债权，在破产申请受理时视为到期；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附利息的债权，自破产申请受理时停止计息；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附条件、附期限的债权和诉讼，仲裁未决的债权，债权人可以申报；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债权人申报债权时，应当书面说明债权的数额和有无财产担保情况，并提交相关证据，申报的债权为连带债权的，应当说明；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连带债权人可以由其中一人代表全体连带债权人申报债权，也可以共同申报债权；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债务人的保证人或者其他连带债务人已经代替债务人清偿债务的，可就其债务人的将来求偿权申报债权；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债务人的保证人或者其他连带债务人尚未代替债务人清偿债务的，以其对债务人的将来求偿权申报债权的，但债权人已经向管理人申报全部债权的除外；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管理人或者债务人依照《企业破产法》规定解除合同的，对方当事人以因合同解除所产生的损害赔偿请求权申报债权；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债务人是委托合同的委托人，被裁定适用《企业破产法》规定的程序，受托人不知该事实继续处理委托事务的，受托人以由此产生的请求权申报债权；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债务人是票据的出票人，被裁定适用《企业破产法》规定的程序，该票据的付款人继续付款或承兑的，付款人以由此产生的请求权申报债权；</w:t>
      </w:r>
    </w:p>
    <w:p>
      <w:pPr>
        <w:numPr>
          <w:ilvl w:val="0"/>
          <w:numId w:val="2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法律规定其他可以申报的债权，债权人应当予以申报。</w:t>
      </w:r>
    </w:p>
    <w:p>
      <w:pPr>
        <w:numPr>
          <w:ilvl w:val="0"/>
          <w:numId w:val="3"/>
        </w:num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根据《企业破产法》规定，未申报债权或者逾期申报债权的法律后果主要包括：</w:t>
      </w:r>
    </w:p>
    <w:p>
      <w:pPr>
        <w:numPr>
          <w:ilvl w:val="0"/>
          <w:numId w:val="4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债权人未申报债权，不得依照《企业破产法》规定的程序行使权利；</w:t>
      </w:r>
    </w:p>
    <w:p>
      <w:pPr>
        <w:numPr>
          <w:ilvl w:val="0"/>
          <w:numId w:val="4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债权人未按期申报，已分配的财产不对其进行补充分配。即使在破产财产最后分配前补充申报，此前已进行的分配仍不再补充分配，且债权人还应该承担因审查、确认补充债权所产生的相关费用；</w:t>
      </w:r>
    </w:p>
    <w:p>
      <w:pPr>
        <w:numPr>
          <w:ilvl w:val="0"/>
          <w:numId w:val="4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如债权人进行重整程序，债权人未按期申报债权，在重整计划执行期间债权人不得行使权利；在重整计划执行完毕之后，债权人可以按照重整计划规定的同类债权的清偿条件行使权利；</w:t>
      </w:r>
    </w:p>
    <w:p>
      <w:pPr>
        <w:numPr>
          <w:ilvl w:val="0"/>
          <w:numId w:val="4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如债务人进入破产和解程序，债权人未按期申报债权，在和解协议计划执行期间债权人不得行使权利；债权人在和解协议执行完毕后，可以按照和解协议规定的清偿条件行使权利。</w:t>
      </w:r>
    </w:p>
    <w:p>
      <w:pPr>
        <w:numPr>
          <w:ilvl w:val="0"/>
          <w:numId w:val="5"/>
        </w:numPr>
        <w:spacing w:before="156" w:beforeLines="50" w:after="156" w:afterLines="50" w:line="300" w:lineRule="exact"/>
        <w:ind w:firstLine="56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申报人应当如实、详细填写《债权申报表》以及提供完整、真实有效的申报材料。申报债权提供如下材料（一式两份）：</w:t>
      </w:r>
    </w:p>
    <w:p>
      <w:pPr>
        <w:numPr>
          <w:ilvl w:val="0"/>
          <w:numId w:val="6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《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债权人承诺性文件》、</w:t>
      </w:r>
      <w:r>
        <w:rPr>
          <w:rFonts w:hint="eastAsia" w:ascii="仿宋" w:hAnsi="仿宋" w:eastAsia="仿宋" w:cs="仿宋"/>
          <w:sz w:val="28"/>
          <w:szCs w:val="28"/>
        </w:rPr>
        <w:t>《债权申报文件清单》、《债权申报表》、《债权人送达地址确认书》；</w:t>
      </w:r>
    </w:p>
    <w:p>
      <w:pPr>
        <w:numPr>
          <w:ilvl w:val="0"/>
          <w:numId w:val="6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为企业的，应提供已年检的营业执照复印件（加盖公章）、组织机构代码证复印件（加盖公章）、法定代表人身份证明书（原件）、法定代表人身份证复印件（签字确认）；债权人为个人的，应提供个人身份证明（复印件签字确认）；委托代理人申报的，需提交授权委托书（原件）以及代理人身份证明（复印件签字确认）；委托代理人是律师的，还应提交律师事务所指派函及律师执业证复印件；</w:t>
      </w:r>
    </w:p>
    <w:p>
      <w:pPr>
        <w:numPr>
          <w:ilvl w:val="0"/>
          <w:numId w:val="6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证明债权事实的相关证据材料，申报人应当以与证据原件核对无误的复印件申报，证据材料应当附证据清单（进入司法程序或仲裁程序的，同时提交司法部门或仲裁机构出具的相关法律文书）</w:t>
      </w:r>
    </w:p>
    <w:p>
      <w:pPr>
        <w:numPr>
          <w:ilvl w:val="0"/>
          <w:numId w:val="7"/>
        </w:numPr>
        <w:spacing w:before="156" w:beforeLines="50" w:after="156" w:afterLines="50" w:line="300" w:lineRule="exact"/>
        <w:ind w:firstLine="56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填写表格需要注意的问题：</w:t>
      </w:r>
    </w:p>
    <w:p>
      <w:pPr>
        <w:numPr>
          <w:ilvl w:val="0"/>
          <w:numId w:val="8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债权申报金额：必须确定（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Hans"/>
        </w:rPr>
        <w:t>同一家企业依据债权性质分类申报，债权总额以各性质债权合计为准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），外币必须转换成人民币计值，汇率以裁定日期人民银行公布的市场交易中间价为准（并提交银行出具的汇率证明）。</w:t>
      </w:r>
    </w:p>
    <w:p>
      <w:pPr>
        <w:numPr>
          <w:ilvl w:val="0"/>
          <w:numId w:val="8"/>
        </w:num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利息债权：截止到裁定日期。</w:t>
      </w:r>
    </w:p>
    <w:p>
      <w:pPr>
        <w:numPr>
          <w:ilvl w:val="0"/>
          <w:numId w:val="8"/>
        </w:num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基本事项：简要陈述债权的形成经过，另外对已开票金额和应开票金额写清楚，若涉及到合同关系，则该合同是否已经履行完毕要填写清楚。</w:t>
      </w:r>
    </w:p>
    <w:p>
      <w:pPr>
        <w:numPr>
          <w:ilvl w:val="0"/>
          <w:numId w:val="9"/>
        </w:num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申报方式</w:t>
      </w:r>
    </w:p>
    <w:p>
      <w:p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须</w:t>
      </w:r>
      <w:r>
        <w:rPr>
          <w:rFonts w:hint="eastAsia" w:ascii="仿宋" w:hAnsi="仿宋" w:eastAsia="仿宋" w:cs="仿宋"/>
          <w:sz w:val="28"/>
          <w:szCs w:val="28"/>
        </w:rPr>
        <w:t>通过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线上或线下</w:t>
      </w:r>
      <w:r>
        <w:rPr>
          <w:rFonts w:hint="eastAsia" w:ascii="仿宋" w:hAnsi="仿宋" w:eastAsia="仿宋" w:cs="仿宋"/>
          <w:sz w:val="28"/>
          <w:szCs w:val="28"/>
        </w:rPr>
        <w:t>递交材料的方式向管理人申报债权，以上申报方式具有同等法律效力。</w:t>
      </w:r>
    </w:p>
    <w:p>
      <w:pPr>
        <w:tabs>
          <w:tab w:val="left" w:pos="420"/>
        </w:tabs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考虑到防控新型冠状病毒肺炎疫情的需要，为降低债权人申报债 权的时间及人力成本，管理人建议、鼓励债权人优先通过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线上</w:t>
      </w:r>
      <w:r>
        <w:rPr>
          <w:rFonts w:hint="eastAsia" w:ascii="仿宋" w:hAnsi="仿宋" w:eastAsia="仿宋" w:cs="仿宋"/>
          <w:sz w:val="28"/>
          <w:szCs w:val="28"/>
        </w:rPr>
        <w:t>方式申报债权，尽量避免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线下</w:t>
      </w:r>
      <w:r>
        <w:rPr>
          <w:rFonts w:hint="eastAsia" w:ascii="仿宋" w:hAnsi="仿宋" w:eastAsia="仿宋" w:cs="仿宋"/>
          <w:sz w:val="28"/>
          <w:szCs w:val="28"/>
        </w:rPr>
        <w:t>申报债权，管理人也将优先处理通过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线上</w:t>
      </w:r>
      <w:r>
        <w:rPr>
          <w:rFonts w:hint="eastAsia" w:ascii="仿宋" w:hAnsi="仿宋" w:eastAsia="仿宋" w:cs="仿宋"/>
          <w:sz w:val="28"/>
          <w:szCs w:val="28"/>
        </w:rPr>
        <w:t>方式申报的债权。申报方式具体如下：</w:t>
      </w:r>
    </w:p>
    <w:p>
      <w:p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线上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</w:t>
      </w:r>
    </w:p>
    <w:p>
      <w:p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债权人可登录网络申报系统，根据网络申报系统的流程和指引， 依次进行主体资格认证、债权申报信息填列、上传证据材料等步骤后完成债权申报。债权申报完成后需点击提交。系统支持查看已提交的债权申报信息。</w:t>
      </w:r>
    </w:p>
    <w:p>
      <w:p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申报网站：https://loms.shanyunce.com</w:t>
      </w:r>
    </w:p>
    <w:p>
      <w:p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联 系 人：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王欣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律师</w:t>
      </w:r>
    </w:p>
    <w:p>
      <w:pPr>
        <w:spacing w:before="156" w:beforeLines="50" w:after="156" w:afterLines="50" w:line="300" w:lineRule="exact"/>
        <w:ind w:firstLine="562" w:firstLineChars="200"/>
        <w:rPr>
          <w:rFonts w:hint="default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电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ab/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话：</w:t>
      </w:r>
      <w:r>
        <w:rPr>
          <w:rFonts w:hint="default" w:ascii="仿宋" w:hAnsi="仿宋" w:eastAsia="仿宋" w:cs="仿宋"/>
          <w:b/>
          <w:bCs/>
          <w:sz w:val="28"/>
          <w:szCs w:val="28"/>
          <w:lang w:eastAsia="zh-CN"/>
        </w:rPr>
        <w:t>15022218952</w:t>
      </w:r>
    </w:p>
    <w:p>
      <w:p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债权人可在登录网络申报系统后观看网站的操作指引讲解视频。如在网络申报系统使用过程中有任何疑问的，可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通过扫描下方二维码的方式在线</w:t>
      </w:r>
      <w:r>
        <w:rPr>
          <w:rFonts w:hint="eastAsia" w:ascii="仿宋" w:hAnsi="仿宋" w:eastAsia="仿宋" w:cs="仿宋"/>
          <w:sz w:val="28"/>
          <w:szCs w:val="28"/>
        </w:rPr>
        <w:t>联系网站的技术支持人员。</w:t>
      </w:r>
    </w:p>
    <w:p>
      <w:p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1207770</wp:posOffset>
            </wp:positionH>
            <wp:positionV relativeFrom="paragraph">
              <wp:posOffset>55880</wp:posOffset>
            </wp:positionV>
            <wp:extent cx="3091815" cy="3091815"/>
            <wp:effectExtent l="0" t="0" r="6985" b="6985"/>
            <wp:wrapTopAndBottom/>
            <wp:docPr id="2" name="图片 2" descr="ac797b3c5887e3b115ec34544364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c797b3c5887e3b115ec345443643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91815" cy="309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线下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</w:t>
      </w:r>
    </w:p>
    <w:p>
      <w:pPr>
        <w:spacing w:before="156" w:beforeLines="50" w:after="156" w:afterLines="50" w:line="3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债权人可到管理人办公地点现场提交债权申报材料，申报时间地点为：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时间：工作日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: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-11:30，14:00-17:30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地址：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天津市河西区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黑牛城道与内江路交口中海大厦</w:t>
      </w:r>
      <w:r>
        <w:rPr>
          <w:rFonts w:hint="default" w:ascii="仿宋" w:hAnsi="仿宋" w:eastAsia="仿宋" w:cs="仿宋"/>
          <w:b/>
          <w:bCs/>
          <w:sz w:val="28"/>
          <w:szCs w:val="28"/>
          <w:lang w:eastAsia="zh-Hans"/>
        </w:rPr>
        <w:t>1511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天津凌宇律师事务所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联 系 人：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王欣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562" w:firstLineChars="200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电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ab/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话：</w:t>
      </w:r>
      <w:r>
        <w:rPr>
          <w:rFonts w:hint="default" w:ascii="仿宋" w:hAnsi="仿宋" w:eastAsia="仿宋" w:cs="仿宋"/>
          <w:b/>
          <w:bCs/>
          <w:sz w:val="28"/>
          <w:szCs w:val="28"/>
          <w:lang w:eastAsia="zh-CN"/>
        </w:rPr>
        <w:t>15022218952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申报人应当严格遵守申报程序，服从管理人工作人员安排，有序申报，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特此通知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。</w:t>
      </w:r>
    </w:p>
    <w:p>
      <w:p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before="156" w:beforeLines="50" w:after="156" w:afterLines="50" w:line="3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before="156" w:beforeLines="50" w:after="156" w:afterLines="50" w:line="300" w:lineRule="exact"/>
        <w:ind w:firstLine="562" w:firstLineChars="200"/>
        <w:jc w:val="right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eastAsia="zh-CN"/>
        </w:rPr>
        <w:t>天津市银泰客车桥有限公司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管理人</w:t>
      </w:r>
    </w:p>
    <w:p>
      <w:pPr>
        <w:spacing w:before="156" w:beforeLines="50" w:after="156" w:afterLines="50" w:line="300" w:lineRule="exact"/>
        <w:ind w:firstLine="562" w:firstLineChars="200"/>
        <w:jc w:val="right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202</w:t>
      </w:r>
      <w:r>
        <w:rPr>
          <w:rFonts w:hint="default" w:ascii="仿宋" w:hAnsi="仿宋" w:eastAsia="仿宋" w:cs="仿宋"/>
          <w:b/>
          <w:bCs/>
          <w:sz w:val="28"/>
          <w:szCs w:val="28"/>
          <w:lang w:eastAsia="zh-Hans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年</w:t>
      </w:r>
      <w:r>
        <w:rPr>
          <w:rFonts w:hint="default" w:ascii="仿宋" w:hAnsi="仿宋" w:eastAsia="仿宋" w:cs="仿宋"/>
          <w:b/>
          <w:bCs/>
          <w:sz w:val="28"/>
          <w:szCs w:val="28"/>
          <w:lang w:eastAsia="zh-CN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月</w:t>
      </w:r>
      <w:r>
        <w:rPr>
          <w:rFonts w:hint="default" w:ascii="仿宋" w:hAnsi="仿宋" w:eastAsia="仿宋" w:cs="仿宋"/>
          <w:b/>
          <w:bCs/>
          <w:sz w:val="28"/>
          <w:szCs w:val="28"/>
          <w:lang w:eastAsia="zh-CN"/>
        </w:rPr>
        <w:t>4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日</w:t>
      </w:r>
    </w:p>
    <w:p>
      <w:pPr>
        <w:spacing w:before="156" w:beforeLines="50" w:after="156" w:afterLines="50" w:line="300" w:lineRule="exact"/>
        <w:ind w:firstLine="562" w:firstLineChars="200"/>
        <w:jc w:val="right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</w:p>
    <w:p>
      <w:pPr>
        <w:spacing w:before="156" w:beforeLines="50" w:after="156" w:afterLines="50" w:line="300" w:lineRule="exact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附：</w:t>
      </w:r>
    </w:p>
    <w:p>
      <w:pPr>
        <w:spacing w:before="156" w:beforeLines="50" w:after="156" w:afterLines="50" w:line="3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天津市第二中级人民法院</w:t>
      </w:r>
      <w:r>
        <w:rPr>
          <w:rFonts w:hint="eastAsia" w:ascii="仿宋" w:hAnsi="仿宋" w:eastAsia="仿宋" w:cs="仿宋"/>
          <w:sz w:val="28"/>
          <w:szCs w:val="28"/>
        </w:rPr>
        <w:t>（202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）津02破申</w:t>
      </w:r>
      <w:r>
        <w:rPr>
          <w:rFonts w:hint="default" w:ascii="仿宋" w:hAnsi="仿宋" w:eastAsia="仿宋" w:cs="仿宋"/>
          <w:sz w:val="28"/>
          <w:szCs w:val="28"/>
        </w:rPr>
        <w:t>128</w:t>
      </w:r>
      <w:r>
        <w:rPr>
          <w:rFonts w:hint="eastAsia" w:ascii="仿宋" w:hAnsi="仿宋" w:eastAsia="仿宋" w:cs="仿宋"/>
          <w:sz w:val="28"/>
          <w:szCs w:val="28"/>
        </w:rPr>
        <w:t>号《民事裁定书》</w:t>
      </w:r>
    </w:p>
    <w:p>
      <w:pPr>
        <w:spacing w:before="156" w:beforeLines="50" w:after="156" w:afterLines="50" w:line="3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天津市第二中级人民法院</w:t>
      </w:r>
      <w:r>
        <w:rPr>
          <w:rFonts w:hint="eastAsia" w:ascii="仿宋" w:hAnsi="仿宋" w:eastAsia="仿宋" w:cs="仿宋"/>
          <w:sz w:val="28"/>
          <w:szCs w:val="28"/>
        </w:rPr>
        <w:t>（202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）津02破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号《决定书》</w:t>
      </w:r>
    </w:p>
    <w:p>
      <w:pPr>
        <w:spacing w:before="156" w:beforeLines="50" w:after="156" w:afterLines="50" w:line="300" w:lineRule="exact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3.天津市第二中级人民法院</w:t>
      </w:r>
      <w:r>
        <w:rPr>
          <w:rFonts w:hint="eastAsia" w:ascii="仿宋" w:hAnsi="仿宋" w:eastAsia="仿宋" w:cs="仿宋"/>
          <w:sz w:val="28"/>
          <w:szCs w:val="28"/>
        </w:rPr>
        <w:t>（202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）津02破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号《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公告</w:t>
      </w:r>
      <w:r>
        <w:rPr>
          <w:rFonts w:hint="eastAsia" w:ascii="仿宋" w:hAnsi="仿宋" w:eastAsia="仿宋" w:cs="仿宋"/>
          <w:sz w:val="28"/>
          <w:szCs w:val="28"/>
        </w:rPr>
        <w:t>》</w:t>
      </w:r>
    </w:p>
    <w:p>
      <w:pPr>
        <w:spacing w:before="156" w:beforeLines="50" w:after="156" w:afterLines="50" w:line="300" w:lineRule="exact"/>
        <w:ind w:firstLine="560" w:firstLineChars="2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.线上债权申报操作指引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详见网址注册页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。</w:t>
      </w:r>
    </w:p>
    <w:sectPr>
      <w:footerReference r:id="rId3" w:type="default"/>
      <w:pgSz w:w="11900" w:h="16840"/>
      <w:pgMar w:top="1440" w:right="1127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FD7491"/>
    <w:multiLevelType w:val="singleLevel"/>
    <w:tmpl w:val="60FD7491"/>
    <w:lvl w:ilvl="0" w:tentative="0">
      <w:start w:val="6"/>
      <w:numFmt w:val="chineseCounting"/>
      <w:suff w:val="nothing"/>
      <w:lvlText w:val="%1、"/>
      <w:lvlJc w:val="left"/>
    </w:lvl>
  </w:abstractNum>
  <w:abstractNum w:abstractNumId="1">
    <w:nsid w:val="612E09A8"/>
    <w:multiLevelType w:val="singleLevel"/>
    <w:tmpl w:val="612E09A8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12E2F10"/>
    <w:multiLevelType w:val="singleLevel"/>
    <w:tmpl w:val="612E2F10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612E2F4C"/>
    <w:multiLevelType w:val="singleLevel"/>
    <w:tmpl w:val="612E2F4C"/>
    <w:lvl w:ilvl="0" w:tentative="0">
      <w:start w:val="3"/>
      <w:numFmt w:val="chineseCounting"/>
      <w:suff w:val="nothing"/>
      <w:lvlText w:val="%1、"/>
      <w:lvlJc w:val="left"/>
    </w:lvl>
  </w:abstractNum>
  <w:abstractNum w:abstractNumId="4">
    <w:nsid w:val="612E2F60"/>
    <w:multiLevelType w:val="singleLevel"/>
    <w:tmpl w:val="612E2F60"/>
    <w:lvl w:ilvl="0" w:tentative="0">
      <w:start w:val="1"/>
      <w:numFmt w:val="decimal"/>
      <w:suff w:val="nothing"/>
      <w:lvlText w:val="%1."/>
      <w:lvlJc w:val="left"/>
    </w:lvl>
  </w:abstractNum>
  <w:abstractNum w:abstractNumId="5">
    <w:nsid w:val="612E2FB8"/>
    <w:multiLevelType w:val="singleLevel"/>
    <w:tmpl w:val="612E2FB8"/>
    <w:lvl w:ilvl="0" w:tentative="0">
      <w:start w:val="4"/>
      <w:numFmt w:val="chineseCounting"/>
      <w:suff w:val="nothing"/>
      <w:lvlText w:val="%1、"/>
      <w:lvlJc w:val="left"/>
    </w:lvl>
  </w:abstractNum>
  <w:abstractNum w:abstractNumId="6">
    <w:nsid w:val="612E2FC9"/>
    <w:multiLevelType w:val="singleLevel"/>
    <w:tmpl w:val="612E2FC9"/>
    <w:lvl w:ilvl="0" w:tentative="0">
      <w:start w:val="1"/>
      <w:numFmt w:val="decimal"/>
      <w:suff w:val="nothing"/>
      <w:lvlText w:val="%1."/>
      <w:lvlJc w:val="left"/>
    </w:lvl>
  </w:abstractNum>
  <w:abstractNum w:abstractNumId="7">
    <w:nsid w:val="612E2FEE"/>
    <w:multiLevelType w:val="singleLevel"/>
    <w:tmpl w:val="612E2FEE"/>
    <w:lvl w:ilvl="0" w:tentative="0">
      <w:start w:val="5"/>
      <w:numFmt w:val="chineseCounting"/>
      <w:suff w:val="nothing"/>
      <w:lvlText w:val="%1、"/>
      <w:lvlJc w:val="left"/>
    </w:lvl>
  </w:abstractNum>
  <w:abstractNum w:abstractNumId="8">
    <w:nsid w:val="612EFB83"/>
    <w:multiLevelType w:val="singleLevel"/>
    <w:tmpl w:val="612EFB8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llN2QyOTJhZGEyYWFlZjkwNWRmMTM3MTU3MjIzYjgifQ=="/>
  </w:docVars>
  <w:rsids>
    <w:rsidRoot w:val="0044003D"/>
    <w:rsid w:val="000662EC"/>
    <w:rsid w:val="00070B51"/>
    <w:rsid w:val="00071D0D"/>
    <w:rsid w:val="000A5082"/>
    <w:rsid w:val="000D1E10"/>
    <w:rsid w:val="001035FF"/>
    <w:rsid w:val="00120222"/>
    <w:rsid w:val="001849DD"/>
    <w:rsid w:val="001A550E"/>
    <w:rsid w:val="001A6552"/>
    <w:rsid w:val="001C6899"/>
    <w:rsid w:val="002D38EF"/>
    <w:rsid w:val="00324A26"/>
    <w:rsid w:val="00382741"/>
    <w:rsid w:val="00396B85"/>
    <w:rsid w:val="003E0AFF"/>
    <w:rsid w:val="0044003D"/>
    <w:rsid w:val="00446660"/>
    <w:rsid w:val="0048011F"/>
    <w:rsid w:val="005C576E"/>
    <w:rsid w:val="00606CC7"/>
    <w:rsid w:val="00702419"/>
    <w:rsid w:val="00715199"/>
    <w:rsid w:val="00742764"/>
    <w:rsid w:val="007B24A2"/>
    <w:rsid w:val="008A4D88"/>
    <w:rsid w:val="009071E5"/>
    <w:rsid w:val="00913BE9"/>
    <w:rsid w:val="00953148"/>
    <w:rsid w:val="0096563D"/>
    <w:rsid w:val="009C4F2D"/>
    <w:rsid w:val="00A062EA"/>
    <w:rsid w:val="00A53168"/>
    <w:rsid w:val="00A90FE2"/>
    <w:rsid w:val="00AA6F1D"/>
    <w:rsid w:val="00AB1FB8"/>
    <w:rsid w:val="00AB7E0B"/>
    <w:rsid w:val="00B039BA"/>
    <w:rsid w:val="00B0796F"/>
    <w:rsid w:val="00B74C06"/>
    <w:rsid w:val="00BA3129"/>
    <w:rsid w:val="00BB2EB6"/>
    <w:rsid w:val="00C56864"/>
    <w:rsid w:val="00C640FC"/>
    <w:rsid w:val="00DD70A6"/>
    <w:rsid w:val="00DE5161"/>
    <w:rsid w:val="00E01719"/>
    <w:rsid w:val="00EB3BE3"/>
    <w:rsid w:val="00F14CB1"/>
    <w:rsid w:val="09FE038A"/>
    <w:rsid w:val="0BC0F484"/>
    <w:rsid w:val="18D9168C"/>
    <w:rsid w:val="1E1B192D"/>
    <w:rsid w:val="1F7829D6"/>
    <w:rsid w:val="1F7EC2E0"/>
    <w:rsid w:val="1F7F3B77"/>
    <w:rsid w:val="35EFB579"/>
    <w:rsid w:val="3D8B58C7"/>
    <w:rsid w:val="53B801EB"/>
    <w:rsid w:val="6FFE4CD9"/>
    <w:rsid w:val="727B143F"/>
    <w:rsid w:val="77FBD16C"/>
    <w:rsid w:val="7B6F745B"/>
    <w:rsid w:val="7D6B52F8"/>
    <w:rsid w:val="7D7FA5BC"/>
    <w:rsid w:val="7F96A17E"/>
    <w:rsid w:val="7FB71747"/>
    <w:rsid w:val="7FBE0CF3"/>
    <w:rsid w:val="7FFFFC37"/>
    <w:rsid w:val="BD6B0B24"/>
    <w:rsid w:val="BEF32506"/>
    <w:rsid w:val="C4FF1069"/>
    <w:rsid w:val="D6B889E7"/>
    <w:rsid w:val="DDBA366E"/>
    <w:rsid w:val="E59F2C4E"/>
    <w:rsid w:val="F17C46DD"/>
    <w:rsid w:val="F7E6A379"/>
    <w:rsid w:val="FC6576AA"/>
    <w:rsid w:val="FFDF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="198"/>
      <w:ind w:left="1442"/>
      <w:outlineLvl w:val="2"/>
    </w:pPr>
    <w:rPr>
      <w:rFonts w:ascii="仿宋" w:hAnsi="仿宋" w:eastAsia="仿宋" w:cs="仿宋"/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rPr>
      <w:rFonts w:ascii="仿宋" w:hAnsi="仿宋" w:eastAsia="仿宋" w:cs="仿宋"/>
      <w:sz w:val="28"/>
      <w:szCs w:val="28"/>
    </w:rPr>
  </w:style>
  <w:style w:type="paragraph" w:styleId="4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paragraph" w:customStyle="1" w:styleId="11">
    <w:name w:val="列表段落1"/>
    <w:basedOn w:val="1"/>
    <w:qFormat/>
    <w:uiPriority w:val="34"/>
    <w:pPr>
      <w:ind w:firstLine="420" w:firstLineChars="200"/>
    </w:pPr>
  </w:style>
  <w:style w:type="character" w:customStyle="1" w:styleId="12">
    <w:name w:val="日期 字符"/>
    <w:basedOn w:val="8"/>
    <w:link w:val="4"/>
    <w:semiHidden/>
    <w:qFormat/>
    <w:uiPriority w:val="99"/>
  </w:style>
  <w:style w:type="character" w:customStyle="1" w:styleId="13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2481</Words>
  <Characters>2599</Characters>
  <Lines>20</Lines>
  <Paragraphs>5</Paragraphs>
  <TotalTime>45</TotalTime>
  <ScaleCrop>false</ScaleCrop>
  <LinksUpToDate>false</LinksUpToDate>
  <CharactersWithSpaces>2686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2020-01-23T05:04:00Z</dcterms:created>
  <dc:creator>k22356</dc:creator>
  <cp:lastModifiedBy>葛艳敏（天津四方君汇律师事务所）</cp:lastModifiedBy>
  <cp:lastPrinted>2022-07-28T20:20:00Z</cp:lastPrinted>
  <dcterms:modified xsi:type="dcterms:W3CDTF">2023-01-04T17:40:27Z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3129A70B07CB6F6DF648B5630952D972</vt:lpwstr>
  </property>
</Properties>
</file>