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keepLines/>
        <w:spacing w:after="0" w:line="600" w:lineRule="exact"/>
        <w:rPr>
          <w:lang w:eastAsia="zh-CN"/>
        </w:rPr>
      </w:pPr>
      <w:bookmarkStart w:id="0" w:name="bookmark1"/>
      <w:bookmarkStart w:id="1" w:name="bookmark0"/>
      <w:bookmarkStart w:id="2" w:name="bookmark2"/>
      <w:r>
        <w:rPr>
          <w:rFonts w:hint="eastAsia"/>
          <w:lang w:eastAsia="zh-CN"/>
        </w:rPr>
        <w:t>河南能源化工集团洛阳永龙能化有限公司</w:t>
      </w:r>
    </w:p>
    <w:bookmarkEnd w:id="0"/>
    <w:bookmarkEnd w:id="1"/>
    <w:bookmarkEnd w:id="2"/>
    <w:p>
      <w:pPr>
        <w:pStyle w:val="4"/>
        <w:spacing w:line="600" w:lineRule="exact"/>
        <w:rPr>
          <w:lang w:eastAsia="zh-CN"/>
        </w:rPr>
      </w:pPr>
      <w:r>
        <w:rPr>
          <w:rFonts w:hint="eastAsia"/>
          <w:lang w:eastAsia="zh-CN"/>
        </w:rPr>
        <w:t>债权申报公告</w:t>
      </w:r>
    </w:p>
    <w:p>
      <w:pPr>
        <w:pStyle w:val="12"/>
        <w:spacing w:line="600" w:lineRule="exact"/>
        <w:ind w:firstLine="680"/>
        <w:jc w:val="both"/>
      </w:pPr>
    </w:p>
    <w:p>
      <w:pPr>
        <w:pStyle w:val="12"/>
        <w:overflowPunct w:val="0"/>
        <w:spacing w:line="600" w:lineRule="exact"/>
        <w:ind w:firstLine="600" w:firstLineChars="200"/>
        <w:jc w:val="both"/>
        <w:rPr>
          <w:rFonts w:cs="仿宋" w:asciiTheme="minorEastAsia" w:hAnsiTheme="minorEastAsia" w:eastAsiaTheme="minorEastAsia"/>
        </w:rPr>
      </w:pPr>
      <w:r>
        <w:rPr>
          <w:rFonts w:hint="eastAsia" w:cs="仿宋" w:asciiTheme="minorEastAsia" w:hAnsiTheme="minorEastAsia" w:eastAsiaTheme="minorEastAsia"/>
          <w:lang w:val="en-US" w:eastAsia="zh-CN"/>
        </w:rPr>
        <w:t>河南省洛阳市孟津区人民法院（以下简称“孟津法院”）</w:t>
      </w:r>
      <w:r>
        <w:rPr>
          <w:rFonts w:hint="eastAsia" w:cs="仿宋" w:asciiTheme="minorEastAsia" w:hAnsiTheme="minorEastAsia" w:eastAsiaTheme="minorEastAsia"/>
        </w:rPr>
        <w:t>根据</w:t>
      </w:r>
      <w:bookmarkStart w:id="3" w:name="_Hlk107996468"/>
      <w:r>
        <w:rPr>
          <w:rFonts w:hint="eastAsia" w:cs="仿宋" w:asciiTheme="minorEastAsia" w:hAnsiTheme="minorEastAsia" w:eastAsiaTheme="minorEastAsia"/>
          <w:lang w:val="en-US" w:eastAsia="zh-CN"/>
        </w:rPr>
        <w:t>河南省安装集团有限责任公司</w:t>
      </w:r>
      <w:bookmarkEnd w:id="3"/>
      <w:r>
        <w:rPr>
          <w:rFonts w:hint="eastAsia" w:cs="仿宋" w:asciiTheme="minorEastAsia" w:hAnsiTheme="minorEastAsia" w:eastAsiaTheme="minorEastAsia"/>
        </w:rPr>
        <w:t>的申请，</w:t>
      </w:r>
      <w:r>
        <w:rPr>
          <w:rFonts w:hint="eastAsia" w:cs="仿宋" w:asciiTheme="minorEastAsia" w:hAnsiTheme="minorEastAsia" w:eastAsiaTheme="minorEastAsia"/>
          <w:lang w:val="en-US" w:eastAsia="zh-CN"/>
        </w:rPr>
        <w:t>于2022</w:t>
      </w:r>
      <w:r>
        <w:rPr>
          <w:rFonts w:hint="eastAsia" w:cs="仿宋" w:asciiTheme="minorEastAsia" w:hAnsiTheme="minorEastAsia" w:eastAsiaTheme="minorEastAsia"/>
        </w:rPr>
        <w:t>年</w:t>
      </w:r>
      <w:r>
        <w:rPr>
          <w:rFonts w:hint="eastAsia" w:cs="仿宋" w:asciiTheme="minorEastAsia" w:hAnsiTheme="minorEastAsia" w:eastAsiaTheme="minorEastAsia"/>
          <w:lang w:val="en-US" w:eastAsia="zh-CN"/>
        </w:rPr>
        <w:t>12</w:t>
      </w:r>
      <w:r>
        <w:rPr>
          <w:rFonts w:hint="eastAsia" w:cs="仿宋" w:asciiTheme="minorEastAsia" w:hAnsiTheme="minorEastAsia" w:eastAsiaTheme="minorEastAsia"/>
        </w:rPr>
        <w:t>月</w:t>
      </w:r>
      <w:r>
        <w:rPr>
          <w:rFonts w:hint="eastAsia" w:cs="仿宋" w:asciiTheme="minorEastAsia" w:hAnsiTheme="minorEastAsia" w:eastAsiaTheme="minorEastAsia"/>
          <w:lang w:val="en-US" w:eastAsia="zh-CN"/>
        </w:rPr>
        <w:t>27</w:t>
      </w:r>
      <w:r>
        <w:rPr>
          <w:rFonts w:hint="eastAsia" w:cs="仿宋" w:asciiTheme="minorEastAsia" w:hAnsiTheme="minorEastAsia" w:eastAsiaTheme="minorEastAsia"/>
        </w:rPr>
        <w:t>日</w:t>
      </w:r>
      <w:r>
        <w:rPr>
          <w:rFonts w:hint="eastAsia" w:cs="仿宋" w:asciiTheme="minorEastAsia" w:hAnsiTheme="minorEastAsia" w:eastAsiaTheme="minorEastAsia"/>
          <w:lang w:val="en-US" w:eastAsia="zh-CN"/>
        </w:rPr>
        <w:t>决定对河南能源化工集团洛阳永龙能化有限公司（以下简称“洛阳永龙”或“债务人”）进行预</w:t>
      </w:r>
      <w:r>
        <w:rPr>
          <w:rFonts w:hint="eastAsia" w:cs="仿宋" w:asciiTheme="minorEastAsia" w:hAnsiTheme="minorEastAsia" w:eastAsiaTheme="minorEastAsia"/>
        </w:rPr>
        <w:t>重整，</w:t>
      </w:r>
      <w:r>
        <w:rPr>
          <w:rFonts w:hint="eastAsia" w:cs="仿宋" w:asciiTheme="minorEastAsia" w:hAnsiTheme="minorEastAsia" w:eastAsiaTheme="minorEastAsia"/>
          <w:lang w:val="en-US" w:eastAsia="zh-CN"/>
        </w:rPr>
        <w:t>并</w:t>
      </w:r>
      <w:r>
        <w:rPr>
          <w:rFonts w:hint="eastAsia" w:cs="仿宋" w:asciiTheme="minorEastAsia" w:hAnsiTheme="minorEastAsia" w:eastAsiaTheme="minorEastAsia"/>
        </w:rPr>
        <w:t>指定</w:t>
      </w:r>
      <w:r>
        <w:rPr>
          <w:rFonts w:hint="eastAsia" w:cs="仿宋" w:asciiTheme="minorEastAsia" w:hAnsiTheme="minorEastAsia" w:eastAsiaTheme="minorEastAsia"/>
          <w:lang w:val="en-US" w:eastAsia="zh-CN" w:bidi="zh-CN"/>
        </w:rPr>
        <w:t>北京德恒律师事务所</w:t>
      </w:r>
      <w:r>
        <w:rPr>
          <w:rFonts w:hint="eastAsia" w:cs="仿宋" w:asciiTheme="minorEastAsia" w:hAnsiTheme="minorEastAsia" w:eastAsiaTheme="minorEastAsia"/>
          <w:lang w:val="zh-CN" w:eastAsia="zh-CN" w:bidi="zh-CN"/>
        </w:rPr>
        <w:t>作为</w:t>
      </w:r>
      <w:r>
        <w:rPr>
          <w:rFonts w:hint="eastAsia" w:cs="仿宋" w:asciiTheme="minorEastAsia" w:hAnsiTheme="minorEastAsia" w:eastAsiaTheme="minorEastAsia"/>
          <w:lang w:val="en-US" w:eastAsia="zh-CN" w:bidi="zh-CN"/>
        </w:rPr>
        <w:t>洛阳永龙</w:t>
      </w:r>
      <w:r>
        <w:rPr>
          <w:rFonts w:hint="eastAsia" w:cs="仿宋" w:asciiTheme="minorEastAsia" w:hAnsiTheme="minorEastAsia" w:eastAsiaTheme="minorEastAsia"/>
          <w:lang w:val="zh-CN" w:eastAsia="zh-CN" w:bidi="zh-CN"/>
        </w:rPr>
        <w:t>预重整期间管理人（</w:t>
      </w:r>
      <w:r>
        <w:rPr>
          <w:rFonts w:hint="eastAsia" w:cs="仿宋" w:asciiTheme="minorEastAsia" w:hAnsiTheme="minorEastAsia" w:eastAsiaTheme="minorEastAsia"/>
          <w:lang w:val="en-US" w:eastAsia="zh-CN" w:bidi="zh-CN"/>
        </w:rPr>
        <w:t>以下简称“管理人”</w:t>
      </w:r>
      <w:r>
        <w:rPr>
          <w:rFonts w:hint="eastAsia" w:cs="仿宋" w:asciiTheme="minorEastAsia" w:hAnsiTheme="minorEastAsia" w:eastAsiaTheme="minorEastAsia"/>
          <w:lang w:val="zh-CN" w:eastAsia="zh-CN" w:bidi="zh-CN"/>
        </w:rPr>
        <w:t>）</w:t>
      </w:r>
      <w:r>
        <w:rPr>
          <w:rFonts w:hint="eastAsia" w:cs="仿宋" w:asciiTheme="minorEastAsia" w:hAnsiTheme="minorEastAsia" w:eastAsiaTheme="minorEastAsia"/>
        </w:rPr>
        <w:t>。根据预重整工作的需要，</w:t>
      </w:r>
      <w:r>
        <w:rPr>
          <w:rFonts w:hint="eastAsia" w:cs="仿宋" w:asciiTheme="minorEastAsia" w:hAnsiTheme="minorEastAsia" w:eastAsiaTheme="minorEastAsia"/>
          <w:lang w:eastAsia="zh-CN"/>
        </w:rPr>
        <w:t>管理人</w:t>
      </w:r>
      <w:r>
        <w:rPr>
          <w:rFonts w:hint="eastAsia" w:cs="仿宋" w:asciiTheme="minorEastAsia" w:hAnsiTheme="minorEastAsia" w:eastAsiaTheme="minorEastAsia"/>
        </w:rPr>
        <w:t>现决定对</w:t>
      </w:r>
      <w:r>
        <w:rPr>
          <w:rFonts w:hint="eastAsia" w:cs="仿宋" w:asciiTheme="minorEastAsia" w:hAnsiTheme="minorEastAsia" w:eastAsiaTheme="minorEastAsia"/>
          <w:lang w:val="en-US" w:eastAsia="zh-CN"/>
        </w:rPr>
        <w:t>债务人</w:t>
      </w:r>
      <w:r>
        <w:rPr>
          <w:rFonts w:hint="eastAsia" w:cs="仿宋" w:asciiTheme="minorEastAsia" w:hAnsiTheme="minorEastAsia" w:eastAsiaTheme="minorEastAsia"/>
        </w:rPr>
        <w:t>的债权债务进行清理，请与</w:t>
      </w:r>
      <w:r>
        <w:rPr>
          <w:rFonts w:hint="eastAsia" w:cs="仿宋" w:asciiTheme="minorEastAsia" w:hAnsiTheme="minorEastAsia" w:eastAsiaTheme="minorEastAsia"/>
          <w:lang w:val="en-US" w:eastAsia="zh-CN"/>
        </w:rPr>
        <w:t>债务人</w:t>
      </w:r>
      <w:r>
        <w:rPr>
          <w:rFonts w:hint="eastAsia" w:cs="仿宋" w:asciiTheme="minorEastAsia" w:hAnsiTheme="minorEastAsia" w:eastAsiaTheme="minorEastAsia"/>
        </w:rPr>
        <w:t>有未了结的债权债务关系的单位和个人于</w:t>
      </w:r>
      <w:r>
        <w:rPr>
          <w:rFonts w:hint="eastAsia" w:cs="仿宋" w:asciiTheme="minorEastAsia" w:hAnsiTheme="minorEastAsia" w:eastAsiaTheme="minorEastAsia"/>
          <w:highlight w:val="none"/>
          <w:lang w:val="en-US" w:eastAsia="zh-CN"/>
        </w:rPr>
        <w:t>2023</w:t>
      </w:r>
      <w:r>
        <w:rPr>
          <w:rFonts w:hint="eastAsia" w:cs="仿宋" w:asciiTheme="minorEastAsia" w:hAnsiTheme="minorEastAsia" w:eastAsiaTheme="minorEastAsia"/>
          <w:highlight w:val="none"/>
        </w:rPr>
        <w:t>年</w:t>
      </w:r>
      <w:r>
        <w:rPr>
          <w:rFonts w:hint="eastAsia" w:cs="仿宋" w:asciiTheme="minorEastAsia" w:hAnsiTheme="minorEastAsia" w:eastAsiaTheme="minorEastAsia"/>
          <w:highlight w:val="none"/>
          <w:lang w:val="en-US" w:eastAsia="zh-CN"/>
        </w:rPr>
        <w:t>2</w:t>
      </w:r>
      <w:r>
        <w:rPr>
          <w:rFonts w:hint="eastAsia" w:cs="仿宋" w:asciiTheme="minorEastAsia" w:hAnsiTheme="minorEastAsia" w:eastAsiaTheme="minorEastAsia"/>
          <w:highlight w:val="none"/>
        </w:rPr>
        <w:t>月</w:t>
      </w:r>
      <w:r>
        <w:rPr>
          <w:rFonts w:hint="eastAsia" w:cs="仿宋" w:asciiTheme="minorEastAsia" w:hAnsiTheme="minorEastAsia" w:eastAsiaTheme="minorEastAsia"/>
          <w:highlight w:val="none"/>
          <w:lang w:val="en-US" w:eastAsia="zh-CN"/>
        </w:rPr>
        <w:t>5</w:t>
      </w:r>
      <w:r>
        <w:rPr>
          <w:rFonts w:hint="eastAsia" w:cs="仿宋" w:asciiTheme="minorEastAsia" w:hAnsiTheme="minorEastAsia" w:eastAsiaTheme="minorEastAsia"/>
          <w:highlight w:val="none"/>
        </w:rPr>
        <w:t>日</w:t>
      </w:r>
      <w:r>
        <w:rPr>
          <w:rFonts w:hint="eastAsia" w:cs="仿宋" w:asciiTheme="minorEastAsia" w:hAnsiTheme="minorEastAsia" w:eastAsiaTheme="minorEastAsia"/>
        </w:rPr>
        <w:t>前持合法有效的债权凭据向</w:t>
      </w:r>
      <w:r>
        <w:rPr>
          <w:rFonts w:hint="eastAsia" w:cs="仿宋" w:asciiTheme="minorEastAsia" w:hAnsiTheme="minorEastAsia" w:eastAsiaTheme="minorEastAsia"/>
          <w:lang w:eastAsia="zh-CN"/>
        </w:rPr>
        <w:t>管理人</w:t>
      </w:r>
      <w:r>
        <w:rPr>
          <w:rFonts w:hint="eastAsia" w:cs="仿宋" w:asciiTheme="minorEastAsia" w:hAnsiTheme="minorEastAsia" w:eastAsiaTheme="minorEastAsia"/>
        </w:rPr>
        <w:t>（地址：</w:t>
      </w:r>
      <w:r>
        <w:rPr>
          <w:rFonts w:hint="eastAsia" w:cs="仿宋" w:asciiTheme="minorEastAsia" w:hAnsiTheme="minorEastAsia" w:eastAsiaTheme="minorEastAsia"/>
          <w:lang w:val="en-US" w:eastAsia="zh-CN"/>
        </w:rPr>
        <w:t>河南省洛阳市孟津区河南能源化工集团洛阳永龙能化有限公司三楼管理人办公室</w:t>
      </w:r>
      <w:r>
        <w:rPr>
          <w:rFonts w:hint="eastAsia" w:cs="仿宋" w:asciiTheme="minorEastAsia" w:hAnsiTheme="minorEastAsia" w:eastAsiaTheme="minorEastAsia"/>
        </w:rPr>
        <w:t>，联系人：</w:t>
      </w:r>
      <w:r>
        <w:rPr>
          <w:rFonts w:hint="eastAsia" w:cs="仿宋" w:asciiTheme="minorEastAsia" w:hAnsiTheme="minorEastAsia" w:eastAsiaTheme="minorEastAsia"/>
          <w:lang w:val="en-US" w:eastAsia="zh-CN"/>
        </w:rPr>
        <w:t>李英越</w:t>
      </w:r>
      <w:r>
        <w:rPr>
          <w:rFonts w:hint="eastAsia" w:cs="仿宋" w:asciiTheme="minorEastAsia" w:hAnsiTheme="minorEastAsia" w:eastAsiaTheme="minorEastAsia"/>
        </w:rPr>
        <w:t>，联系电话：</w:t>
      </w:r>
      <w:r>
        <w:rPr>
          <w:rFonts w:hint="eastAsia" w:cs="仿宋" w:asciiTheme="minorEastAsia" w:hAnsiTheme="minorEastAsia" w:eastAsiaTheme="minorEastAsia"/>
          <w:lang w:val="en-US" w:eastAsia="zh-CN" w:bidi="en-US"/>
        </w:rPr>
        <w:t>0379-67938869、0379-67938837</w:t>
      </w:r>
      <w:r>
        <w:rPr>
          <w:rFonts w:cs="仿宋" w:asciiTheme="minorEastAsia" w:hAnsiTheme="minorEastAsia" w:eastAsiaTheme="minorEastAsia"/>
          <w:lang w:val="en-US" w:eastAsia="zh-CN" w:bidi="en-US"/>
        </w:rPr>
        <w:t>）</w:t>
      </w:r>
      <w:r>
        <w:rPr>
          <w:rFonts w:hint="eastAsia" w:cs="仿宋" w:asciiTheme="minorEastAsia" w:hAnsiTheme="minorEastAsia" w:eastAsiaTheme="minorEastAsia"/>
        </w:rPr>
        <w:t>申报债权</w:t>
      </w:r>
      <w:r>
        <w:rPr>
          <w:rFonts w:hint="eastAsia" w:cs="仿宋" w:asciiTheme="minorEastAsia" w:hAnsiTheme="minorEastAsia" w:eastAsiaTheme="minorEastAsia"/>
          <w:lang w:eastAsia="zh-CN"/>
        </w:rPr>
        <w:t>，</w:t>
      </w:r>
      <w:r>
        <w:rPr>
          <w:rFonts w:hint="eastAsia" w:cs="仿宋" w:asciiTheme="minorEastAsia" w:hAnsiTheme="minorEastAsia" w:eastAsiaTheme="minorEastAsia"/>
        </w:rPr>
        <w:t>书面说明债权数额、有无财产担保及是否属于连带债权，并提供相关证据材料</w:t>
      </w:r>
      <w:r>
        <w:rPr>
          <w:rFonts w:hint="eastAsia" w:cs="仿宋" w:asciiTheme="minorEastAsia" w:hAnsiTheme="minorEastAsia" w:eastAsiaTheme="minorEastAsia"/>
          <w:lang w:eastAsia="zh-CN"/>
        </w:rPr>
        <w:t>（</w:t>
      </w:r>
      <w:r>
        <w:rPr>
          <w:rFonts w:hint="eastAsia" w:cs="仿宋" w:asciiTheme="minorEastAsia" w:hAnsiTheme="minorEastAsia" w:eastAsiaTheme="minorEastAsia"/>
          <w:lang w:val="en-US" w:eastAsia="zh-CN"/>
        </w:rPr>
        <w:t>详见债权申报指引</w:t>
      </w:r>
      <w:r>
        <w:rPr>
          <w:rFonts w:hint="eastAsia" w:cs="仿宋" w:asciiTheme="minorEastAsia" w:hAnsiTheme="minorEastAsia" w:eastAsiaTheme="minorEastAsia"/>
          <w:lang w:eastAsia="zh-CN"/>
        </w:rPr>
        <w:t>）</w:t>
      </w:r>
      <w:r>
        <w:rPr>
          <w:rFonts w:hint="eastAsia" w:cs="仿宋" w:asciiTheme="minorEastAsia" w:hAnsiTheme="minorEastAsia" w:eastAsiaTheme="minorEastAsia"/>
        </w:rPr>
        <w:t>。</w:t>
      </w:r>
    </w:p>
    <w:p>
      <w:pPr>
        <w:pStyle w:val="12"/>
        <w:overflowPunct w:val="0"/>
        <w:spacing w:line="600" w:lineRule="exact"/>
        <w:ind w:firstLine="602" w:firstLineChars="200"/>
        <w:jc w:val="both"/>
        <w:rPr>
          <w:rFonts w:cs="仿宋" w:asciiTheme="minorEastAsia" w:hAnsiTheme="minorEastAsia" w:eastAsiaTheme="minorEastAsia"/>
          <w:lang w:eastAsia="zh-CN"/>
        </w:rPr>
      </w:pPr>
      <w:r>
        <w:rPr>
          <w:rFonts w:hint="eastAsia" w:cs="仿宋" w:asciiTheme="minorEastAsia" w:hAnsiTheme="minorEastAsia" w:eastAsiaTheme="minorEastAsia"/>
          <w:b/>
          <w:bCs/>
        </w:rPr>
        <w:t>需要特别说明的是：</w:t>
      </w:r>
      <w:r>
        <w:rPr>
          <w:rFonts w:hint="eastAsia" w:cs="仿宋" w:asciiTheme="minorEastAsia" w:hAnsiTheme="minorEastAsia" w:eastAsiaTheme="minorEastAsia"/>
          <w:b w:val="0"/>
          <w:bCs w:val="0"/>
        </w:rPr>
        <w:t>目前</w:t>
      </w:r>
      <w:r>
        <w:rPr>
          <w:rFonts w:hint="eastAsia" w:cs="仿宋" w:asciiTheme="minorEastAsia" w:hAnsiTheme="minorEastAsia" w:eastAsiaTheme="minorEastAsia"/>
          <w:lang w:eastAsia="zh-CN"/>
        </w:rPr>
        <w:t>孟津法院</w:t>
      </w:r>
      <w:r>
        <w:rPr>
          <w:rFonts w:hint="eastAsia" w:cs="仿宋" w:asciiTheme="minorEastAsia" w:hAnsiTheme="minorEastAsia" w:eastAsiaTheme="minorEastAsia"/>
          <w:lang w:val="en-US" w:eastAsia="zh-CN"/>
        </w:rPr>
        <w:t>决定</w:t>
      </w:r>
      <w:r>
        <w:rPr>
          <w:rFonts w:hint="eastAsia" w:cs="仿宋" w:asciiTheme="minorEastAsia" w:hAnsiTheme="minorEastAsia" w:eastAsiaTheme="minorEastAsia"/>
        </w:rPr>
        <w:t>对债务人进行预重整，最终是否受理债务人重整申请由</w:t>
      </w:r>
      <w:r>
        <w:rPr>
          <w:rFonts w:hint="eastAsia" w:cs="仿宋" w:asciiTheme="minorEastAsia" w:hAnsiTheme="minorEastAsia" w:eastAsiaTheme="minorEastAsia"/>
          <w:lang w:eastAsia="zh-CN"/>
        </w:rPr>
        <w:t>孟津法院</w:t>
      </w:r>
      <w:r>
        <w:rPr>
          <w:rFonts w:hint="eastAsia" w:cs="仿宋" w:asciiTheme="minorEastAsia" w:hAnsiTheme="minorEastAsia" w:eastAsiaTheme="minorEastAsia"/>
        </w:rPr>
        <w:t>结合本案实际情况决定。如后续</w:t>
      </w:r>
      <w:r>
        <w:rPr>
          <w:rFonts w:hint="eastAsia" w:cs="仿宋" w:asciiTheme="minorEastAsia" w:hAnsiTheme="minorEastAsia" w:eastAsiaTheme="minorEastAsia"/>
          <w:lang w:eastAsia="zh-CN"/>
        </w:rPr>
        <w:t>孟津法院</w:t>
      </w:r>
      <w:r>
        <w:rPr>
          <w:rFonts w:hint="eastAsia" w:cs="仿宋" w:asciiTheme="minorEastAsia" w:hAnsiTheme="minorEastAsia" w:eastAsiaTheme="minorEastAsia"/>
          <w:lang w:val="en-US" w:eastAsia="zh-CN"/>
        </w:rPr>
        <w:t>裁定</w:t>
      </w:r>
      <w:r>
        <w:rPr>
          <w:rFonts w:hint="eastAsia" w:cs="仿宋" w:asciiTheme="minorEastAsia" w:hAnsiTheme="minorEastAsia" w:eastAsiaTheme="minorEastAsia"/>
        </w:rPr>
        <w:t>受理债务人重整，为便于预重整工作与后续重整程序中债权申报工作的衔接、减少重复申报债权的流程，各债权人在债务人预重整程序中申报的债权可视为在后续重整程序中已经申报，对于申报利息的债权，</w:t>
      </w:r>
      <w:r>
        <w:rPr>
          <w:rFonts w:hint="eastAsia" w:cs="仿宋" w:asciiTheme="minorEastAsia" w:hAnsiTheme="minorEastAsia" w:eastAsiaTheme="minorEastAsia"/>
          <w:lang w:eastAsia="zh-CN"/>
        </w:rPr>
        <w:t>管理人</w:t>
      </w:r>
      <w:r>
        <w:rPr>
          <w:rFonts w:hint="eastAsia" w:cs="仿宋" w:asciiTheme="minorEastAsia" w:hAnsiTheme="minorEastAsia" w:eastAsiaTheme="minorEastAsia"/>
        </w:rPr>
        <w:t>将根据《</w:t>
      </w:r>
      <w:bookmarkStart w:id="4" w:name="_Hlk123801183"/>
      <w:r>
        <w:rPr>
          <w:rFonts w:hint="eastAsia" w:cs="仿宋" w:asciiTheme="minorEastAsia" w:hAnsiTheme="minorEastAsia" w:eastAsiaTheme="minorEastAsia"/>
        </w:rPr>
        <w:t>中华人民共和国</w:t>
      </w:r>
      <w:bookmarkEnd w:id="4"/>
      <w:r>
        <w:rPr>
          <w:rFonts w:hint="eastAsia" w:cs="仿宋" w:asciiTheme="minorEastAsia" w:hAnsiTheme="minorEastAsia" w:eastAsiaTheme="minorEastAsia"/>
        </w:rPr>
        <w:t>企业破产法》第四十六条第二款之规定，追加计算利息至破产重整申请受理日。并根据《中华人民共和国企业破产法》及其司法解释的相关规定编制债权表提交给债务人、债权人会议核查，债权人对</w:t>
      </w:r>
      <w:r>
        <w:rPr>
          <w:rFonts w:hint="eastAsia" w:cs="仿宋" w:asciiTheme="minorEastAsia" w:hAnsiTheme="minorEastAsia" w:eastAsiaTheme="minorEastAsia"/>
          <w:lang w:val="en-US" w:eastAsia="zh-CN"/>
        </w:rPr>
        <w:t>洛阳永龙</w:t>
      </w:r>
      <w:r>
        <w:rPr>
          <w:rFonts w:hint="eastAsia" w:cs="仿宋" w:asciiTheme="minorEastAsia" w:hAnsiTheme="minorEastAsia" w:eastAsiaTheme="minorEastAsia"/>
        </w:rPr>
        <w:t>享有的债权金额及债权性质最终以</w:t>
      </w:r>
      <w:r>
        <w:rPr>
          <w:rFonts w:hint="eastAsia" w:cs="仿宋" w:asciiTheme="minorEastAsia" w:hAnsiTheme="minorEastAsia" w:eastAsiaTheme="minorEastAsia"/>
          <w:lang w:val="en-US" w:eastAsia="zh-CN"/>
        </w:rPr>
        <w:t>孟津法院</w:t>
      </w:r>
      <w:r>
        <w:rPr>
          <w:rFonts w:hint="eastAsia" w:cs="仿宋" w:asciiTheme="minorEastAsia" w:hAnsiTheme="minorEastAsia" w:eastAsiaTheme="minorEastAsia"/>
        </w:rPr>
        <w:t>裁定确认为准</w:t>
      </w:r>
      <w:r>
        <w:rPr>
          <w:rFonts w:hint="eastAsia" w:cs="仿宋" w:asciiTheme="minorEastAsia" w:hAnsiTheme="minorEastAsia" w:eastAsiaTheme="minorEastAsia"/>
          <w:lang w:eastAsia="zh-CN"/>
        </w:rPr>
        <w:t>。</w:t>
      </w:r>
    </w:p>
    <w:p>
      <w:pPr>
        <w:pStyle w:val="12"/>
        <w:overflowPunct w:val="0"/>
        <w:spacing w:line="600" w:lineRule="exact"/>
        <w:ind w:firstLine="600" w:firstLineChars="200"/>
        <w:jc w:val="both"/>
        <w:rPr>
          <w:rFonts w:cs="仿宋" w:asciiTheme="minorEastAsia" w:hAnsiTheme="minorEastAsia" w:eastAsiaTheme="minorEastAsia"/>
          <w:lang w:val="en-US" w:eastAsia="zh-CN"/>
        </w:rPr>
      </w:pPr>
      <w:r>
        <w:rPr>
          <w:rFonts w:hint="eastAsia" w:cs="仿宋" w:asciiTheme="minorEastAsia" w:hAnsiTheme="minorEastAsia" w:eastAsiaTheme="minorEastAsia"/>
          <w:lang w:val="en-US" w:eastAsia="zh-CN"/>
        </w:rPr>
        <w:t>特此通知。</w:t>
      </w:r>
    </w:p>
    <w:p>
      <w:pPr>
        <w:pStyle w:val="12"/>
        <w:spacing w:line="600" w:lineRule="exact"/>
        <w:ind w:firstLine="0"/>
        <w:jc w:val="both"/>
        <w:rPr>
          <w:rFonts w:cs="仿宋" w:asciiTheme="minorEastAsia" w:hAnsiTheme="minorEastAsia" w:eastAsiaTheme="minorEastAsia"/>
          <w:lang w:val="en-US" w:eastAsia="zh-CN"/>
        </w:rPr>
      </w:pPr>
    </w:p>
    <w:p>
      <w:pPr>
        <w:pStyle w:val="12"/>
        <w:spacing w:line="600" w:lineRule="exact"/>
        <w:ind w:firstLine="0"/>
        <w:jc w:val="right"/>
        <w:rPr>
          <w:rFonts w:cs="仿宋" w:asciiTheme="minorEastAsia" w:hAnsiTheme="minorEastAsia" w:eastAsiaTheme="minorEastAsia"/>
          <w:lang w:val="en-US" w:eastAsia="zh-CN"/>
        </w:rPr>
      </w:pPr>
      <w:r>
        <w:rPr>
          <w:rFonts w:hint="eastAsia" w:cs="仿宋" w:asciiTheme="minorEastAsia" w:hAnsiTheme="minorEastAsia" w:eastAsiaTheme="minorEastAsia"/>
          <w:lang w:val="en-US" w:eastAsia="zh-CN"/>
        </w:rPr>
        <w:t>河南能源化工集团洛阳永龙能化有限公司</w:t>
      </w:r>
    </w:p>
    <w:p>
      <w:pPr>
        <w:pStyle w:val="12"/>
        <w:spacing w:line="600" w:lineRule="exact"/>
        <w:ind w:firstLine="0"/>
        <w:jc w:val="right"/>
        <w:rPr>
          <w:rFonts w:cs="仿宋" w:asciiTheme="minorEastAsia" w:hAnsiTheme="minorEastAsia" w:eastAsiaTheme="minorEastAsia"/>
          <w:lang w:val="en-US" w:eastAsia="zh-CN"/>
        </w:rPr>
      </w:pPr>
      <w:r>
        <w:rPr>
          <w:rFonts w:hint="eastAsia" w:cs="仿宋" w:asciiTheme="minorEastAsia" w:hAnsiTheme="minorEastAsia" w:eastAsiaTheme="minorEastAsia"/>
          <w:lang w:eastAsia="zh-CN"/>
        </w:rPr>
        <w:t>预重整管理人</w:t>
      </w:r>
    </w:p>
    <w:p>
      <w:pPr>
        <w:pStyle w:val="12"/>
        <w:spacing w:line="600" w:lineRule="exact"/>
        <w:ind w:firstLine="0"/>
        <w:jc w:val="right"/>
        <w:rPr>
          <w:rFonts w:cs="仿宋" w:asciiTheme="minorEastAsia" w:hAnsiTheme="minorEastAsia" w:eastAsiaTheme="minorEastAsia"/>
          <w:lang w:val="en-US" w:eastAsia="zh-CN"/>
        </w:rPr>
      </w:pPr>
      <w:r>
        <w:rPr>
          <w:rFonts w:hint="eastAsia" w:cs="仿宋" w:asciiTheme="minorEastAsia" w:hAnsiTheme="minorEastAsia" w:eastAsiaTheme="minorEastAsia"/>
          <w:lang w:val="en-US" w:eastAsia="zh-CN"/>
        </w:rPr>
        <w:t>2023年1月5日</w:t>
      </w:r>
    </w:p>
    <w:p>
      <w:pPr>
        <w:pStyle w:val="12"/>
        <w:spacing w:line="600" w:lineRule="exact"/>
        <w:ind w:firstLine="5846" w:firstLineChars="1949"/>
        <w:jc w:val="both"/>
        <w:rPr>
          <w:rFonts w:cs="仿宋" w:asciiTheme="minorEastAsia" w:hAnsiTheme="minorEastAsia" w:eastAsiaTheme="minorEastAsia"/>
          <w:lang w:val="en-US" w:eastAsia="zh-CN"/>
        </w:rPr>
      </w:pPr>
    </w:p>
    <w:p>
      <w:pPr>
        <w:pStyle w:val="12"/>
        <w:spacing w:line="600" w:lineRule="exact"/>
        <w:ind w:firstLine="5846" w:firstLineChars="1949"/>
        <w:jc w:val="both"/>
        <w:rPr>
          <w:rFonts w:cs="仿宋" w:asciiTheme="minorEastAsia" w:hAnsiTheme="minorEastAsia" w:eastAsiaTheme="minorEastAsia"/>
          <w:lang w:val="en-US" w:eastAsia="zh-CN"/>
        </w:rPr>
      </w:pPr>
    </w:p>
    <w:p>
      <w:pPr>
        <w:pStyle w:val="12"/>
        <w:spacing w:line="600" w:lineRule="exact"/>
        <w:ind w:firstLine="0"/>
        <w:rPr>
          <w:rFonts w:cs="仿宋" w:asciiTheme="minorEastAsia" w:hAnsiTheme="minorEastAsia" w:eastAsiaTheme="minorEastAsia"/>
          <w:lang w:val="en-US"/>
        </w:rPr>
      </w:pPr>
      <w:r>
        <w:rPr>
          <w:rFonts w:hint="eastAsia" w:cs="仿宋" w:asciiTheme="minorEastAsia" w:hAnsiTheme="minorEastAsia" w:eastAsiaTheme="minorEastAsia"/>
        </w:rPr>
        <w:t>联系人：</w:t>
      </w:r>
      <w:r>
        <w:rPr>
          <w:rFonts w:hint="eastAsia" w:cs="仿宋" w:asciiTheme="minorEastAsia" w:hAnsiTheme="minorEastAsia" w:eastAsiaTheme="minorEastAsia"/>
          <w:lang w:val="en-US" w:eastAsia="zh-CN"/>
        </w:rPr>
        <w:t>李英越</w:t>
      </w:r>
    </w:p>
    <w:p>
      <w:pPr>
        <w:pStyle w:val="14"/>
        <w:spacing w:after="0" w:line="600" w:lineRule="exact"/>
        <w:rPr>
          <w:rFonts w:cs="仿宋" w:asciiTheme="minorEastAsia" w:hAnsiTheme="minorEastAsia" w:eastAsiaTheme="minorEastAsia"/>
          <w:lang w:eastAsia="zh-CN"/>
        </w:rPr>
      </w:pPr>
      <w:r>
        <w:rPr>
          <w:rFonts w:hint="eastAsia" w:cs="仿宋" w:asciiTheme="minorEastAsia" w:hAnsiTheme="minorEastAsia" w:eastAsiaTheme="minorEastAsia"/>
          <w:lang w:val="zh-TW" w:eastAsia="zh-TW" w:bidi="zh-TW"/>
        </w:rPr>
        <w:t>电话</w:t>
      </w:r>
      <w:r>
        <w:rPr>
          <w:rFonts w:hint="eastAsia" w:cs="仿宋" w:asciiTheme="minorEastAsia" w:hAnsiTheme="minorEastAsia" w:eastAsiaTheme="minorEastAsia"/>
          <w:lang w:val="zh-TW" w:eastAsia="zh-CN" w:bidi="zh-TW"/>
        </w:rPr>
        <w:t>：</w:t>
      </w:r>
      <w:r>
        <w:rPr>
          <w:rFonts w:hint="eastAsia" w:cs="仿宋" w:asciiTheme="minorEastAsia" w:hAnsiTheme="minorEastAsia" w:eastAsiaTheme="minorEastAsia"/>
          <w:lang w:eastAsia="zh-CN"/>
        </w:rPr>
        <w:t>0379-67938869、0379-67938837</w:t>
      </w:r>
    </w:p>
    <w:p>
      <w:pPr>
        <w:rPr>
          <w:rFonts w:asciiTheme="minorEastAsia" w:hAnsiTheme="minorEastAsia" w:eastAsiaTheme="minorEastAsia"/>
          <w:sz w:val="30"/>
          <w:szCs w:val="30"/>
          <w:lang w:val="zh-TW" w:eastAsia="zh-CN" w:bidi="zh-TW"/>
        </w:rPr>
      </w:pPr>
      <w:r>
        <w:rPr>
          <w:rFonts w:asciiTheme="minorEastAsia" w:hAnsiTheme="minorEastAsia" w:eastAsiaTheme="minorEastAsia"/>
          <w:sz w:val="30"/>
          <w:szCs w:val="30"/>
          <w:lang w:val="zh-TW" w:eastAsia="zh-CN" w:bidi="zh-TW"/>
        </w:rPr>
        <w:drawing>
          <wp:anchor distT="0" distB="0" distL="114300" distR="114300" simplePos="0" relativeHeight="251659264" behindDoc="0" locked="0" layoutInCell="1" allowOverlap="1">
            <wp:simplePos x="0" y="0"/>
            <wp:positionH relativeFrom="column">
              <wp:posOffset>2772410</wp:posOffset>
            </wp:positionH>
            <wp:positionV relativeFrom="paragraph">
              <wp:posOffset>229870</wp:posOffset>
            </wp:positionV>
            <wp:extent cx="2642235" cy="2642235"/>
            <wp:effectExtent l="0" t="0" r="12065" b="12065"/>
            <wp:wrapNone/>
            <wp:docPr id="2" name="图片 2" descr="微信图片_20230105080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30105080739"/>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2642235" cy="2642235"/>
                    </a:xfrm>
                    <a:prstGeom prst="rect">
                      <a:avLst/>
                    </a:prstGeom>
                  </pic:spPr>
                </pic:pic>
              </a:graphicData>
            </a:graphic>
          </wp:anchor>
        </w:drawing>
      </w:r>
    </w:p>
    <w:p>
      <w:pPr>
        <w:rPr>
          <w:rFonts w:asciiTheme="minorEastAsia" w:hAnsiTheme="minorEastAsia" w:eastAsiaTheme="minorEastAsia"/>
          <w:sz w:val="30"/>
          <w:szCs w:val="30"/>
          <w:lang w:val="zh-TW" w:eastAsia="zh-CN" w:bidi="zh-TW"/>
        </w:rPr>
      </w:pPr>
      <w:r>
        <w:rPr>
          <w:rFonts w:asciiTheme="minorEastAsia" w:hAnsiTheme="minorEastAsia" w:eastAsiaTheme="minorEastAsia"/>
          <w:sz w:val="30"/>
          <w:szCs w:val="30"/>
          <w:lang w:val="zh-TW" w:eastAsia="zh-CN" w:bidi="zh-TW"/>
        </w:rPr>
        <w:drawing>
          <wp:inline distT="0" distB="0" distL="114300" distR="114300">
            <wp:extent cx="2381250" cy="2381250"/>
            <wp:effectExtent l="0" t="0" r="6350" b="6350"/>
            <wp:docPr id="4" name="图片 4" descr="永龙债权申报表及附件（预）重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永龙债权申报表及附件（预）重整"/>
                    <pic:cNvPicPr>
                      <a:picLocks noChangeAspect="1"/>
                    </pic:cNvPicPr>
                  </pic:nvPicPr>
                  <pic:blipFill>
                    <a:blip r:embed="rId7"/>
                    <a:stretch>
                      <a:fillRect/>
                    </a:stretch>
                  </pic:blipFill>
                  <pic:spPr>
                    <a:xfrm>
                      <a:off x="0" y="0"/>
                      <a:ext cx="2381250" cy="2381250"/>
                    </a:xfrm>
                    <a:prstGeom prst="rect">
                      <a:avLst/>
                    </a:prstGeom>
                  </pic:spPr>
                </pic:pic>
              </a:graphicData>
            </a:graphic>
          </wp:inline>
        </w:drawing>
      </w:r>
      <w:bookmarkStart w:id="5" w:name="_GoBack"/>
      <w:bookmarkEnd w:id="5"/>
    </w:p>
    <w:p>
      <w:pPr>
        <w:rPr>
          <w:rFonts w:asciiTheme="minorEastAsia" w:hAnsiTheme="minorEastAsia" w:eastAsiaTheme="minorEastAsia"/>
          <w:sz w:val="30"/>
          <w:szCs w:val="30"/>
          <w:lang w:val="zh-TW" w:eastAsia="zh-CN" w:bidi="zh-TW"/>
        </w:rPr>
      </w:pPr>
    </w:p>
    <w:p>
      <w:pPr>
        <w:rPr>
          <w:rFonts w:asciiTheme="minorEastAsia" w:hAnsiTheme="minorEastAsia" w:eastAsiaTheme="minorEastAsia"/>
          <w:sz w:val="30"/>
          <w:szCs w:val="30"/>
          <w:lang w:val="zh-TW" w:eastAsia="zh-CN" w:bidi="zh-TW"/>
        </w:rPr>
      </w:pPr>
    </w:p>
    <w:p>
      <w:pPr>
        <w:spacing w:line="240" w:lineRule="atLeast"/>
        <w:rPr>
          <w:rFonts w:asciiTheme="minorEastAsia" w:hAnsiTheme="minorEastAsia" w:eastAsiaTheme="minorEastAsia"/>
          <w:sz w:val="30"/>
          <w:szCs w:val="30"/>
          <w:lang w:val="zh-TW" w:eastAsia="zh-CN" w:bidi="zh-TW"/>
        </w:rPr>
      </w:pPr>
    </w:p>
    <w:sectPr>
      <w:footerReference r:id="rId3" w:type="default"/>
      <w:footerReference r:id="rId4" w:type="even"/>
      <w:pgSz w:w="11900" w:h="16840"/>
      <w:pgMar w:top="893" w:right="1712" w:bottom="1459" w:left="1752" w:header="0" w:footer="850" w:gutter="0"/>
      <w:pgNumType w:start="1"/>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Arial Narrow" w:hAnsi="Arial Narrow"/>
        <w:sz w:val="22"/>
        <w:szCs w:val="22"/>
      </w:rPr>
    </w:pPr>
    <w:r>
      <w:rPr>
        <w:sz w:val="22"/>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r>
      <w:rPr>
        <w:sz w:val="22"/>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300680045"/>
                          </w:sdtPr>
                          <w:sdtEndPr>
                            <w:rPr>
                              <w:rFonts w:ascii="Arial Narrow" w:hAnsi="Arial Narrow"/>
                              <w:sz w:val="22"/>
                              <w:szCs w:val="22"/>
                            </w:rPr>
                          </w:sdtEndPr>
                          <w:sdtContent>
                            <w:p>
                              <w:pPr>
                                <w:pStyle w:val="2"/>
                                <w:jc w:val="center"/>
                              </w:pP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1300680045"/>
                    </w:sdtPr>
                    <w:sdtEndPr>
                      <w:rPr>
                        <w:rFonts w:ascii="Arial Narrow" w:hAnsi="Arial Narrow"/>
                        <w:sz w:val="22"/>
                        <w:szCs w:val="22"/>
                      </w:rPr>
                    </w:sdtEndPr>
                    <w:sdtContent>
                      <w:p>
                        <w:pPr>
                          <w:pStyle w:val="2"/>
                          <w:jc w:val="center"/>
                        </w:pPr>
                      </w:p>
                    </w:sdtContent>
                  </w:sdt>
                  <w:p/>
                </w:txbxContent>
              </v:textbox>
            </v:shape>
          </w:pict>
        </mc:Fallback>
      </mc:AlternateContent>
    </w:r>
  </w:p>
  <w:p>
    <w:pPr>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97149"/>
    </w:sdtPr>
    <w:sdtEndPr>
      <w:rPr>
        <w:rFonts w:asciiTheme="minorEastAsia" w:hAnsiTheme="minorEastAsia" w:eastAsiaTheme="minorEastAsia"/>
        <w:sz w:val="20"/>
        <w:szCs w:val="20"/>
      </w:rPr>
    </w:sdtEndPr>
    <w:sdtContent>
      <w:p>
        <w:pPr>
          <w:pStyle w:val="2"/>
          <w:jc w:val="center"/>
          <w:rPr>
            <w:rFonts w:asciiTheme="minorEastAsia" w:hAnsiTheme="minorEastAsia" w:eastAsiaTheme="minorEastAsia"/>
            <w:sz w:val="20"/>
            <w:szCs w:val="20"/>
          </w:rPr>
        </w:pPr>
        <w:r>
          <w:rPr>
            <w:rFonts w:asciiTheme="minorEastAsia" w:hAnsiTheme="minorEastAsia" w:eastAsiaTheme="minorEastAsia"/>
            <w:sz w:val="20"/>
            <w:szCs w:val="20"/>
          </w:rPr>
          <w:fldChar w:fldCharType="begin"/>
        </w:r>
        <w:r>
          <w:rPr>
            <w:rFonts w:asciiTheme="minorEastAsia" w:hAnsiTheme="minorEastAsia" w:eastAsiaTheme="minorEastAsia"/>
            <w:sz w:val="20"/>
            <w:szCs w:val="20"/>
          </w:rPr>
          <w:instrText xml:space="preserve">PAGE   \* MERGEFORMAT</w:instrText>
        </w:r>
        <w:r>
          <w:rPr>
            <w:rFonts w:asciiTheme="minorEastAsia" w:hAnsiTheme="minorEastAsia" w:eastAsiaTheme="minorEastAsia"/>
            <w:sz w:val="20"/>
            <w:szCs w:val="20"/>
          </w:rPr>
          <w:fldChar w:fldCharType="separate"/>
        </w:r>
        <w:r>
          <w:rPr>
            <w:rFonts w:asciiTheme="minorEastAsia" w:hAnsiTheme="minorEastAsia" w:eastAsiaTheme="minorEastAsia"/>
            <w:sz w:val="20"/>
            <w:szCs w:val="20"/>
            <w:lang w:val="zh-CN" w:eastAsia="zh-CN"/>
          </w:rPr>
          <w:t>2</w:t>
        </w:r>
        <w:r>
          <w:rPr>
            <w:rFonts w:asciiTheme="minorEastAsia" w:hAnsiTheme="minorEastAsia" w:eastAsiaTheme="minorEastAsia"/>
            <w:sz w:val="20"/>
            <w:szCs w:val="20"/>
          </w:rPr>
          <w:fldChar w:fldCharType="end"/>
        </w:r>
      </w:p>
    </w:sdtContent>
  </w:sdt>
  <w:p>
    <w:pPr>
      <w:spacing w:line="1" w:lineRule="exac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81"/>
  <w:drawingGridVerticalSpacing w:val="181"/>
  <w:displayHorizontalDrawingGridEvery w:val="0"/>
  <w:displayVerticalDrawingGridEvery w:val="2"/>
  <w:characterSpacingControl w:val="compressPunctuation"/>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NjNmE1YjdkOTZlNTQxZjM5MTBkMTE3ZDhkYmZiMWIifQ=="/>
  </w:docVars>
  <w:rsids>
    <w:rsidRoot w:val="0036649C"/>
    <w:rsid w:val="0011274B"/>
    <w:rsid w:val="0036649C"/>
    <w:rsid w:val="00483B6B"/>
    <w:rsid w:val="004A0F67"/>
    <w:rsid w:val="00521083"/>
    <w:rsid w:val="006826BC"/>
    <w:rsid w:val="008C21D7"/>
    <w:rsid w:val="00AC34B9"/>
    <w:rsid w:val="00B117F1"/>
    <w:rsid w:val="00CA71D4"/>
    <w:rsid w:val="00F27392"/>
    <w:rsid w:val="04DA07C5"/>
    <w:rsid w:val="0D007F04"/>
    <w:rsid w:val="15C40F54"/>
    <w:rsid w:val="1A457223"/>
    <w:rsid w:val="1C0114F9"/>
    <w:rsid w:val="20BD3D97"/>
    <w:rsid w:val="28924DCB"/>
    <w:rsid w:val="2C2E4F21"/>
    <w:rsid w:val="301E3C7A"/>
    <w:rsid w:val="309402A2"/>
    <w:rsid w:val="324C145C"/>
    <w:rsid w:val="32B7407F"/>
    <w:rsid w:val="4CA31581"/>
    <w:rsid w:val="4D74378F"/>
    <w:rsid w:val="515E6AB6"/>
    <w:rsid w:val="55262B98"/>
    <w:rsid w:val="560D6AC0"/>
    <w:rsid w:val="5CE85B5A"/>
    <w:rsid w:val="60621819"/>
    <w:rsid w:val="6A3B0C07"/>
    <w:rsid w:val="6A4B37E1"/>
    <w:rsid w:val="710F4BED"/>
    <w:rsid w:val="77366E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5"/>
    <w:qFormat/>
    <w:uiPriority w:val="99"/>
    <w:pPr>
      <w:tabs>
        <w:tab w:val="center" w:pos="4153"/>
        <w:tab w:val="right" w:pos="8306"/>
      </w:tabs>
      <w:snapToGrid w:val="0"/>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4">
    <w:name w:val="Title"/>
    <w:basedOn w:val="1"/>
    <w:next w:val="1"/>
    <w:link w:val="16"/>
    <w:qFormat/>
    <w:uiPriority w:val="0"/>
    <w:pPr>
      <w:spacing w:before="240" w:after="60"/>
      <w:jc w:val="center"/>
      <w:outlineLvl w:val="0"/>
    </w:pPr>
    <w:rPr>
      <w:rFonts w:asciiTheme="majorHAnsi" w:hAnsiTheme="majorHAnsi" w:eastAsiaTheme="majorEastAsia" w:cstheme="majorBidi"/>
      <w:b/>
      <w:bCs/>
      <w:sz w:val="44"/>
      <w:szCs w:val="32"/>
    </w:rPr>
  </w:style>
  <w:style w:type="character" w:customStyle="1" w:styleId="7">
    <w:name w:val="Heading #1|1_"/>
    <w:basedOn w:val="6"/>
    <w:link w:val="8"/>
    <w:qFormat/>
    <w:uiPriority w:val="0"/>
    <w:rPr>
      <w:rFonts w:ascii="宋体" w:hAnsi="宋体" w:eastAsia="宋体" w:cs="宋体"/>
      <w:sz w:val="42"/>
      <w:szCs w:val="42"/>
      <w:u w:val="none"/>
      <w:shd w:val="clear" w:color="auto" w:fill="auto"/>
      <w:lang w:val="zh-TW" w:eastAsia="zh-TW" w:bidi="zh-TW"/>
    </w:rPr>
  </w:style>
  <w:style w:type="paragraph" w:customStyle="1" w:styleId="8">
    <w:name w:val="Heading #1|1"/>
    <w:basedOn w:val="1"/>
    <w:link w:val="7"/>
    <w:qFormat/>
    <w:uiPriority w:val="0"/>
    <w:pPr>
      <w:spacing w:after="660" w:line="1024" w:lineRule="exact"/>
      <w:jc w:val="center"/>
      <w:outlineLvl w:val="0"/>
    </w:pPr>
    <w:rPr>
      <w:rFonts w:ascii="宋体" w:hAnsi="宋体" w:eastAsia="宋体" w:cs="宋体"/>
      <w:sz w:val="42"/>
      <w:szCs w:val="42"/>
      <w:lang w:val="zh-TW" w:eastAsia="zh-TW" w:bidi="zh-TW"/>
    </w:rPr>
  </w:style>
  <w:style w:type="character" w:customStyle="1" w:styleId="9">
    <w:name w:val="Header or footer|2_"/>
    <w:basedOn w:val="6"/>
    <w:link w:val="10"/>
    <w:qFormat/>
    <w:uiPriority w:val="0"/>
    <w:rPr>
      <w:sz w:val="20"/>
      <w:szCs w:val="20"/>
      <w:u w:val="none"/>
      <w:shd w:val="clear" w:color="auto" w:fill="auto"/>
      <w:lang w:val="zh-TW" w:eastAsia="zh-TW" w:bidi="zh-TW"/>
    </w:rPr>
  </w:style>
  <w:style w:type="paragraph" w:customStyle="1" w:styleId="10">
    <w:name w:val="Header or footer|2"/>
    <w:basedOn w:val="1"/>
    <w:link w:val="9"/>
    <w:qFormat/>
    <w:uiPriority w:val="0"/>
    <w:rPr>
      <w:sz w:val="20"/>
      <w:szCs w:val="20"/>
      <w:lang w:val="zh-TW" w:eastAsia="zh-TW" w:bidi="zh-TW"/>
    </w:rPr>
  </w:style>
  <w:style w:type="character" w:customStyle="1" w:styleId="11">
    <w:name w:val="Body text|1_"/>
    <w:basedOn w:val="6"/>
    <w:link w:val="12"/>
    <w:qFormat/>
    <w:uiPriority w:val="0"/>
    <w:rPr>
      <w:rFonts w:ascii="宋体" w:hAnsi="宋体" w:eastAsia="宋体" w:cs="宋体"/>
      <w:sz w:val="30"/>
      <w:szCs w:val="30"/>
      <w:u w:val="none"/>
      <w:shd w:val="clear" w:color="auto" w:fill="auto"/>
      <w:lang w:val="zh-TW" w:eastAsia="zh-TW" w:bidi="zh-TW"/>
    </w:rPr>
  </w:style>
  <w:style w:type="paragraph" w:customStyle="1" w:styleId="12">
    <w:name w:val="Body text|1"/>
    <w:basedOn w:val="1"/>
    <w:link w:val="11"/>
    <w:qFormat/>
    <w:uiPriority w:val="0"/>
    <w:pPr>
      <w:spacing w:line="449" w:lineRule="auto"/>
      <w:ind w:firstLine="400"/>
    </w:pPr>
    <w:rPr>
      <w:rFonts w:ascii="宋体" w:hAnsi="宋体" w:eastAsia="宋体" w:cs="宋体"/>
      <w:sz w:val="30"/>
      <w:szCs w:val="30"/>
      <w:lang w:val="zh-TW" w:eastAsia="zh-TW" w:bidi="zh-TW"/>
    </w:rPr>
  </w:style>
  <w:style w:type="character" w:customStyle="1" w:styleId="13">
    <w:name w:val="Body text|2_"/>
    <w:basedOn w:val="6"/>
    <w:link w:val="14"/>
    <w:qFormat/>
    <w:uiPriority w:val="0"/>
    <w:rPr>
      <w:sz w:val="30"/>
      <w:szCs w:val="30"/>
      <w:u w:val="none"/>
      <w:shd w:val="clear" w:color="auto" w:fill="auto"/>
    </w:rPr>
  </w:style>
  <w:style w:type="paragraph" w:customStyle="1" w:styleId="14">
    <w:name w:val="Body text|2"/>
    <w:basedOn w:val="1"/>
    <w:link w:val="13"/>
    <w:qFormat/>
    <w:uiPriority w:val="0"/>
    <w:pPr>
      <w:spacing w:after="240"/>
    </w:pPr>
    <w:rPr>
      <w:sz w:val="30"/>
      <w:szCs w:val="30"/>
    </w:rPr>
  </w:style>
  <w:style w:type="character" w:customStyle="1" w:styleId="15">
    <w:name w:val="页脚 字符"/>
    <w:basedOn w:val="6"/>
    <w:link w:val="2"/>
    <w:qFormat/>
    <w:uiPriority w:val="99"/>
    <w:rPr>
      <w:rFonts w:eastAsia="Times New Roman"/>
      <w:color w:val="000000"/>
      <w:sz w:val="18"/>
      <w:szCs w:val="18"/>
      <w:lang w:eastAsia="en-US" w:bidi="en-US"/>
    </w:rPr>
  </w:style>
  <w:style w:type="character" w:customStyle="1" w:styleId="16">
    <w:name w:val="标题 字符"/>
    <w:basedOn w:val="6"/>
    <w:link w:val="4"/>
    <w:qFormat/>
    <w:uiPriority w:val="0"/>
    <w:rPr>
      <w:rFonts w:asciiTheme="majorHAnsi" w:hAnsiTheme="majorHAnsi" w:eastAsiaTheme="majorEastAsia" w:cstheme="majorBidi"/>
      <w:b/>
      <w:bCs/>
      <w:color w:val="000000"/>
      <w:sz w:val="44"/>
      <w:szCs w:val="32"/>
      <w:lang w:eastAsia="en-US" w:bidi="en-US"/>
    </w:rPr>
  </w:style>
  <w:style w:type="paragraph" w:customStyle="1" w:styleId="17">
    <w:name w:val="修订1"/>
    <w:hidden/>
    <w:semiHidden/>
    <w:qFormat/>
    <w:uiPriority w:val="99"/>
    <w:rPr>
      <w:rFonts w:ascii="Times New Roman" w:hAnsi="Times New Roman" w:eastAsia="Times New Roman" w:cs="Times New Roman"/>
      <w:color w:val="000000"/>
      <w:sz w:val="24"/>
      <w:szCs w:val="24"/>
      <w:lang w:val="en-US" w:eastAsia="en-US" w:bidi="en-US"/>
    </w:rPr>
  </w:style>
  <w:style w:type="paragraph" w:customStyle="1" w:styleId="18">
    <w:name w:val="Revision"/>
    <w:hidden/>
    <w:semiHidden/>
    <w:qFormat/>
    <w:uiPriority w:val="99"/>
    <w:rPr>
      <w:rFonts w:ascii="Times New Roman" w:hAnsi="Times New Roman" w:eastAsia="Times New Roman" w:cs="Times New Roman"/>
      <w:color w:val="000000"/>
      <w:sz w:val="24"/>
      <w:szCs w:val="24"/>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133</Words>
  <Characters>760</Characters>
  <Lines>6</Lines>
  <Paragraphs>1</Paragraphs>
  <TotalTime>3</TotalTime>
  <ScaleCrop>false</ScaleCrop>
  <LinksUpToDate>false</LinksUpToDate>
  <CharactersWithSpaces>892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2021-09-17T13:48:00Z</dcterms:created>
  <dc:creator>CamScanner</dc:creator>
  <cp:lastModifiedBy>Lishaotong</cp:lastModifiedBy>
  <dcterms:modified xsi:type="dcterms:W3CDTF">2023-01-05T06:57:35Z</dcterms:modified>
  <dc:subject>4-（2019）豫01破申38号债权申报公告</dc:subject>
  <dc:title>4-（2019）豫01破申38号债权申报公告</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8672ADFE8B146BF96ED4C462FB9F3017</vt:lpwstr>
  </property>
</Properties>
</file>