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150" w:beforeAutospacing="0" w:after="150" w:afterAutospacing="0" w:line="465" w:lineRule="atLeast"/>
        <w:jc w:val="center"/>
        <w:textAlignment w:val="baseline"/>
        <w:rPr>
          <w:rStyle w:val="7"/>
          <w:rFonts w:ascii="宋体" w:hAnsi="宋体" w:eastAsia="宋体" w:cs="宋体"/>
          <w:color w:val="303030"/>
          <w:sz w:val="36"/>
          <w:szCs w:val="36"/>
        </w:rPr>
      </w:pPr>
      <w:r>
        <w:rPr>
          <w:rStyle w:val="7"/>
          <w:rFonts w:ascii="宋体" w:hAnsi="宋体" w:eastAsia="宋体" w:cs="宋体"/>
          <w:color w:val="303030"/>
          <w:sz w:val="36"/>
          <w:szCs w:val="36"/>
        </w:rPr>
        <w:t>武汉原绿世嘉置业有限公司</w:t>
      </w:r>
    </w:p>
    <w:p>
      <w:pPr>
        <w:pStyle w:val="4"/>
        <w:widowControl/>
        <w:spacing w:before="150" w:beforeAutospacing="0" w:after="150" w:afterAutospacing="0" w:line="465" w:lineRule="atLeast"/>
        <w:jc w:val="center"/>
        <w:textAlignment w:val="baseline"/>
        <w:rPr>
          <w:rStyle w:val="7"/>
          <w:rFonts w:ascii="宋体" w:hAnsi="宋体" w:eastAsia="宋体" w:cs="宋体"/>
          <w:color w:val="303030"/>
          <w:sz w:val="36"/>
          <w:szCs w:val="36"/>
        </w:rPr>
      </w:pPr>
      <w:r>
        <w:rPr>
          <w:rStyle w:val="7"/>
          <w:rFonts w:hint="eastAsia" w:ascii="宋体" w:hAnsi="宋体" w:eastAsia="宋体" w:cs="宋体"/>
          <w:color w:val="303030"/>
          <w:sz w:val="36"/>
          <w:szCs w:val="36"/>
        </w:rPr>
        <w:t>重整意向投资人预招募公告</w:t>
      </w:r>
    </w:p>
    <w:p>
      <w:pPr>
        <w:pStyle w:val="4"/>
        <w:widowControl/>
        <w:spacing w:before="150" w:beforeAutospacing="0" w:after="150" w:afterAutospacing="0" w:line="465" w:lineRule="atLeast"/>
        <w:jc w:val="center"/>
        <w:textAlignment w:val="baseline"/>
        <w:rPr>
          <w:rStyle w:val="7"/>
          <w:rFonts w:ascii="宋体" w:hAnsi="宋体" w:eastAsia="宋体" w:cs="宋体"/>
          <w:color w:val="303030"/>
          <w:sz w:val="36"/>
          <w:szCs w:val="36"/>
        </w:rPr>
      </w:pP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武汉原绿世嘉置业有限公司（以下简称原绿世嘉公司</w:t>
      </w:r>
      <w:r>
        <w:rPr>
          <w:rFonts w:hint="eastAsia" w:ascii="仿宋" w:hAnsi="仿宋" w:eastAsia="仿宋" w:cs="仿宋"/>
          <w:color w:val="303030"/>
          <w:sz w:val="28"/>
          <w:szCs w:val="28"/>
        </w:rPr>
        <w:t>或债务人</w:t>
      </w:r>
      <w:r>
        <w:rPr>
          <w:rFonts w:ascii="仿宋" w:hAnsi="仿宋" w:eastAsia="仿宋" w:cs="仿宋"/>
          <w:color w:val="303030"/>
          <w:sz w:val="28"/>
          <w:szCs w:val="28"/>
        </w:rPr>
        <w:t>）因不能清偿到期债务，并且明显缺乏偿债能力，经申请人武汉二十一世纪基础工程有限公司申请，武汉市东西湖区人民法院于2021年12月27日以（2021）鄂0112破申22号《民事裁定书》裁定受理，并于2021年12月28日以（2021）鄂0112破申22-1号《决定书》，指定原绿世嘉公司清算组为债务人原绿世嘉公司的管理人，湖北英达律师事务所金路律师为该管理人负责人。</w:t>
      </w:r>
    </w:p>
    <w:p>
      <w:pPr>
        <w:pStyle w:val="4"/>
        <w:widowControl/>
        <w:spacing w:before="150" w:beforeAutospacing="0" w:after="150" w:afterAutospacing="0" w:line="540" w:lineRule="atLeast"/>
        <w:ind w:firstLine="560" w:firstLineChars="200"/>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为充分实现原绿世嘉公司资产价值和经营价值、尽快实现所有项目的全面复工，尽可能提高债权人的清偿比例，最大限度地保护各方的合法权益，管理人依据《中华人民共和国企业破产法》及相关法律规定面向全国公开招募原绿世嘉公司重整意向投资人，现就本次意向投资人预招募相关事宜公告如下：</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ascii="黑体" w:hAnsi="黑体" w:eastAsia="黑体" w:cs="仿宋"/>
          <w:color w:val="303030"/>
          <w:sz w:val="28"/>
          <w:szCs w:val="28"/>
        </w:rPr>
        <w:t>一、公司基本情况</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b/>
          <w:bCs/>
          <w:color w:val="303030"/>
          <w:sz w:val="28"/>
          <w:szCs w:val="28"/>
        </w:rPr>
        <w:t>（一）营业执照信息</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原绿世嘉公司设立于2019年6月13日，营业期限至无固定期限。公司性质为其他有限责任公司，注册资本10000万元，注册地为武汉市东西湖区啤砖路51号台商大厦1716室，法定代表人王金水。统一社会信用代码：91420112MA4K4BQXXK。</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b/>
          <w:bCs/>
          <w:color w:val="303030"/>
          <w:sz w:val="28"/>
          <w:szCs w:val="28"/>
        </w:rPr>
        <w:t>（二）股权结构</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color w:val="303030"/>
          <w:sz w:val="28"/>
          <w:szCs w:val="28"/>
        </w:rPr>
        <w:t>当代节能置业股份有限公司</w:t>
      </w:r>
      <w:r>
        <w:rPr>
          <w:rFonts w:hint="eastAsia" w:ascii="仿宋" w:hAnsi="仿宋" w:eastAsia="仿宋" w:cs="仿宋"/>
          <w:color w:val="303030"/>
          <w:sz w:val="28"/>
          <w:szCs w:val="28"/>
        </w:rPr>
        <w:t>出资8</w:t>
      </w:r>
      <w:r>
        <w:rPr>
          <w:rFonts w:ascii="仿宋" w:hAnsi="仿宋" w:eastAsia="仿宋" w:cs="仿宋"/>
          <w:color w:val="303030"/>
          <w:sz w:val="28"/>
          <w:szCs w:val="28"/>
        </w:rPr>
        <w:t>000</w:t>
      </w:r>
      <w:r>
        <w:rPr>
          <w:rFonts w:hint="eastAsia" w:ascii="仿宋" w:hAnsi="仿宋" w:eastAsia="仿宋" w:cs="仿宋"/>
          <w:color w:val="303030"/>
          <w:sz w:val="28"/>
          <w:szCs w:val="28"/>
        </w:rPr>
        <w:t>万，占股8</w:t>
      </w:r>
      <w:r>
        <w:rPr>
          <w:rFonts w:ascii="仿宋" w:hAnsi="仿宋" w:eastAsia="仿宋" w:cs="仿宋"/>
          <w:color w:val="303030"/>
          <w:sz w:val="28"/>
          <w:szCs w:val="28"/>
        </w:rPr>
        <w:t>0%</w:t>
      </w:r>
      <w:r>
        <w:rPr>
          <w:rFonts w:hint="eastAsia" w:ascii="仿宋" w:hAnsi="仿宋" w:eastAsia="仿宋" w:cs="仿宋"/>
          <w:color w:val="303030"/>
          <w:sz w:val="28"/>
          <w:szCs w:val="28"/>
        </w:rPr>
        <w:t>；</w:t>
      </w:r>
      <w:r>
        <w:rPr>
          <w:rFonts w:ascii="仿宋" w:hAnsi="仿宋" w:eastAsia="仿宋" w:cs="仿宋"/>
          <w:color w:val="303030"/>
          <w:sz w:val="28"/>
          <w:szCs w:val="28"/>
        </w:rPr>
        <w:t>武汉绽蓝世嘉置业有限公司</w:t>
      </w:r>
      <w:r>
        <w:rPr>
          <w:rFonts w:hint="eastAsia" w:ascii="仿宋" w:hAnsi="仿宋" w:eastAsia="仿宋" w:cs="仿宋"/>
          <w:color w:val="303030"/>
          <w:sz w:val="28"/>
          <w:szCs w:val="28"/>
        </w:rPr>
        <w:t>出资2</w:t>
      </w:r>
      <w:r>
        <w:rPr>
          <w:rFonts w:ascii="仿宋" w:hAnsi="仿宋" w:eastAsia="仿宋" w:cs="仿宋"/>
          <w:color w:val="303030"/>
          <w:sz w:val="28"/>
          <w:szCs w:val="28"/>
        </w:rPr>
        <w:t>000</w:t>
      </w:r>
      <w:r>
        <w:rPr>
          <w:rFonts w:hint="eastAsia" w:ascii="仿宋" w:hAnsi="仿宋" w:eastAsia="仿宋" w:cs="仿宋"/>
          <w:color w:val="303030"/>
          <w:sz w:val="28"/>
          <w:szCs w:val="28"/>
        </w:rPr>
        <w:t>万，占股2</w:t>
      </w:r>
      <w:r>
        <w:rPr>
          <w:rFonts w:ascii="仿宋" w:hAnsi="仿宋" w:eastAsia="仿宋" w:cs="仿宋"/>
          <w:color w:val="303030"/>
          <w:sz w:val="28"/>
          <w:szCs w:val="28"/>
        </w:rPr>
        <w:t>0%</w:t>
      </w:r>
      <w:r>
        <w:rPr>
          <w:rFonts w:hint="eastAsia" w:ascii="仿宋" w:hAnsi="仿宋" w:eastAsia="仿宋" w:cs="仿宋"/>
          <w:color w:val="303030"/>
          <w:sz w:val="28"/>
          <w:szCs w:val="28"/>
        </w:rPr>
        <w:t>。</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b/>
          <w:bCs/>
          <w:color w:val="303030"/>
          <w:sz w:val="28"/>
          <w:szCs w:val="28"/>
        </w:rPr>
        <w:t>（三）生产经营范围</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房地产开发；商品房销售；建筑节能技术服务；建筑装饰装修工程的设计、施工；电子游艺厅娱乐活动；主题游乐园服务；餐饮服务；摄影服务；广告的设计、制作、发布及代理；日用百货的批发及零售；场地租赁；游艺设备技术开发、技术咨询、技术服务、技术转让。（依法须经审批的项目，经相关部门审批后方可开展经营活动）</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b/>
          <w:bCs/>
          <w:color w:val="303030"/>
          <w:sz w:val="28"/>
          <w:szCs w:val="28"/>
        </w:rPr>
        <w:t>（四）职工状况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管理人接管原绿世嘉公司后，经审查，截至人民法院受理原绿世嘉公司破产清算案件之日，共有34 名员工与原绿世嘉公司存续劳动合同。2022年2月24日，管理人依法与原职工全部解除劳动合同。</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b/>
          <w:bCs/>
          <w:color w:val="303030"/>
          <w:sz w:val="28"/>
          <w:szCs w:val="28"/>
        </w:rPr>
        <w:t>（五）资产状况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主要财产类型包括货币资金、土地及在建工程、电子设备、样板间家具、办公家具。经审计，截至2021年12月31日，原绿</w:t>
      </w:r>
      <w:r>
        <w:rPr>
          <w:rFonts w:hint="eastAsia" w:ascii="仿宋" w:hAnsi="仿宋" w:eastAsia="仿宋" w:cs="仿宋"/>
          <w:color w:val="303030"/>
          <w:sz w:val="28"/>
          <w:szCs w:val="28"/>
        </w:rPr>
        <w:t>世嘉</w:t>
      </w:r>
      <w:r>
        <w:rPr>
          <w:rFonts w:ascii="仿宋" w:hAnsi="仿宋" w:eastAsia="仿宋" w:cs="仿宋"/>
          <w:color w:val="303030"/>
          <w:sz w:val="28"/>
          <w:szCs w:val="28"/>
        </w:rPr>
        <w:t>公司账面反映资产总额254,379.10万元，负债总额253,573.73万元，净资产805.37万元。原绿</w:t>
      </w:r>
      <w:r>
        <w:rPr>
          <w:rFonts w:hint="eastAsia" w:ascii="仿宋" w:hAnsi="仿宋" w:eastAsia="仿宋" w:cs="仿宋"/>
          <w:color w:val="303030"/>
          <w:sz w:val="28"/>
          <w:szCs w:val="28"/>
        </w:rPr>
        <w:t>世嘉</w:t>
      </w:r>
      <w:r>
        <w:rPr>
          <w:rFonts w:ascii="仿宋" w:hAnsi="仿宋" w:eastAsia="仿宋" w:cs="仿宋"/>
          <w:color w:val="303030"/>
          <w:sz w:val="28"/>
          <w:szCs w:val="28"/>
        </w:rPr>
        <w:t>公司</w:t>
      </w:r>
      <w:r>
        <w:rPr>
          <w:rFonts w:hint="eastAsia" w:ascii="仿宋" w:hAnsi="仿宋" w:eastAsia="仿宋" w:cs="仿宋"/>
          <w:color w:val="303030"/>
          <w:sz w:val="28"/>
          <w:szCs w:val="28"/>
        </w:rPr>
        <w:t>实际债务以管理人认定并以人民法院裁定结果为准。</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b/>
          <w:bCs/>
          <w:color w:val="303030"/>
          <w:sz w:val="28"/>
          <w:szCs w:val="28"/>
        </w:rPr>
        <w:t>（六）经营状况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债务人在申请破产前，当代境MOMΛ建设项目已停工数月，无实际经营活动。人民法院受理破产清算申请后，经管理人审查当代境MOMΛ一、二期住宅项目复工符合法律规定并有利于保护全体债权人的利益，经向人民法院报备，于2022年3月31日正式启动复工复建工作。经管理人与项目建设总包单位确认，当代境MOMΛ一期预计于复工后8个月、二期预计于复工后18个月内完成竣备交付。若发生疫情等不可抗力影响，建设期限相应顺延。</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二、公司主要资产情况</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（一）银行存款信息</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经查询，原绿世嘉公司已开立银行账户共</w:t>
      </w:r>
      <w:r>
        <w:rPr>
          <w:rFonts w:ascii="仿宋" w:hAnsi="仿宋" w:eastAsia="仿宋" w:cs="仿宋"/>
          <w:color w:val="303030"/>
          <w:sz w:val="28"/>
          <w:szCs w:val="28"/>
        </w:rPr>
        <w:t>14</w:t>
      </w:r>
      <w:r>
        <w:rPr>
          <w:rFonts w:hint="eastAsia" w:ascii="仿宋" w:hAnsi="仿宋" w:eastAsia="仿宋" w:cs="仿宋"/>
          <w:color w:val="303030"/>
          <w:sz w:val="28"/>
          <w:szCs w:val="28"/>
        </w:rPr>
        <w:t>个，截至人民法院受理破产清算之日，资金监管账户余额为</w:t>
      </w:r>
      <w:r>
        <w:rPr>
          <w:rFonts w:ascii="仿宋" w:hAnsi="仿宋" w:eastAsia="仿宋" w:cs="仿宋"/>
          <w:color w:val="303030"/>
          <w:sz w:val="28"/>
          <w:szCs w:val="28"/>
        </w:rPr>
        <w:t>267,973,818</w:t>
      </w:r>
      <w:r>
        <w:rPr>
          <w:rFonts w:hint="eastAsia" w:ascii="仿宋" w:hAnsi="仿宋" w:eastAsia="仿宋" w:cs="仿宋"/>
          <w:color w:val="303030"/>
          <w:sz w:val="28"/>
          <w:szCs w:val="28"/>
        </w:rPr>
        <w:t>.</w:t>
      </w:r>
      <w:r>
        <w:rPr>
          <w:rFonts w:ascii="仿宋" w:hAnsi="仿宋" w:eastAsia="仿宋" w:cs="仿宋"/>
          <w:color w:val="303030"/>
          <w:sz w:val="28"/>
          <w:szCs w:val="28"/>
        </w:rPr>
        <w:t>2</w:t>
      </w:r>
      <w:r>
        <w:rPr>
          <w:rFonts w:hint="eastAsia" w:ascii="仿宋" w:hAnsi="仿宋" w:eastAsia="仿宋" w:cs="仿宋"/>
          <w:color w:val="303030"/>
          <w:sz w:val="28"/>
          <w:szCs w:val="28"/>
        </w:rPr>
        <w:t>元，一般账户余额为9</w:t>
      </w:r>
      <w:r>
        <w:rPr>
          <w:rFonts w:ascii="仿宋" w:hAnsi="仿宋" w:eastAsia="仿宋" w:cs="仿宋"/>
          <w:color w:val="303030"/>
          <w:sz w:val="28"/>
          <w:szCs w:val="28"/>
        </w:rPr>
        <w:t>,379,217.26</w:t>
      </w:r>
      <w:r>
        <w:rPr>
          <w:rFonts w:hint="eastAsia" w:ascii="仿宋" w:hAnsi="仿宋" w:eastAsia="仿宋" w:cs="仿宋"/>
          <w:color w:val="303030"/>
          <w:sz w:val="28"/>
          <w:szCs w:val="28"/>
        </w:rPr>
        <w:t>元，上述账户余额共计</w:t>
      </w:r>
      <w:bookmarkStart w:id="0" w:name="_Hlk87450428"/>
      <w:r>
        <w:rPr>
          <w:rFonts w:ascii="仿宋" w:hAnsi="仿宋" w:eastAsia="仿宋" w:cs="仿宋"/>
          <w:color w:val="303030"/>
          <w:sz w:val="28"/>
          <w:szCs w:val="28"/>
        </w:rPr>
        <w:t>277,353,035.45</w:t>
      </w:r>
      <w:r>
        <w:rPr>
          <w:rFonts w:hint="eastAsia" w:ascii="仿宋" w:hAnsi="仿宋" w:eastAsia="仿宋" w:cs="仿宋"/>
          <w:color w:val="303030"/>
          <w:sz w:val="28"/>
          <w:szCs w:val="28"/>
        </w:rPr>
        <w:t>元</w:t>
      </w:r>
      <w:bookmarkEnd w:id="0"/>
      <w:r>
        <w:rPr>
          <w:rFonts w:hint="eastAsia" w:ascii="仿宋" w:hAnsi="仿宋" w:eastAsia="仿宋" w:cs="仿宋"/>
          <w:color w:val="303030"/>
          <w:sz w:val="28"/>
          <w:szCs w:val="28"/>
        </w:rPr>
        <w:t xml:space="preserve">。 </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（二）住宅用地</w:t>
      </w:r>
    </w:p>
    <w:p>
      <w:pPr>
        <w:pStyle w:val="4"/>
        <w:widowControl/>
        <w:spacing w:before="150" w:beforeAutospacing="0" w:after="150" w:afterAutospacing="0" w:line="540" w:lineRule="atLeast"/>
        <w:ind w:firstLine="560" w:firstLineChars="200"/>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原绿世嘉公司享有使用权的住宅用地一块，土地证号为：鄂（2</w:t>
      </w:r>
      <w:r>
        <w:rPr>
          <w:rFonts w:ascii="仿宋" w:hAnsi="仿宋" w:eastAsia="仿宋" w:cs="仿宋"/>
          <w:color w:val="303030"/>
          <w:sz w:val="28"/>
          <w:szCs w:val="28"/>
        </w:rPr>
        <w:t>019</w:t>
      </w:r>
      <w:r>
        <w:rPr>
          <w:rFonts w:hint="eastAsia" w:ascii="仿宋" w:hAnsi="仿宋" w:eastAsia="仿宋" w:cs="仿宋"/>
          <w:color w:val="303030"/>
          <w:sz w:val="28"/>
          <w:szCs w:val="28"/>
        </w:rPr>
        <w:t>）武汉市东西湖不动产权第0</w:t>
      </w:r>
      <w:r>
        <w:rPr>
          <w:rFonts w:ascii="仿宋" w:hAnsi="仿宋" w:eastAsia="仿宋" w:cs="仿宋"/>
          <w:color w:val="303030"/>
          <w:sz w:val="28"/>
          <w:szCs w:val="28"/>
        </w:rPr>
        <w:t>069957</w:t>
      </w:r>
      <w:r>
        <w:rPr>
          <w:rFonts w:hint="eastAsia" w:ascii="仿宋" w:hAnsi="仿宋" w:eastAsia="仿宋" w:cs="仿宋"/>
          <w:color w:val="303030"/>
          <w:sz w:val="28"/>
          <w:szCs w:val="28"/>
        </w:rPr>
        <w:t>号，土地坐落于武汉市东西湖区径河街径西九路以东、金北二路以北，土地使用面积为</w:t>
      </w:r>
      <w:r>
        <w:rPr>
          <w:rFonts w:ascii="仿宋" w:hAnsi="仿宋" w:eastAsia="仿宋" w:cs="仿宋"/>
          <w:color w:val="303030"/>
          <w:sz w:val="28"/>
          <w:szCs w:val="28"/>
        </w:rPr>
        <w:t>50702.70</w:t>
      </w:r>
      <w:r>
        <w:rPr>
          <w:rFonts w:hint="eastAsia" w:ascii="仿宋" w:hAnsi="仿宋" w:eastAsia="仿宋" w:cs="仿宋"/>
          <w:color w:val="303030"/>
          <w:sz w:val="28"/>
          <w:szCs w:val="28"/>
        </w:rPr>
        <w:t>平方米，用途为城镇住宅用地，登记日期为20</w:t>
      </w:r>
      <w:r>
        <w:rPr>
          <w:rFonts w:ascii="仿宋" w:hAnsi="仿宋" w:eastAsia="仿宋" w:cs="仿宋"/>
          <w:color w:val="303030"/>
          <w:sz w:val="28"/>
          <w:szCs w:val="28"/>
        </w:rPr>
        <w:t>19</w:t>
      </w:r>
      <w:r>
        <w:rPr>
          <w:rFonts w:hint="eastAsia" w:ascii="仿宋" w:hAnsi="仿宋" w:eastAsia="仿宋" w:cs="仿宋"/>
          <w:color w:val="303030"/>
          <w:sz w:val="28"/>
          <w:szCs w:val="28"/>
        </w:rPr>
        <w:t>年</w:t>
      </w:r>
      <w:r>
        <w:rPr>
          <w:rFonts w:ascii="仿宋" w:hAnsi="仿宋" w:eastAsia="仿宋" w:cs="仿宋"/>
          <w:color w:val="303030"/>
          <w:sz w:val="28"/>
          <w:szCs w:val="28"/>
        </w:rPr>
        <w:t>12</w:t>
      </w:r>
      <w:r>
        <w:rPr>
          <w:rFonts w:hint="eastAsia" w:ascii="仿宋" w:hAnsi="仿宋" w:eastAsia="仿宋" w:cs="仿宋"/>
          <w:color w:val="303030"/>
          <w:sz w:val="28"/>
          <w:szCs w:val="28"/>
        </w:rPr>
        <w:t>月</w:t>
      </w:r>
      <w:r>
        <w:rPr>
          <w:rFonts w:ascii="仿宋" w:hAnsi="仿宋" w:eastAsia="仿宋" w:cs="仿宋"/>
          <w:color w:val="303030"/>
          <w:sz w:val="28"/>
          <w:szCs w:val="28"/>
        </w:rPr>
        <w:t>18</w:t>
      </w:r>
      <w:r>
        <w:rPr>
          <w:rFonts w:hint="eastAsia" w:ascii="仿宋" w:hAnsi="仿宋" w:eastAsia="仿宋" w:cs="仿宋"/>
          <w:color w:val="303030"/>
          <w:sz w:val="28"/>
          <w:szCs w:val="28"/>
        </w:rPr>
        <w:t>日。</w:t>
      </w:r>
      <w:r>
        <w:rPr>
          <w:rFonts w:ascii="仿宋" w:hAnsi="仿宋" w:eastAsia="仿宋" w:cs="仿宋"/>
          <w:color w:val="303030"/>
          <w:sz w:val="28"/>
          <w:szCs w:val="28"/>
        </w:rPr>
        <w:t xml:space="preserve"> </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（三）商业用地</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原绿世嘉公司享有使用权的商业用地一块，土地证号为：鄂（2</w:t>
      </w:r>
      <w:r>
        <w:rPr>
          <w:rFonts w:ascii="仿宋" w:hAnsi="仿宋" w:eastAsia="仿宋" w:cs="仿宋"/>
          <w:color w:val="303030"/>
          <w:sz w:val="28"/>
          <w:szCs w:val="28"/>
        </w:rPr>
        <w:t>020</w:t>
      </w:r>
      <w:r>
        <w:rPr>
          <w:rFonts w:hint="eastAsia" w:ascii="仿宋" w:hAnsi="仿宋" w:eastAsia="仿宋" w:cs="仿宋"/>
          <w:color w:val="303030"/>
          <w:sz w:val="28"/>
          <w:szCs w:val="28"/>
        </w:rPr>
        <w:t>）武汉市东西湖不动产权第0</w:t>
      </w:r>
      <w:r>
        <w:rPr>
          <w:rFonts w:ascii="仿宋" w:hAnsi="仿宋" w:eastAsia="仿宋" w:cs="仿宋"/>
          <w:color w:val="303030"/>
          <w:sz w:val="28"/>
          <w:szCs w:val="28"/>
        </w:rPr>
        <w:t>003612</w:t>
      </w:r>
      <w:r>
        <w:rPr>
          <w:rFonts w:hint="eastAsia" w:ascii="仿宋" w:hAnsi="仿宋" w:eastAsia="仿宋" w:cs="仿宋"/>
          <w:color w:val="303030"/>
          <w:sz w:val="28"/>
          <w:szCs w:val="28"/>
        </w:rPr>
        <w:t>号，土地坐落于武汉市东西湖区径河街金北一路两侧、径西六路以西，土地使用面积为</w:t>
      </w:r>
      <w:r>
        <w:rPr>
          <w:rFonts w:ascii="仿宋" w:hAnsi="仿宋" w:eastAsia="仿宋" w:cs="仿宋"/>
          <w:color w:val="303030"/>
          <w:sz w:val="28"/>
          <w:szCs w:val="28"/>
        </w:rPr>
        <w:t>42190.99</w:t>
      </w:r>
      <w:r>
        <w:rPr>
          <w:rFonts w:hint="eastAsia" w:ascii="仿宋" w:hAnsi="仿宋" w:eastAsia="仿宋" w:cs="仿宋"/>
          <w:color w:val="303030"/>
          <w:sz w:val="28"/>
          <w:szCs w:val="28"/>
        </w:rPr>
        <w:t>平方米，用途为商务金融、旅馆、零售商业用地，登记日期为20</w:t>
      </w:r>
      <w:r>
        <w:rPr>
          <w:rFonts w:ascii="仿宋" w:hAnsi="仿宋" w:eastAsia="仿宋" w:cs="仿宋"/>
          <w:color w:val="303030"/>
          <w:sz w:val="28"/>
          <w:szCs w:val="28"/>
        </w:rPr>
        <w:t>20</w:t>
      </w:r>
      <w:r>
        <w:rPr>
          <w:rFonts w:hint="eastAsia" w:ascii="仿宋" w:hAnsi="仿宋" w:eastAsia="仿宋" w:cs="仿宋"/>
          <w:color w:val="303030"/>
          <w:sz w:val="28"/>
          <w:szCs w:val="28"/>
        </w:rPr>
        <w:t>年</w:t>
      </w:r>
      <w:r>
        <w:rPr>
          <w:rFonts w:ascii="仿宋" w:hAnsi="仿宋" w:eastAsia="仿宋" w:cs="仿宋"/>
          <w:color w:val="303030"/>
          <w:sz w:val="28"/>
          <w:szCs w:val="28"/>
        </w:rPr>
        <w:t>3</w:t>
      </w:r>
      <w:r>
        <w:rPr>
          <w:rFonts w:hint="eastAsia" w:ascii="仿宋" w:hAnsi="仿宋" w:eastAsia="仿宋" w:cs="仿宋"/>
          <w:color w:val="303030"/>
          <w:sz w:val="28"/>
          <w:szCs w:val="28"/>
        </w:rPr>
        <w:t>月</w:t>
      </w:r>
      <w:r>
        <w:rPr>
          <w:rFonts w:ascii="仿宋" w:hAnsi="仿宋" w:eastAsia="仿宋" w:cs="仿宋"/>
          <w:color w:val="303030"/>
          <w:sz w:val="28"/>
          <w:szCs w:val="28"/>
        </w:rPr>
        <w:t>26</w:t>
      </w:r>
      <w:r>
        <w:rPr>
          <w:rFonts w:hint="eastAsia" w:ascii="仿宋" w:hAnsi="仿宋" w:eastAsia="仿宋" w:cs="仿宋"/>
          <w:color w:val="303030"/>
          <w:sz w:val="28"/>
          <w:szCs w:val="28"/>
        </w:rPr>
        <w:t>日。</w:t>
      </w:r>
      <w:r>
        <w:rPr>
          <w:rFonts w:ascii="仿宋" w:hAnsi="仿宋" w:eastAsia="仿宋" w:cs="仿宋"/>
          <w:color w:val="303030"/>
          <w:sz w:val="28"/>
          <w:szCs w:val="28"/>
        </w:rPr>
        <w:t xml:space="preserve"> </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（四）在建工程信息</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（1）住宅地块：总建筑面积17.87万平方米，总体规划11栋，房屋共计</w:t>
      </w:r>
      <w:r>
        <w:rPr>
          <w:rFonts w:ascii="仿宋" w:hAnsi="仿宋" w:eastAsia="仿宋" w:cs="仿宋"/>
          <w:color w:val="303030"/>
          <w:sz w:val="28"/>
          <w:szCs w:val="28"/>
        </w:rPr>
        <w:t>1220</w:t>
      </w:r>
      <w:r>
        <w:rPr>
          <w:rFonts w:hint="eastAsia" w:ascii="仿宋" w:hAnsi="仿宋" w:eastAsia="仿宋" w:cs="仿宋"/>
          <w:color w:val="303030"/>
          <w:sz w:val="28"/>
          <w:szCs w:val="28"/>
        </w:rPr>
        <w:t>套，其中已签约</w:t>
      </w:r>
      <w:r>
        <w:rPr>
          <w:rFonts w:ascii="仿宋" w:hAnsi="仿宋" w:eastAsia="仿宋" w:cs="仿宋"/>
          <w:color w:val="303030"/>
          <w:sz w:val="28"/>
          <w:szCs w:val="28"/>
        </w:rPr>
        <w:t>811</w:t>
      </w:r>
      <w:r>
        <w:rPr>
          <w:rFonts w:hint="eastAsia" w:ascii="仿宋" w:hAnsi="仿宋" w:eastAsia="仿宋" w:cs="仿宋"/>
          <w:color w:val="303030"/>
          <w:sz w:val="28"/>
          <w:szCs w:val="28"/>
        </w:rPr>
        <w:t>套</w:t>
      </w:r>
      <w:r>
        <w:rPr>
          <w:rFonts w:ascii="仿宋" w:hAnsi="仿宋" w:eastAsia="仿宋" w:cs="仿宋"/>
          <w:color w:val="303030"/>
          <w:sz w:val="28"/>
          <w:szCs w:val="28"/>
        </w:rPr>
        <w:t>、</w:t>
      </w:r>
      <w:r>
        <w:rPr>
          <w:rFonts w:hint="eastAsia" w:ascii="仿宋" w:hAnsi="仿宋" w:eastAsia="仿宋" w:cs="仿宋"/>
          <w:color w:val="303030"/>
          <w:sz w:val="28"/>
          <w:szCs w:val="28"/>
        </w:rPr>
        <w:t>已认购未签约</w:t>
      </w:r>
      <w:r>
        <w:rPr>
          <w:rFonts w:ascii="仿宋" w:hAnsi="仿宋" w:eastAsia="仿宋" w:cs="仿宋"/>
          <w:color w:val="303030"/>
          <w:sz w:val="28"/>
          <w:szCs w:val="28"/>
        </w:rPr>
        <w:t>11</w:t>
      </w:r>
      <w:r>
        <w:rPr>
          <w:rFonts w:hint="eastAsia" w:ascii="仿宋" w:hAnsi="仿宋" w:eastAsia="仿宋" w:cs="仿宋"/>
          <w:color w:val="303030"/>
          <w:sz w:val="28"/>
          <w:szCs w:val="28"/>
        </w:rPr>
        <w:t>套</w:t>
      </w:r>
      <w:r>
        <w:rPr>
          <w:rFonts w:ascii="仿宋" w:hAnsi="仿宋" w:eastAsia="仿宋" w:cs="仿宋"/>
          <w:color w:val="303030"/>
          <w:sz w:val="28"/>
          <w:szCs w:val="28"/>
        </w:rPr>
        <w:t>、</w:t>
      </w:r>
      <w:r>
        <w:rPr>
          <w:rFonts w:hint="eastAsia" w:ascii="仿宋" w:hAnsi="仿宋" w:eastAsia="仿宋" w:cs="仿宋"/>
          <w:color w:val="303030"/>
          <w:sz w:val="28"/>
          <w:szCs w:val="28"/>
        </w:rPr>
        <w:t>已锁定房源</w:t>
      </w:r>
      <w:r>
        <w:rPr>
          <w:rFonts w:ascii="仿宋" w:hAnsi="仿宋" w:eastAsia="仿宋" w:cs="仿宋"/>
          <w:color w:val="303030"/>
          <w:sz w:val="28"/>
          <w:szCs w:val="28"/>
        </w:rPr>
        <w:t>40</w:t>
      </w:r>
      <w:r>
        <w:rPr>
          <w:rFonts w:hint="eastAsia" w:ascii="仿宋" w:hAnsi="仿宋" w:eastAsia="仿宋" w:cs="仿宋"/>
          <w:color w:val="303030"/>
          <w:sz w:val="28"/>
          <w:szCs w:val="28"/>
        </w:rPr>
        <w:t>套</w:t>
      </w:r>
      <w:r>
        <w:rPr>
          <w:rFonts w:ascii="仿宋" w:hAnsi="仿宋" w:eastAsia="仿宋" w:cs="仿宋"/>
          <w:color w:val="303030"/>
          <w:sz w:val="28"/>
          <w:szCs w:val="28"/>
        </w:rPr>
        <w:t>、</w:t>
      </w:r>
      <w:r>
        <w:rPr>
          <w:rFonts w:hint="eastAsia" w:ascii="仿宋" w:hAnsi="仿宋" w:eastAsia="仿宋" w:cs="仿宋"/>
          <w:color w:val="303030"/>
          <w:sz w:val="28"/>
          <w:szCs w:val="28"/>
        </w:rPr>
        <w:t>未售房屋</w:t>
      </w:r>
      <w:r>
        <w:rPr>
          <w:rFonts w:ascii="仿宋" w:hAnsi="仿宋" w:eastAsia="仿宋" w:cs="仿宋"/>
          <w:color w:val="303030"/>
          <w:sz w:val="28"/>
          <w:szCs w:val="28"/>
        </w:rPr>
        <w:t>358</w:t>
      </w:r>
      <w:r>
        <w:rPr>
          <w:rFonts w:hint="eastAsia" w:ascii="仿宋" w:hAnsi="仿宋" w:eastAsia="仿宋" w:cs="仿宋"/>
          <w:color w:val="303030"/>
          <w:sz w:val="28"/>
          <w:szCs w:val="28"/>
        </w:rPr>
        <w:t>套</w:t>
      </w:r>
      <w:r>
        <w:rPr>
          <w:rFonts w:ascii="仿宋" w:hAnsi="仿宋" w:eastAsia="仿宋" w:cs="仿宋"/>
          <w:color w:val="303030"/>
          <w:sz w:val="28"/>
          <w:szCs w:val="28"/>
        </w:rPr>
        <w:t>。</w:t>
      </w:r>
      <w:r>
        <w:rPr>
          <w:rFonts w:hint="eastAsia" w:ascii="仿宋" w:hAnsi="仿宋" w:eastAsia="仿宋" w:cs="仿宋"/>
          <w:color w:val="303030"/>
          <w:sz w:val="28"/>
          <w:szCs w:val="28"/>
        </w:rPr>
        <w:t>根据初步评估结论，住宅项目在建工程（含土地使用权）评估价值为</w:t>
      </w:r>
      <w:r>
        <w:rPr>
          <w:rFonts w:ascii="仿宋" w:hAnsi="仿宋" w:eastAsia="仿宋" w:cs="仿宋"/>
          <w:color w:val="303030"/>
          <w:sz w:val="28"/>
          <w:szCs w:val="28"/>
        </w:rPr>
        <w:t>108,620</w:t>
      </w:r>
      <w:r>
        <w:rPr>
          <w:rFonts w:hint="eastAsia" w:ascii="仿宋" w:hAnsi="仿宋" w:eastAsia="仿宋" w:cs="仿宋"/>
          <w:color w:val="303030"/>
          <w:sz w:val="28"/>
          <w:szCs w:val="28"/>
        </w:rPr>
        <w:t>.</w:t>
      </w:r>
      <w:r>
        <w:rPr>
          <w:rFonts w:ascii="仿宋" w:hAnsi="仿宋" w:eastAsia="仿宋" w:cs="仿宋"/>
          <w:color w:val="303030"/>
          <w:sz w:val="28"/>
          <w:szCs w:val="28"/>
        </w:rPr>
        <w:t>29</w:t>
      </w:r>
      <w:r>
        <w:rPr>
          <w:rFonts w:hint="eastAsia" w:ascii="仿宋" w:hAnsi="仿宋" w:eastAsia="仿宋" w:cs="仿宋"/>
          <w:color w:val="303030"/>
          <w:sz w:val="28"/>
          <w:szCs w:val="28"/>
        </w:rPr>
        <w:t>万元</w:t>
      </w:r>
      <w:r>
        <w:rPr>
          <w:rFonts w:ascii="仿宋" w:hAnsi="仿宋" w:eastAsia="仿宋" w:cs="仿宋"/>
          <w:color w:val="303030"/>
          <w:sz w:val="28"/>
          <w:szCs w:val="28"/>
        </w:rPr>
        <w:t>。</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（2）商业地块：总建筑面积18.28万平方米，拟建设8栋,目前1-4#楼地下室桩基工程完成，基坑支护工程完成，土方开挖完成95%，地下室底板承台砖胎模完成40%。根据初步评估结论，商业项目土地使用权评估价值为</w:t>
      </w:r>
      <w:r>
        <w:rPr>
          <w:rFonts w:ascii="仿宋" w:hAnsi="仿宋" w:eastAsia="仿宋" w:cs="仿宋"/>
          <w:color w:val="303030"/>
          <w:sz w:val="28"/>
          <w:szCs w:val="28"/>
        </w:rPr>
        <w:t>23,254.98</w:t>
      </w:r>
      <w:r>
        <w:rPr>
          <w:rFonts w:hint="eastAsia" w:ascii="仿宋" w:hAnsi="仿宋" w:eastAsia="仿宋" w:cs="仿宋"/>
          <w:color w:val="303030"/>
          <w:sz w:val="28"/>
          <w:szCs w:val="28"/>
        </w:rPr>
        <w:t>万元</w:t>
      </w:r>
      <w:r>
        <w:rPr>
          <w:rFonts w:ascii="仿宋" w:hAnsi="仿宋" w:eastAsia="仿宋" w:cs="仿宋"/>
          <w:color w:val="303030"/>
          <w:sz w:val="28"/>
          <w:szCs w:val="28"/>
        </w:rPr>
        <w:t>。</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（五）对外债权情况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管理人根据原绿世嘉公司反映的情况，并结合现有材料及初步审计结论，审核如下：预付款为</w:t>
      </w:r>
      <w:r>
        <w:rPr>
          <w:rFonts w:ascii="仿宋" w:hAnsi="仿宋" w:eastAsia="仿宋" w:cs="仿宋"/>
          <w:color w:val="303030"/>
          <w:sz w:val="28"/>
          <w:szCs w:val="28"/>
        </w:rPr>
        <w:t>950,908.29</w:t>
      </w:r>
      <w:r>
        <w:rPr>
          <w:rFonts w:hint="eastAsia" w:ascii="仿宋" w:hAnsi="仿宋" w:eastAsia="仿宋" w:cs="仿宋"/>
          <w:color w:val="303030"/>
          <w:sz w:val="28"/>
          <w:szCs w:val="28"/>
        </w:rPr>
        <w:t>元</w:t>
      </w:r>
      <w:r>
        <w:rPr>
          <w:rFonts w:ascii="仿宋" w:hAnsi="仿宋" w:eastAsia="仿宋" w:cs="仿宋"/>
          <w:color w:val="303030"/>
          <w:sz w:val="28"/>
          <w:szCs w:val="28"/>
        </w:rPr>
        <w:t>；</w:t>
      </w:r>
      <w:r>
        <w:rPr>
          <w:rFonts w:ascii="仿宋" w:hAnsi="仿宋" w:eastAsia="仿宋" w:cs="仿宋"/>
          <w:color w:val="303030"/>
          <w:sz w:val="28"/>
          <w:szCs w:val="28"/>
        </w:rPr>
        <w:tab/>
      </w:r>
      <w:r>
        <w:rPr>
          <w:rFonts w:hint="eastAsia" w:ascii="仿宋" w:hAnsi="仿宋" w:eastAsia="仿宋" w:cs="仿宋"/>
          <w:color w:val="303030"/>
          <w:sz w:val="28"/>
          <w:szCs w:val="28"/>
        </w:rPr>
        <w:t>其他应收款为804,898,957.63元</w:t>
      </w:r>
      <w:r>
        <w:rPr>
          <w:rFonts w:ascii="仿宋" w:hAnsi="仿宋" w:eastAsia="仿宋" w:cs="仿宋"/>
          <w:color w:val="303030"/>
          <w:sz w:val="28"/>
          <w:szCs w:val="28"/>
        </w:rPr>
        <w:t>。</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（六）其他资产情况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原绿世嘉公司其他资产主要为电脑</w:t>
      </w:r>
      <w:r>
        <w:rPr>
          <w:rFonts w:ascii="仿宋" w:hAnsi="仿宋" w:eastAsia="仿宋" w:cs="仿宋"/>
          <w:color w:val="303030"/>
          <w:sz w:val="28"/>
          <w:szCs w:val="28"/>
        </w:rPr>
        <w:t>、</w:t>
      </w:r>
      <w:r>
        <w:rPr>
          <w:rFonts w:hint="eastAsia" w:ascii="仿宋" w:hAnsi="仿宋" w:eastAsia="仿宋" w:cs="仿宋"/>
          <w:color w:val="303030"/>
          <w:sz w:val="28"/>
          <w:szCs w:val="28"/>
        </w:rPr>
        <w:t>打印机</w:t>
      </w:r>
      <w:r>
        <w:rPr>
          <w:rFonts w:ascii="仿宋" w:hAnsi="仿宋" w:eastAsia="仿宋" w:cs="仿宋"/>
          <w:color w:val="303030"/>
          <w:sz w:val="28"/>
          <w:szCs w:val="28"/>
        </w:rPr>
        <w:t>、</w:t>
      </w:r>
      <w:r>
        <w:rPr>
          <w:rFonts w:hint="eastAsia" w:ascii="仿宋" w:hAnsi="仿宋" w:eastAsia="仿宋" w:cs="仿宋"/>
          <w:color w:val="303030"/>
          <w:sz w:val="28"/>
          <w:szCs w:val="28"/>
        </w:rPr>
        <w:t>空调</w:t>
      </w:r>
      <w:r>
        <w:rPr>
          <w:rFonts w:ascii="仿宋" w:hAnsi="仿宋" w:eastAsia="仿宋" w:cs="仿宋"/>
          <w:color w:val="303030"/>
          <w:sz w:val="28"/>
          <w:szCs w:val="28"/>
        </w:rPr>
        <w:t>、</w:t>
      </w:r>
      <w:r>
        <w:rPr>
          <w:rFonts w:hint="eastAsia" w:ascii="仿宋" w:hAnsi="仿宋" w:eastAsia="仿宋" w:cs="仿宋"/>
          <w:color w:val="303030"/>
          <w:sz w:val="28"/>
          <w:szCs w:val="28"/>
        </w:rPr>
        <w:t>座椅</w:t>
      </w:r>
      <w:r>
        <w:rPr>
          <w:rFonts w:ascii="仿宋" w:hAnsi="仿宋" w:eastAsia="仿宋" w:cs="仿宋"/>
          <w:color w:val="303030"/>
          <w:sz w:val="28"/>
          <w:szCs w:val="28"/>
        </w:rPr>
        <w:t>、</w:t>
      </w:r>
      <w:r>
        <w:rPr>
          <w:rFonts w:hint="eastAsia" w:ascii="仿宋" w:hAnsi="仿宋" w:eastAsia="仿宋" w:cs="仿宋"/>
          <w:color w:val="303030"/>
          <w:sz w:val="28"/>
          <w:szCs w:val="28"/>
        </w:rPr>
        <w:t>文件档案柜等办公设备</w:t>
      </w:r>
      <w:r>
        <w:rPr>
          <w:rFonts w:ascii="仿宋" w:hAnsi="仿宋" w:eastAsia="仿宋" w:cs="仿宋"/>
          <w:color w:val="303030"/>
          <w:sz w:val="28"/>
          <w:szCs w:val="28"/>
        </w:rPr>
        <w:t>，</w:t>
      </w:r>
      <w:r>
        <w:rPr>
          <w:rFonts w:hint="eastAsia" w:ascii="仿宋" w:hAnsi="仿宋" w:eastAsia="仿宋" w:cs="仿宋"/>
          <w:color w:val="303030"/>
          <w:sz w:val="28"/>
          <w:szCs w:val="28"/>
        </w:rPr>
        <w:t>评估现值</w:t>
      </w:r>
      <w:r>
        <w:rPr>
          <w:rFonts w:ascii="仿宋" w:hAnsi="仿宋" w:eastAsia="仿宋" w:cs="仿宋"/>
          <w:color w:val="303030"/>
          <w:sz w:val="28"/>
          <w:szCs w:val="28"/>
        </w:rPr>
        <w:t>14.97</w:t>
      </w:r>
      <w:r>
        <w:rPr>
          <w:rFonts w:hint="eastAsia" w:ascii="仿宋" w:hAnsi="仿宋" w:eastAsia="仿宋" w:cs="仿宋"/>
          <w:color w:val="303030"/>
          <w:sz w:val="28"/>
          <w:szCs w:val="28"/>
        </w:rPr>
        <w:t>万元</w:t>
      </w:r>
      <w:r>
        <w:rPr>
          <w:rFonts w:ascii="仿宋" w:hAnsi="仿宋" w:eastAsia="仿宋" w:cs="仿宋"/>
          <w:color w:val="303030"/>
          <w:sz w:val="28"/>
          <w:szCs w:val="28"/>
        </w:rPr>
        <w:t>。</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三、公司主要债务情况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2022年</w:t>
      </w:r>
      <w:r>
        <w:rPr>
          <w:rFonts w:hint="eastAsia" w:ascii="仿宋" w:hAnsi="仿宋" w:eastAsia="仿宋" w:cs="仿宋"/>
          <w:color w:val="303030"/>
          <w:sz w:val="28"/>
          <w:szCs w:val="28"/>
        </w:rPr>
        <w:t>6</w:t>
      </w:r>
      <w:r>
        <w:rPr>
          <w:rFonts w:ascii="仿宋" w:hAnsi="仿宋" w:eastAsia="仿宋" w:cs="仿宋"/>
          <w:color w:val="303030"/>
          <w:sz w:val="28"/>
          <w:szCs w:val="28"/>
        </w:rPr>
        <w:t>月</w:t>
      </w:r>
      <w:r>
        <w:rPr>
          <w:rFonts w:hint="eastAsia" w:ascii="仿宋" w:hAnsi="仿宋" w:eastAsia="仿宋" w:cs="仿宋"/>
          <w:color w:val="303030"/>
          <w:sz w:val="28"/>
          <w:szCs w:val="28"/>
        </w:rPr>
        <w:t>21</w:t>
      </w:r>
      <w:r>
        <w:rPr>
          <w:rFonts w:ascii="仿宋" w:hAnsi="仿宋" w:eastAsia="仿宋" w:cs="仿宋"/>
          <w:color w:val="303030"/>
          <w:sz w:val="28"/>
          <w:szCs w:val="28"/>
        </w:rPr>
        <w:t>日，</w:t>
      </w:r>
      <w:r>
        <w:rPr>
          <w:rFonts w:hint="eastAsia" w:ascii="仿宋" w:hAnsi="仿宋" w:eastAsia="仿宋" w:cs="仿宋"/>
          <w:color w:val="303030"/>
          <w:sz w:val="28"/>
          <w:szCs w:val="28"/>
        </w:rPr>
        <w:t>经东西湖人民法院裁定，确认886位债权人的893笔债权，债权金额为1,590,169,100.80元。其中职工债权1笔，涉及债权人1位，债权金额为47288.9元；税收债权1笔，涉及债权人1位，债权金额为499652.88元；购房类债权823笔, 涉及债权人823位（其中1位同时申报工程施工类债权），债权金额为976728683元；工程施工类债权15笔，涉及债权人15位（其中5位同时申报普通债权），债权金额为135686994.94元；抵押债权1笔，涉及债权人1位（同时申报普通债权），债权金额为</w:t>
      </w:r>
      <w:r>
        <w:rPr>
          <w:rFonts w:hint="eastAsia" w:ascii="仿宋" w:hAnsi="仿宋" w:eastAsia="仿宋" w:cs="仿宋"/>
          <w:color w:val="303030"/>
          <w:sz w:val="28"/>
          <w:szCs w:val="28"/>
          <w:lang w:val="zh-CN"/>
        </w:rPr>
        <w:t>432714000</w:t>
      </w:r>
      <w:r>
        <w:rPr>
          <w:rFonts w:hint="eastAsia" w:ascii="仿宋" w:hAnsi="仿宋" w:eastAsia="仿宋" w:cs="仿宋"/>
          <w:color w:val="303030"/>
          <w:sz w:val="28"/>
          <w:szCs w:val="28"/>
        </w:rPr>
        <w:t>元；普通债权52笔，涉及债权人52位，债权金额为 44492481.1元。</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根据法律规定，对于提出异议、补充申报及待定的债权，管理人将依法予以审查，管理人有权调整上述已认定的债权金额。</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四、招募原则</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本次招募以公开、公平、公正为原则，面向全社会招募意向投资人。意向投资人向管理人提交参选文件的，视为同意按债务人现状进行投资，并接受标的物的现状和一切已知及未知的瑕疵。</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五、意向投资人条件</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本次预招募的意向投资人系指对债务人重整具有投资意愿，并同意在债务人具备正式招募意向投资人条件后，作为投资人参与债务人意向投资人遴选竞争的单位、个人。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意向投资人需符合以下条件：</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1．依据中国法律设立并有效存续的企业法人或非法人组织或具有完全民事行为能力的个人；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2．具有良好的商业信誉，不存在失信被执行人等不良征信；</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3．拥有足够的资金实力,能按照要求提供保证金。</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两个或两个以上的意向投资人可联合参与报名,以一个报名人的身份参与招募，联合体中至少有一个意向投资人符合上述条件。</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六、特别提醒</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 管理人提供的信息仅供参考，管理人有权根据案情进展调整相关信息，意向投资人在决定参与本次遴选前，应充分理解债务人重整中可能存在的风险，知晓有关责任和义务，一旦提交报名材料即视为同意并接受本次遴选的全部程序与规则，并同意承担所有风险。</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 正式重整投资人关于重整对价报价不得低于人民币</w:t>
      </w:r>
      <w:r>
        <w:rPr>
          <w:rFonts w:ascii="仿宋" w:hAnsi="仿宋" w:eastAsia="仿宋" w:cs="仿宋"/>
          <w:color w:val="303030"/>
          <w:sz w:val="28"/>
          <w:szCs w:val="28"/>
        </w:rPr>
        <w:t>65000</w:t>
      </w:r>
      <w:r>
        <w:rPr>
          <w:rFonts w:hint="eastAsia" w:ascii="仿宋" w:hAnsi="仿宋" w:eastAsia="仿宋" w:cs="仿宋"/>
          <w:color w:val="303030"/>
          <w:sz w:val="28"/>
          <w:szCs w:val="28"/>
        </w:rPr>
        <w:t>万元，且支付的重整对价需全部为现金。</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3.若重整成功，债务人现有银行账户资金仍由管理人监督使用，专项用于</w:t>
      </w:r>
      <w:r>
        <w:rPr>
          <w:rFonts w:ascii="仿宋" w:hAnsi="仿宋" w:eastAsia="仿宋" w:cs="仿宋"/>
          <w:color w:val="303030"/>
          <w:sz w:val="28"/>
          <w:szCs w:val="28"/>
        </w:rPr>
        <w:t>当代境MOMΛ一、二期住宅项目</w:t>
      </w:r>
      <w:r>
        <w:rPr>
          <w:rFonts w:hint="eastAsia" w:ascii="仿宋" w:hAnsi="仿宋" w:eastAsia="仿宋" w:cs="仿宋"/>
          <w:color w:val="303030"/>
          <w:sz w:val="28"/>
          <w:szCs w:val="28"/>
        </w:rPr>
        <w:t>的</w:t>
      </w:r>
      <w:r>
        <w:rPr>
          <w:rFonts w:ascii="仿宋" w:hAnsi="仿宋" w:eastAsia="仿宋" w:cs="仿宋"/>
          <w:color w:val="303030"/>
          <w:sz w:val="28"/>
          <w:szCs w:val="28"/>
        </w:rPr>
        <w:t>复工</w:t>
      </w:r>
      <w:r>
        <w:rPr>
          <w:rFonts w:hint="eastAsia" w:ascii="仿宋" w:hAnsi="仿宋" w:eastAsia="仿宋" w:cs="仿宋"/>
          <w:color w:val="303030"/>
          <w:sz w:val="28"/>
          <w:szCs w:val="28"/>
        </w:rPr>
        <w:t>建设费用以及支付破产费用。</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4. 若重整成功，</w:t>
      </w:r>
      <w:r>
        <w:rPr>
          <w:rFonts w:ascii="仿宋" w:hAnsi="仿宋" w:eastAsia="仿宋" w:cs="仿宋"/>
          <w:color w:val="303030"/>
          <w:sz w:val="28"/>
          <w:szCs w:val="28"/>
        </w:rPr>
        <w:t>当代境MOMΛ一、二期住宅项目</w:t>
      </w:r>
      <w:r>
        <w:rPr>
          <w:rFonts w:hint="eastAsia" w:ascii="仿宋" w:hAnsi="仿宋" w:eastAsia="仿宋" w:cs="仿宋"/>
          <w:color w:val="303030"/>
          <w:sz w:val="28"/>
          <w:szCs w:val="28"/>
        </w:rPr>
        <w:t>建设工作仍由管理人负责监督，管理人的监督期至</w:t>
      </w:r>
      <w:r>
        <w:rPr>
          <w:rFonts w:ascii="仿宋" w:hAnsi="仿宋" w:eastAsia="仿宋" w:cs="仿宋"/>
          <w:color w:val="303030"/>
          <w:sz w:val="28"/>
          <w:szCs w:val="28"/>
        </w:rPr>
        <w:t>当代境MOMΛ一、二期住宅项目</w:t>
      </w:r>
      <w:r>
        <w:rPr>
          <w:rFonts w:hint="eastAsia" w:ascii="仿宋" w:hAnsi="仿宋" w:eastAsia="仿宋" w:cs="仿宋"/>
          <w:color w:val="303030"/>
          <w:sz w:val="28"/>
          <w:szCs w:val="28"/>
        </w:rPr>
        <w:t>竣备交房之日止。</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七、招募流程</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（一）报名阶段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1.报名时间、地点及联系人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报名时间：</w:t>
      </w:r>
      <w:r>
        <w:rPr>
          <w:rFonts w:hint="eastAsia" w:ascii="仿宋" w:hAnsi="仿宋" w:eastAsia="仿宋" w:cs="仿宋"/>
          <w:color w:val="000000" w:themeColor="text1"/>
          <w:sz w:val="28"/>
          <w:szCs w:val="28"/>
          <w14:textFill>
            <w14:solidFill>
              <w14:schemeClr w14:val="tx1"/>
            </w14:solidFill>
          </w14:textFill>
        </w:rPr>
        <w:t>自公告发布之日起</w:t>
      </w:r>
      <w:r>
        <w:rPr>
          <w:rFonts w:ascii="仿宋" w:hAnsi="仿宋" w:eastAsia="仿宋" w:cs="仿宋"/>
          <w:color w:val="000000" w:themeColor="text1"/>
          <w:sz w:val="28"/>
          <w:szCs w:val="28"/>
          <w14:textFill>
            <w14:solidFill>
              <w14:schemeClr w14:val="tx1"/>
            </w14:solidFill>
          </w14:textFill>
        </w:rPr>
        <w:t>30</w:t>
      </w:r>
      <w:r>
        <w:rPr>
          <w:rFonts w:hint="eastAsia" w:ascii="仿宋" w:hAnsi="仿宋" w:eastAsia="仿宋" w:cs="仿宋"/>
          <w:color w:val="000000" w:themeColor="text1"/>
          <w:sz w:val="28"/>
          <w:szCs w:val="28"/>
          <w14:textFill>
            <w14:solidFill>
              <w14:schemeClr w14:val="tx1"/>
            </w14:solidFill>
          </w14:textFill>
        </w:rPr>
        <w:t>日内，即至</w:t>
      </w:r>
      <w:r>
        <w:rPr>
          <w:rFonts w:ascii="仿宋" w:hAnsi="仿宋" w:eastAsia="仿宋" w:cs="仿宋"/>
          <w:color w:val="000000" w:themeColor="text1"/>
          <w:sz w:val="28"/>
          <w:szCs w:val="28"/>
          <w14:textFill>
            <w14:solidFill>
              <w14:schemeClr w14:val="tx1"/>
            </w14:solidFill>
          </w14:textFill>
        </w:rPr>
        <w:t>2023</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29</w:t>
      </w:r>
      <w:r>
        <w:rPr>
          <w:rFonts w:hint="eastAsia" w:ascii="仿宋" w:hAnsi="仿宋" w:eastAsia="仿宋" w:cs="仿宋"/>
          <w:color w:val="000000" w:themeColor="text1"/>
          <w:sz w:val="28"/>
          <w:szCs w:val="28"/>
          <w14:textFill>
            <w14:solidFill>
              <w14:schemeClr w14:val="tx1"/>
            </w14:solidFill>
          </w14:textFill>
        </w:rPr>
        <w:t>日止，</w:t>
      </w:r>
      <w:r>
        <w:rPr>
          <w:rFonts w:hint="eastAsia" w:ascii="仿宋" w:hAnsi="仿宋" w:eastAsia="仿宋" w:cs="仿宋"/>
          <w:color w:val="303030"/>
          <w:sz w:val="28"/>
          <w:szCs w:val="28"/>
        </w:rPr>
        <w:t>经管理人报东西湖区人民法院，可以适当延长预招募期限。</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报名地点:湖北省武汉市江汉区新华路186号福星国际商会大厦1801室  湖北英达律师事务所</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联系人:金路律师 13517210022</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2.报名时提交的材料</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意向投资人应仔细阅读本预招募公告，按本公告要求提交参选文件，保证所提供的全部资料的真实性、准确性及完整性；意向投资人一旦提交参选文件，不得撤回。</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参选文件应包括但不限于下列内容：</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(1)申请参与本次预招募的意向书，内容包括意向投资人基本情况（包括主体资格、股权结构、主营业务、历史沿革、组织机构、资产负债等信息）等；</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上述报名材料应加盖意向投资人印章并由法定代表人/负责人签名，自然人报名的应由本人签名。如为联合参与的,还需提交表明联合参与的共同意向及各意向投资人自愿承担连带责任的共同声明，并说明各主体的角色分工、权利义务等。</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(2)企业法人报名参与的应提交股东会决议，其他非法人组织应提交决策机构的同意参选的决策文件；</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(3)企业法人或非法人组织应提供营业执照复印件（报名时须提供原件供核查）、法定代表人/负责人身份证明书原件、授权委托书原件及被授权人的身份证复印件；</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(4)良好商誉的证明或承诺；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(5)同意对知悉的债务人及案件办理、磋商等情况均予以保密并愿意签署保密协议的承诺函；</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(6)载明联系人、联系电话、电子邮箱、通信地址。</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(7)意向投资人提交报名材料，经管理人初审，符合条件的，管理人将发出书面通知。意向投资人未按本公告要求提交完整报名材料，管理人要求补正仍未按时补正的,视为报名者报名不成功，且不符合意向投资人条件。</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（二）保证金缴纳</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报名成功的意向投资人在收到上述书面通知之日起3个工作日内，须与管理人签订《保密协议》，并自签订前述协议之日起3个工作日内，意向投资人向管理人账户支付保证金人民币5</w:t>
      </w:r>
      <w:r>
        <w:rPr>
          <w:rFonts w:ascii="仿宋" w:hAnsi="仿宋" w:eastAsia="仿宋" w:cs="仿宋"/>
          <w:color w:val="303030"/>
          <w:sz w:val="28"/>
          <w:szCs w:val="28"/>
        </w:rPr>
        <w:t>000</w:t>
      </w:r>
      <w:r>
        <w:rPr>
          <w:rFonts w:hint="eastAsia" w:ascii="仿宋" w:hAnsi="仿宋" w:eastAsia="仿宋" w:cs="仿宋"/>
          <w:color w:val="303030"/>
          <w:sz w:val="28"/>
          <w:szCs w:val="28"/>
        </w:rPr>
        <w:t>万元。</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按照上述约定与管理人签订协议，并按时足额缴纳保证金的意向投资人即可进入下一阶段的遴选。未按时足额缴纳保证金的，视为放弃遴选资格，不再参与意向投资人遴选。</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（三）遴选阶段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进入遴选阶段后，意向投资人可赴项目现场实地查看现场，了解债务人的固定资产情况，管理人将与意向投资人进行接洽与磋商，沟通债务人及本案办理基本情况。意向投资人可自行对原绿世嘉公司进行尽职调查。如需管理人提供相关配合，意向投资人应至少提前5个工作日以书面形式通知管理人，管理人将根据实际情况决定是否提供配合。</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经接洽与磋商后，管理人将根据对意向投资人的考察，确定入围意向投资人，并以书面形式告知入围意向投资人。对未成为入围意向投资人的不再另行通知，管理人将无息退还其保证金。</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八、参选文件的法律效力</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意向投资人提交参选文件并参与竞标或遴选，即视为意向投资人提交的参选文件的相关内容对管理人构成法律意义上的要约，且自意向投资人按时足额交纳保证金之日起，管理人即享有对意向投资人提出的该要约进行承诺的权利(管理人承诺的具体形式包括但不限于通知意向投资人成为入围意向投资人或其他法律法规许可的做出承诺的形式)，一旦管理人发出相应通知或以其他形式做出承诺，则视为管理人与入围意向投资人之间已经就参与债务人重整的相关事宜达成了协议，入围意向投资人应以管理人通知安排时间为准，签订书面《投资协议》（协议内容含本公告第九条约定的优先权）。</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如入围意向投资人未在管理人通知期限内与管理人签署《投资协议》的，管理人有权没收该入围意向投资人交纳的保证金，并取消其入围资格，该入围意向投资人应当承担由此造成的一切损失（包括但不限于因二次招募、资产拍卖导致的差价损失）。</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九、保证金的使用与退回</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1.意向投资人未确认为入围意向投资人的，管理人在遴选结束后的十个工作日内无息退还其缴纳的保证金。</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意向投资人被确认为入围意向投资人后，其缴纳的保证金自动转为履约保证金，入围意向投资人未在管理人通知期限内签订《投资协议》的，保证金不予退还；入围意向投资人与管理人签署《投资协议》后，保证金自动转为《投资协议》项下的履约保证金，如入围意向投资人签订《投资协议》后不履行协议义务的，将被取消入围意向投资人资格，履约保证金不予退还。</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3.如债务人依法转为破产重整程序，重整计划草案获得人民法院的裁定批准，履约保证金自动转为重整计划项下的投资款；重整计划草案未能获得人民法院裁定批准的，《投资协议》在债务人被宣告破产之日解除。管理人将在十个工作日内向入围意向投资人无息退还其所交纳的履约保证金，双方互不承担违约和/或赔偿责任。</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4.管理人退还的保证金或履约保证金以意向投资人交纳保证金的本金为限，不计利息。</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上述各项工作的确切实施时间，管理人有权根据实际情况具体确定或再行调整。</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十、入围意向投资人的优先权</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1.在债务人正式招募重整投资人时，本次预招募确定的入围意向投资人无需参与正式招募的报名及遴选，直接被确定为正式招募的入围意向投资人。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2.本次预招募确定的入围意向投资人对正式招募所产生的入围意向投资人的重整条件享有匹配权（即愿意以相同条件参与重整），同等条件下，本次预招募确定的入围意向投资人优先被确定为重整中的投资人。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3.正式招募投资人时，如无人报名参与，本次预招募确定的入围意向投资人即成为重整中的投资人。</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十一、其他</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1.如出现影响债务人清算或者重整的重大事项或人民法院提出要求，管理人可以中止、撤回或增加遴选计划，不需要承担违约和/或赔偿责任。</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2.管理人书面通知送达方式包括按意向投资人参选资料中预留信息邮寄及微信、电子邮箱送达。</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3.管理人提供的所有原绿世嘉公司的相关资料不作为对意向投资人的任何承诺和保证，意向投资人应独立判断、理解以进行决策。</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4.本公告由管理人编制,解释权归属管理人。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5.诚挚欢迎各方投资者前来考察洽谈，参与本次遴选。</w:t>
      </w:r>
    </w:p>
    <w:p>
      <w:pPr>
        <w:pStyle w:val="4"/>
        <w:widowControl/>
        <w:spacing w:before="150" w:beforeAutospacing="0" w:after="150" w:afterAutospacing="0" w:line="540" w:lineRule="atLeast"/>
        <w:ind w:firstLine="555"/>
        <w:textAlignment w:val="baseline"/>
        <w:rPr>
          <w:rFonts w:ascii="仿宋" w:hAnsi="仿宋" w:eastAsia="仿宋" w:cs="仿宋"/>
          <w:color w:val="303030"/>
          <w:sz w:val="28"/>
          <w:szCs w:val="28"/>
        </w:rPr>
      </w:pPr>
      <w:r>
        <w:rPr>
          <w:rFonts w:hint="eastAsia" w:ascii="仿宋" w:hAnsi="仿宋" w:eastAsia="仿宋" w:cs="仿宋"/>
          <w:color w:val="303030"/>
          <w:sz w:val="28"/>
          <w:szCs w:val="28"/>
        </w:rPr>
        <w:t> </w:t>
      </w:r>
    </w:p>
    <w:p>
      <w:pPr>
        <w:pStyle w:val="4"/>
        <w:widowControl/>
        <w:spacing w:before="150" w:beforeAutospacing="0" w:after="150" w:afterAutospacing="0" w:line="540" w:lineRule="atLeast"/>
        <w:ind w:firstLine="555"/>
        <w:textAlignment w:val="baseline"/>
        <w:rPr>
          <w:rFonts w:ascii="仿宋" w:hAnsi="仿宋" w:eastAsia="仿宋" w:cs="仿宋"/>
          <w:color w:val="303030"/>
          <w:sz w:val="28"/>
          <w:szCs w:val="28"/>
        </w:rPr>
      </w:pPr>
      <w:r>
        <w:rPr>
          <w:rFonts w:hint="eastAsia" w:ascii="仿宋" w:hAnsi="仿宋" w:eastAsia="仿宋" w:cs="仿宋"/>
          <w:color w:val="303030"/>
          <w:sz w:val="28"/>
          <w:szCs w:val="28"/>
        </w:rPr>
        <w:t>           </w:t>
      </w:r>
    </w:p>
    <w:p>
      <w:pPr>
        <w:pStyle w:val="4"/>
        <w:widowControl/>
        <w:spacing w:before="150" w:beforeAutospacing="0" w:after="150" w:afterAutospacing="0" w:line="540" w:lineRule="atLeast"/>
        <w:ind w:firstLine="555"/>
        <w:textAlignment w:val="baseline"/>
        <w:rPr>
          <w:rFonts w:ascii="仿宋" w:hAnsi="仿宋" w:eastAsia="仿宋" w:cs="仿宋"/>
          <w:color w:val="303030"/>
          <w:sz w:val="28"/>
          <w:szCs w:val="28"/>
        </w:rPr>
      </w:pPr>
    </w:p>
    <w:p>
      <w:pPr>
        <w:pStyle w:val="4"/>
        <w:widowControl/>
        <w:spacing w:before="150" w:beforeAutospacing="0" w:after="150" w:afterAutospacing="0" w:line="540" w:lineRule="atLeast"/>
        <w:ind w:firstLine="2136" w:firstLineChars="763"/>
        <w:textAlignment w:val="baseline"/>
        <w:rPr>
          <w:rFonts w:ascii="仿宋" w:hAnsi="仿宋" w:eastAsia="仿宋" w:cs="仿宋"/>
          <w:color w:val="303030"/>
          <w:sz w:val="28"/>
          <w:szCs w:val="28"/>
        </w:rPr>
      </w:pPr>
      <w:r>
        <w:rPr>
          <w:rFonts w:hint="eastAsia" w:ascii="仿宋" w:hAnsi="仿宋" w:eastAsia="仿宋" w:cs="仿宋"/>
          <w:color w:val="303030"/>
          <w:sz w:val="28"/>
          <w:szCs w:val="28"/>
        </w:rPr>
        <w:t> </w:t>
      </w:r>
      <w:r>
        <w:rPr>
          <w:rFonts w:ascii="仿宋" w:hAnsi="仿宋" w:eastAsia="仿宋" w:cs="仿宋"/>
          <w:color w:val="303030"/>
          <w:sz w:val="28"/>
          <w:szCs w:val="28"/>
        </w:rPr>
        <w:t xml:space="preserve">    </w:t>
      </w:r>
      <w:r>
        <w:rPr>
          <w:rFonts w:hint="eastAsia" w:ascii="仿宋" w:hAnsi="仿宋" w:eastAsia="仿宋" w:cs="仿宋"/>
          <w:color w:val="303030"/>
          <w:sz w:val="28"/>
          <w:szCs w:val="28"/>
        </w:rPr>
        <w:t>武汉原绿世嘉置业有限公司管理人</w:t>
      </w:r>
    </w:p>
    <w:p>
      <w:pPr>
        <w:pStyle w:val="4"/>
        <w:widowControl/>
        <w:spacing w:before="150" w:beforeAutospacing="0" w:after="150" w:afterAutospacing="0" w:line="540" w:lineRule="atLeast"/>
        <w:ind w:firstLine="555"/>
        <w:jc w:val="center"/>
        <w:textAlignment w:val="baseline"/>
        <w:rPr>
          <w:rFonts w:ascii="仿宋" w:hAnsi="仿宋" w:eastAsia="仿宋" w:cs="仿宋"/>
          <w:color w:val="303030"/>
          <w:sz w:val="28"/>
          <w:szCs w:val="28"/>
        </w:rPr>
      </w:pPr>
      <w:r>
        <w:rPr>
          <w:rFonts w:hint="eastAsia" w:ascii="仿宋" w:hAnsi="仿宋" w:eastAsia="仿宋" w:cs="仿宋"/>
          <w:color w:val="303030"/>
          <w:sz w:val="28"/>
          <w:szCs w:val="28"/>
        </w:rPr>
        <w:t xml:space="preserve"> </w:t>
      </w:r>
      <w:r>
        <w:rPr>
          <w:rFonts w:ascii="仿宋" w:hAnsi="仿宋" w:eastAsia="仿宋" w:cs="仿宋"/>
          <w:color w:val="303030"/>
          <w:sz w:val="28"/>
          <w:szCs w:val="28"/>
        </w:rPr>
        <w:t xml:space="preserve">         </w:t>
      </w:r>
      <w:r>
        <w:rPr>
          <w:rFonts w:hint="eastAsia" w:ascii="仿宋" w:hAnsi="仿宋" w:eastAsia="仿宋" w:cs="仿宋"/>
          <w:color w:val="303030"/>
          <w:sz w:val="28"/>
          <w:szCs w:val="28"/>
        </w:rPr>
        <w:t>二〇二三年</w:t>
      </w:r>
      <w:r>
        <w:rPr>
          <w:rFonts w:hint="eastAsia" w:ascii="仿宋" w:hAnsi="仿宋" w:eastAsia="仿宋" w:cs="仿宋"/>
          <w:color w:val="303030"/>
          <w:sz w:val="28"/>
          <w:szCs w:val="28"/>
          <w:lang w:val="en-US" w:eastAsia="zh-CN"/>
        </w:rPr>
        <w:t>二</w:t>
      </w:r>
      <w:r>
        <w:rPr>
          <w:rFonts w:hint="eastAsia" w:ascii="仿宋" w:hAnsi="仿宋" w:eastAsia="仿宋" w:cs="仿宋"/>
          <w:color w:val="303030"/>
          <w:sz w:val="28"/>
          <w:szCs w:val="28"/>
        </w:rPr>
        <w:t>月</w:t>
      </w:r>
      <w:r>
        <w:rPr>
          <w:rFonts w:hint="eastAsia" w:ascii="仿宋" w:hAnsi="仿宋" w:eastAsia="仿宋" w:cs="仿宋"/>
          <w:color w:val="303030"/>
          <w:sz w:val="28"/>
          <w:szCs w:val="28"/>
          <w:lang w:val="en-US" w:eastAsia="zh-CN"/>
        </w:rPr>
        <w:t>二十七</w:t>
      </w:r>
      <w:r>
        <w:rPr>
          <w:rFonts w:hint="eastAsia" w:ascii="仿宋" w:hAnsi="仿宋" w:eastAsia="仿宋" w:cs="仿宋"/>
          <w:color w:val="303030"/>
          <w:sz w:val="28"/>
          <w:szCs w:val="28"/>
        </w:rPr>
        <w:t>日</w:t>
      </w:r>
    </w:p>
    <w:p>
      <w:pPr>
        <w:pStyle w:val="4"/>
        <w:widowControl/>
        <w:spacing w:before="150" w:beforeAutospacing="0" w:after="150" w:afterAutospacing="0" w:line="540" w:lineRule="atLeast"/>
        <w:ind w:firstLine="555"/>
        <w:textAlignment w:val="baseline"/>
        <w:rPr>
          <w:rFonts w:ascii="仿宋" w:hAnsi="仿宋" w:eastAsia="仿宋" w:cs="仿宋"/>
          <w:color w:val="303030"/>
          <w:sz w:val="28"/>
          <w:szCs w:val="28"/>
        </w:rPr>
      </w:pPr>
      <w:bookmarkStart w:id="1" w:name="_GoBack"/>
      <w:bookmarkEnd w:id="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Ebrima"/>
    <w:panose1 w:val="00000000000000000000"/>
    <w:charset w:val="00"/>
    <w:family w:val="roman"/>
    <w:pitch w:val="default"/>
    <w:sig w:usb0="00000000" w:usb1="00000000" w:usb2="00000008" w:usb3="00000000" w:csb0="000001FF" w:csb1="00000000"/>
  </w:font>
  <w:font w:name="仿宋">
    <w:panose1 w:val="02010609060101010101"/>
    <w:charset w:val="86"/>
    <w:family w:val="modern"/>
    <w:pitch w:val="default"/>
    <w:sig w:usb0="800002BF" w:usb1="38CF7CFA" w:usb2="00000016" w:usb3="00000000" w:csb0="00040001" w:csb1="00000000"/>
  </w:font>
  <w:font w:name="Ebrima">
    <w:panose1 w:val="02000000000000000000"/>
    <w:charset w:val="00"/>
    <w:family w:val="auto"/>
    <w:pitch w:val="default"/>
    <w:sig w:usb0="A000505F" w:usb1="02000041" w:usb2="00000800" w:usb3="00000404"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YmYyMWI4NTQzOTYxOTRlZTBhOTM4YmI2YmYxMTIifQ=="/>
  </w:docVars>
  <w:rsids>
    <w:rsidRoot w:val="72D171EA"/>
    <w:rsid w:val="001237AD"/>
    <w:rsid w:val="00126405"/>
    <w:rsid w:val="00165706"/>
    <w:rsid w:val="001E1D35"/>
    <w:rsid w:val="00297560"/>
    <w:rsid w:val="002F70D9"/>
    <w:rsid w:val="00333EA9"/>
    <w:rsid w:val="00397271"/>
    <w:rsid w:val="003E61A8"/>
    <w:rsid w:val="00436D97"/>
    <w:rsid w:val="00456D4D"/>
    <w:rsid w:val="00520D3F"/>
    <w:rsid w:val="006021A1"/>
    <w:rsid w:val="00652CB1"/>
    <w:rsid w:val="00660261"/>
    <w:rsid w:val="0066441E"/>
    <w:rsid w:val="00755750"/>
    <w:rsid w:val="0083229D"/>
    <w:rsid w:val="00856D40"/>
    <w:rsid w:val="008B5549"/>
    <w:rsid w:val="009B2E4C"/>
    <w:rsid w:val="00B70E79"/>
    <w:rsid w:val="00C350B2"/>
    <w:rsid w:val="00C93479"/>
    <w:rsid w:val="00DF1847"/>
    <w:rsid w:val="00E71A39"/>
    <w:rsid w:val="00FC2331"/>
    <w:rsid w:val="00FC3CAF"/>
    <w:rsid w:val="00FD55B7"/>
    <w:rsid w:val="00FF68F8"/>
    <w:rsid w:val="2095064E"/>
    <w:rsid w:val="2A1B7460"/>
    <w:rsid w:val="30DA3E3C"/>
    <w:rsid w:val="33D343A4"/>
    <w:rsid w:val="3BE11040"/>
    <w:rsid w:val="485579F6"/>
    <w:rsid w:val="67BF3037"/>
    <w:rsid w:val="72D171EA"/>
    <w:rsid w:val="792E42B5"/>
    <w:rsid w:val="7BADF79B"/>
    <w:rsid w:val="7EFFF235"/>
    <w:rsid w:val="7F821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Emphasis"/>
    <w:basedOn w:val="6"/>
    <w:qFormat/>
    <w:uiPriority w:val="0"/>
    <w:rPr>
      <w:i/>
    </w:rPr>
  </w:style>
  <w:style w:type="paragraph" w:styleId="9">
    <w:name w:val="List Paragraph"/>
    <w:basedOn w:val="1"/>
    <w:qFormat/>
    <w:uiPriority w:val="99"/>
    <w:pPr>
      <w:ind w:firstLine="420" w:firstLineChars="200"/>
    </w:pPr>
  </w:style>
  <w:style w:type="paragraph" w:customStyle="1" w:styleId="10">
    <w:name w:val="Body text|1"/>
    <w:basedOn w:val="1"/>
    <w:uiPriority w:val="0"/>
    <w:pPr>
      <w:spacing w:line="394" w:lineRule="auto"/>
      <w:ind w:firstLine="400"/>
    </w:pPr>
    <w:rPr>
      <w:rFonts w:ascii="宋体" w:hAnsi="宋体" w:eastAsia="宋体" w:cs="宋体"/>
      <w:sz w:val="30"/>
      <w:szCs w:val="30"/>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4966</Words>
  <Characters>5373</Characters>
  <Lines>39</Lines>
  <Paragraphs>10</Paragraphs>
  <TotalTime>4</TotalTime>
  <ScaleCrop>false</ScaleCrop>
  <LinksUpToDate>false</LinksUpToDate>
  <CharactersWithSpaces>5413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2023-01-11T06:17:00Z</dcterms:created>
  <dc:creator>徐颖明</dc:creator>
  <cp:lastModifiedBy>xu.yingming</cp:lastModifiedBy>
  <dcterms:modified xsi:type="dcterms:W3CDTF">2023-02-24T11:28:07Z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34C01B30B01046F4A02E57464AC2E1A4</vt:lpwstr>
  </property>
</Properties>
</file>