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E32CB" w14:textId="77777777" w:rsidR="008677AB" w:rsidRDefault="00082897">
      <w:pPr>
        <w:jc w:val="center"/>
        <w:rPr>
          <w:rFonts w:ascii="仿宋" w:eastAsia="仿宋" w:hAnsi="仿宋"/>
          <w:b/>
          <w:bCs/>
          <w:color w:val="000000" w:themeColor="text1"/>
          <w:sz w:val="44"/>
          <w:szCs w:val="44"/>
        </w:rPr>
      </w:pPr>
      <w:r>
        <w:rPr>
          <w:rFonts w:ascii="仿宋" w:eastAsia="仿宋" w:hAnsi="仿宋" w:hint="eastAsia"/>
          <w:b/>
          <w:bCs/>
          <w:color w:val="000000" w:themeColor="text1"/>
          <w:sz w:val="44"/>
          <w:szCs w:val="44"/>
        </w:rPr>
        <w:t>破产债权申报须知</w:t>
      </w:r>
    </w:p>
    <w:p w14:paraId="6E5F4745" w14:textId="1416AF6F" w:rsidR="008677AB" w:rsidRDefault="00082897" w:rsidP="006F16CE">
      <w:pPr>
        <w:spacing w:line="480" w:lineRule="exact"/>
        <w:ind w:firstLineChars="200" w:firstLine="480"/>
        <w:rPr>
          <w:rFonts w:ascii="仿宋" w:eastAsia="仿宋" w:hAnsi="仿宋"/>
          <w:color w:val="000000" w:themeColor="text1"/>
          <w:sz w:val="24"/>
          <w:szCs w:val="24"/>
        </w:rPr>
      </w:pPr>
      <w:r>
        <w:rPr>
          <w:rFonts w:ascii="仿宋" w:eastAsia="仿宋" w:hAnsi="仿宋"/>
          <w:color w:val="000000" w:themeColor="text1"/>
          <w:sz w:val="24"/>
          <w:szCs w:val="24"/>
        </w:rPr>
        <w:t>202</w:t>
      </w:r>
      <w:r w:rsidR="00E642A3">
        <w:rPr>
          <w:rFonts w:ascii="仿宋" w:eastAsia="仿宋" w:hAnsi="仿宋"/>
          <w:color w:val="000000" w:themeColor="text1"/>
          <w:sz w:val="24"/>
          <w:szCs w:val="24"/>
        </w:rPr>
        <w:t>2</w:t>
      </w:r>
      <w:r>
        <w:rPr>
          <w:rFonts w:ascii="仿宋" w:eastAsia="仿宋" w:hAnsi="仿宋" w:hint="eastAsia"/>
          <w:color w:val="000000" w:themeColor="text1"/>
          <w:sz w:val="24"/>
          <w:szCs w:val="24"/>
        </w:rPr>
        <w:t>年</w:t>
      </w:r>
      <w:r w:rsidR="00E642A3">
        <w:rPr>
          <w:rFonts w:ascii="仿宋" w:eastAsia="仿宋" w:hAnsi="仿宋"/>
          <w:color w:val="000000" w:themeColor="text1"/>
          <w:sz w:val="24"/>
          <w:szCs w:val="24"/>
        </w:rPr>
        <w:t>11</w:t>
      </w:r>
      <w:r>
        <w:rPr>
          <w:rFonts w:ascii="仿宋" w:eastAsia="仿宋" w:hAnsi="仿宋" w:hint="eastAsia"/>
          <w:color w:val="000000" w:themeColor="text1"/>
          <w:sz w:val="24"/>
          <w:szCs w:val="24"/>
        </w:rPr>
        <w:t>月2</w:t>
      </w:r>
      <w:r w:rsidR="00E642A3">
        <w:rPr>
          <w:rFonts w:ascii="仿宋" w:eastAsia="仿宋" w:hAnsi="仿宋"/>
          <w:color w:val="000000" w:themeColor="text1"/>
          <w:sz w:val="24"/>
          <w:szCs w:val="24"/>
        </w:rPr>
        <w:t>8</w:t>
      </w:r>
      <w:r>
        <w:rPr>
          <w:rFonts w:ascii="仿宋" w:eastAsia="仿宋" w:hAnsi="仿宋" w:hint="eastAsia"/>
          <w:color w:val="000000" w:themeColor="text1"/>
          <w:sz w:val="24"/>
          <w:szCs w:val="24"/>
        </w:rPr>
        <w:t>日，</w:t>
      </w:r>
      <w:r w:rsidR="00E642A3">
        <w:rPr>
          <w:rFonts w:ascii="仿宋" w:eastAsia="仿宋" w:hAnsi="仿宋" w:hint="eastAsia"/>
          <w:color w:val="000000" w:themeColor="text1"/>
          <w:sz w:val="24"/>
          <w:szCs w:val="24"/>
        </w:rPr>
        <w:t>上海</w:t>
      </w:r>
      <w:r>
        <w:rPr>
          <w:rFonts w:ascii="仿宋" w:eastAsia="仿宋" w:hAnsi="仿宋" w:hint="eastAsia"/>
          <w:color w:val="000000" w:themeColor="text1"/>
          <w:sz w:val="24"/>
          <w:szCs w:val="24"/>
        </w:rPr>
        <w:t>市</w:t>
      </w:r>
      <w:r w:rsidR="00E642A3">
        <w:rPr>
          <w:rFonts w:ascii="仿宋" w:eastAsia="仿宋" w:hAnsi="仿宋" w:hint="eastAsia"/>
          <w:color w:val="000000" w:themeColor="text1"/>
          <w:sz w:val="24"/>
          <w:szCs w:val="24"/>
        </w:rPr>
        <w:t>第三中级</w:t>
      </w:r>
      <w:r>
        <w:rPr>
          <w:rFonts w:ascii="仿宋" w:eastAsia="仿宋" w:hAnsi="仿宋" w:hint="eastAsia"/>
          <w:color w:val="000000" w:themeColor="text1"/>
          <w:sz w:val="24"/>
          <w:szCs w:val="24"/>
        </w:rPr>
        <w:t>人民法院作出（2022）</w:t>
      </w:r>
      <w:r w:rsidR="00E642A3">
        <w:rPr>
          <w:rFonts w:ascii="仿宋" w:eastAsia="仿宋" w:hAnsi="仿宋" w:hint="eastAsia"/>
          <w:color w:val="000000" w:themeColor="text1"/>
          <w:sz w:val="24"/>
          <w:szCs w:val="24"/>
        </w:rPr>
        <w:t>沪0</w:t>
      </w:r>
      <w:r w:rsidR="00E642A3">
        <w:rPr>
          <w:rFonts w:ascii="仿宋" w:eastAsia="仿宋" w:hAnsi="仿宋"/>
          <w:color w:val="000000" w:themeColor="text1"/>
          <w:sz w:val="24"/>
          <w:szCs w:val="24"/>
        </w:rPr>
        <w:t>3</w:t>
      </w:r>
      <w:r>
        <w:rPr>
          <w:rFonts w:ascii="仿宋" w:eastAsia="仿宋" w:hAnsi="仿宋" w:hint="eastAsia"/>
          <w:color w:val="000000" w:themeColor="text1"/>
          <w:sz w:val="24"/>
          <w:szCs w:val="24"/>
        </w:rPr>
        <w:t>破</w:t>
      </w:r>
      <w:r w:rsidR="00E642A3">
        <w:rPr>
          <w:rFonts w:ascii="仿宋" w:eastAsia="仿宋" w:hAnsi="仿宋"/>
          <w:color w:val="000000" w:themeColor="text1"/>
          <w:sz w:val="24"/>
          <w:szCs w:val="24"/>
        </w:rPr>
        <w:t>582</w:t>
      </w:r>
      <w:r>
        <w:rPr>
          <w:rFonts w:ascii="仿宋" w:eastAsia="仿宋" w:hAnsi="仿宋" w:hint="eastAsia"/>
          <w:color w:val="000000" w:themeColor="text1"/>
          <w:sz w:val="24"/>
          <w:szCs w:val="24"/>
        </w:rPr>
        <w:t>号《民事裁定书》，裁定受理</w:t>
      </w:r>
      <w:r w:rsidR="00E642A3">
        <w:rPr>
          <w:rFonts w:ascii="仿宋" w:eastAsia="仿宋" w:hAnsi="仿宋" w:hint="eastAsia"/>
          <w:color w:val="000000" w:themeColor="text1"/>
          <w:sz w:val="24"/>
          <w:szCs w:val="24"/>
        </w:rPr>
        <w:t>上海佳施物流</w:t>
      </w:r>
      <w:r>
        <w:rPr>
          <w:rFonts w:ascii="仿宋" w:eastAsia="仿宋" w:hAnsi="仿宋" w:hint="eastAsia"/>
          <w:color w:val="000000" w:themeColor="text1"/>
          <w:sz w:val="24"/>
          <w:szCs w:val="24"/>
        </w:rPr>
        <w:t>有</w:t>
      </w:r>
      <w:r>
        <w:rPr>
          <w:rFonts w:ascii="仿宋" w:eastAsia="仿宋" w:hAnsi="仿宋"/>
          <w:color w:val="000000" w:themeColor="text1"/>
          <w:sz w:val="24"/>
          <w:szCs w:val="24"/>
        </w:rPr>
        <w:t>限公司</w:t>
      </w:r>
      <w:r>
        <w:rPr>
          <w:rFonts w:ascii="仿宋" w:eastAsia="仿宋" w:hAnsi="仿宋" w:hint="eastAsia"/>
          <w:color w:val="000000" w:themeColor="text1"/>
          <w:sz w:val="24"/>
          <w:szCs w:val="24"/>
        </w:rPr>
        <w:t>破产清算一案，并指定</w:t>
      </w:r>
      <w:r w:rsidR="00E642A3">
        <w:rPr>
          <w:rFonts w:ascii="仿宋" w:eastAsia="仿宋" w:hAnsi="仿宋" w:hint="eastAsia"/>
          <w:color w:val="000000" w:themeColor="text1"/>
          <w:sz w:val="24"/>
          <w:szCs w:val="24"/>
        </w:rPr>
        <w:t>上海融力天闻</w:t>
      </w:r>
      <w:r>
        <w:rPr>
          <w:rFonts w:ascii="仿宋" w:eastAsia="仿宋" w:hAnsi="仿宋" w:hint="eastAsia"/>
          <w:color w:val="000000" w:themeColor="text1"/>
          <w:sz w:val="24"/>
          <w:szCs w:val="24"/>
        </w:rPr>
        <w:t>律师事务所为</w:t>
      </w:r>
      <w:r w:rsidR="00E642A3">
        <w:rPr>
          <w:rFonts w:ascii="仿宋" w:eastAsia="仿宋" w:hAnsi="仿宋" w:hint="eastAsia"/>
          <w:color w:val="000000" w:themeColor="text1"/>
          <w:sz w:val="24"/>
          <w:szCs w:val="24"/>
        </w:rPr>
        <w:t>上海佳施物流</w:t>
      </w:r>
      <w:r>
        <w:rPr>
          <w:rFonts w:ascii="仿宋" w:eastAsia="仿宋" w:hAnsi="仿宋"/>
          <w:color w:val="000000" w:themeColor="text1"/>
          <w:sz w:val="24"/>
          <w:szCs w:val="24"/>
        </w:rPr>
        <w:t>有限公司</w:t>
      </w:r>
      <w:r>
        <w:rPr>
          <w:rFonts w:ascii="仿宋" w:eastAsia="仿宋" w:hAnsi="仿宋" w:hint="eastAsia"/>
          <w:color w:val="000000" w:themeColor="text1"/>
          <w:sz w:val="24"/>
          <w:szCs w:val="24"/>
        </w:rPr>
        <w:t>管理人（以下简称“管理人”）。为明确债权人及利害关系人在债权申报阶段之权利、义务，特作如下须知：</w:t>
      </w:r>
    </w:p>
    <w:p w14:paraId="583E24BD" w14:textId="77777777" w:rsidR="008677AB" w:rsidRDefault="00082897">
      <w:pPr>
        <w:pStyle w:val="1"/>
        <w:spacing w:line="480" w:lineRule="exact"/>
        <w:ind w:left="480" w:firstLineChars="0" w:firstLine="0"/>
        <w:rPr>
          <w:rFonts w:ascii="仿宋" w:eastAsia="仿宋" w:hAnsi="仿宋"/>
          <w:b/>
          <w:bCs/>
          <w:color w:val="000000" w:themeColor="text1"/>
          <w:sz w:val="24"/>
          <w:szCs w:val="24"/>
        </w:rPr>
      </w:pPr>
      <w:r>
        <w:rPr>
          <w:rFonts w:ascii="仿宋" w:eastAsia="仿宋" w:hAnsi="仿宋" w:hint="eastAsia"/>
          <w:b/>
          <w:bCs/>
          <w:color w:val="000000" w:themeColor="text1"/>
          <w:sz w:val="24"/>
          <w:szCs w:val="24"/>
        </w:rPr>
        <w:t>一、债权申报期限</w:t>
      </w:r>
    </w:p>
    <w:p w14:paraId="63145E78" w14:textId="77777777" w:rsidR="008677AB" w:rsidRDefault="00082897">
      <w:pPr>
        <w:pStyle w:val="1"/>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为保障债权人利益，债权人应当在</w:t>
      </w:r>
      <w:r w:rsidR="00E642A3">
        <w:rPr>
          <w:rFonts w:ascii="仿宋" w:eastAsia="仿宋" w:hAnsi="仿宋" w:hint="eastAsia"/>
          <w:color w:val="000000" w:themeColor="text1"/>
          <w:sz w:val="24"/>
          <w:szCs w:val="24"/>
        </w:rPr>
        <w:t>上海第三中级</w:t>
      </w:r>
      <w:r>
        <w:rPr>
          <w:rFonts w:ascii="仿宋" w:eastAsia="仿宋" w:hAnsi="仿宋" w:hint="eastAsia"/>
          <w:color w:val="000000" w:themeColor="text1"/>
          <w:sz w:val="24"/>
          <w:szCs w:val="24"/>
        </w:rPr>
        <w:t>人民法院规定的申报期限内（2023年</w:t>
      </w:r>
      <w:r w:rsidR="00E642A3">
        <w:rPr>
          <w:rFonts w:ascii="仿宋" w:eastAsia="仿宋" w:hAnsi="仿宋"/>
          <w:color w:val="000000" w:themeColor="text1"/>
          <w:sz w:val="24"/>
          <w:szCs w:val="24"/>
        </w:rPr>
        <w:t>3</w:t>
      </w:r>
      <w:r>
        <w:rPr>
          <w:rFonts w:ascii="仿宋" w:eastAsia="仿宋" w:hAnsi="仿宋" w:hint="eastAsia"/>
          <w:color w:val="000000" w:themeColor="text1"/>
          <w:sz w:val="24"/>
          <w:szCs w:val="24"/>
        </w:rPr>
        <w:t>月</w:t>
      </w:r>
      <w:r w:rsidR="00E642A3">
        <w:rPr>
          <w:rFonts w:ascii="仿宋" w:eastAsia="仿宋" w:hAnsi="仿宋"/>
          <w:color w:val="000000" w:themeColor="text1"/>
          <w:sz w:val="24"/>
          <w:szCs w:val="24"/>
        </w:rPr>
        <w:t>24</w:t>
      </w:r>
      <w:r>
        <w:rPr>
          <w:rFonts w:ascii="仿宋" w:eastAsia="仿宋" w:hAnsi="仿宋" w:hint="eastAsia"/>
          <w:color w:val="000000" w:themeColor="text1"/>
          <w:sz w:val="24"/>
          <w:szCs w:val="24"/>
        </w:rPr>
        <w:t>日前）完成债权申报。</w:t>
      </w:r>
    </w:p>
    <w:p w14:paraId="1F790C72" w14:textId="77777777" w:rsidR="008677AB" w:rsidRDefault="00082897">
      <w:pPr>
        <w:pStyle w:val="1"/>
        <w:spacing w:line="480" w:lineRule="exact"/>
        <w:ind w:left="480" w:firstLineChars="0" w:firstLine="0"/>
        <w:rPr>
          <w:rFonts w:ascii="仿宋" w:eastAsia="仿宋" w:hAnsi="仿宋"/>
          <w:b/>
          <w:bCs/>
          <w:color w:val="000000" w:themeColor="text1"/>
          <w:sz w:val="24"/>
          <w:szCs w:val="24"/>
        </w:rPr>
      </w:pPr>
      <w:r>
        <w:rPr>
          <w:rFonts w:ascii="仿宋" w:eastAsia="仿宋" w:hAnsi="仿宋" w:hint="eastAsia"/>
          <w:b/>
          <w:bCs/>
          <w:color w:val="000000" w:themeColor="text1"/>
          <w:sz w:val="24"/>
          <w:szCs w:val="24"/>
        </w:rPr>
        <w:t>二、债权申报注意事项</w:t>
      </w:r>
    </w:p>
    <w:p w14:paraId="01DF25A5" w14:textId="77777777" w:rsidR="008677AB" w:rsidRDefault="00082897">
      <w:pPr>
        <w:pStyle w:val="1"/>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根据《企业破产法》的规定，破产债权是指人民法院受理破产申请时对债务人享有的债权。债权人在申报债权时应当注意以下几点：</w:t>
      </w:r>
    </w:p>
    <w:p w14:paraId="68B3CF34"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未到期的债权，在破产申请受理时视为债权到期；</w:t>
      </w:r>
    </w:p>
    <w:p w14:paraId="5520FACC"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附利息的债权，自破产申请受理时起停止计算，即利息计算到</w:t>
      </w:r>
      <w:bookmarkStart w:id="0" w:name="OLE_LINK5"/>
      <w:bookmarkStart w:id="1" w:name="OLE_LINK6"/>
      <w:r>
        <w:rPr>
          <w:rFonts w:ascii="仿宋" w:eastAsia="仿宋" w:hAnsi="仿宋" w:hint="eastAsia"/>
          <w:color w:val="000000" w:themeColor="text1"/>
          <w:sz w:val="24"/>
          <w:szCs w:val="24"/>
        </w:rPr>
        <w:t>2022年</w:t>
      </w:r>
      <w:r>
        <w:rPr>
          <w:rFonts w:ascii="仿宋" w:eastAsia="仿宋" w:hAnsi="仿宋"/>
          <w:color w:val="000000" w:themeColor="text1"/>
          <w:sz w:val="24"/>
          <w:szCs w:val="24"/>
        </w:rPr>
        <w:t>1</w:t>
      </w:r>
      <w:r w:rsidR="00E642A3">
        <w:rPr>
          <w:rFonts w:ascii="仿宋" w:eastAsia="仿宋" w:hAnsi="仿宋"/>
          <w:color w:val="000000" w:themeColor="text1"/>
          <w:sz w:val="24"/>
          <w:szCs w:val="24"/>
        </w:rPr>
        <w:t>1</w:t>
      </w:r>
      <w:r>
        <w:rPr>
          <w:rFonts w:ascii="仿宋" w:eastAsia="仿宋" w:hAnsi="仿宋" w:hint="eastAsia"/>
          <w:color w:val="000000" w:themeColor="text1"/>
          <w:sz w:val="24"/>
          <w:szCs w:val="24"/>
        </w:rPr>
        <w:t>月</w:t>
      </w:r>
      <w:r>
        <w:rPr>
          <w:rFonts w:ascii="仿宋" w:eastAsia="仿宋" w:hAnsi="仿宋"/>
          <w:color w:val="000000" w:themeColor="text1"/>
          <w:sz w:val="24"/>
          <w:szCs w:val="24"/>
        </w:rPr>
        <w:t>2</w:t>
      </w:r>
      <w:r w:rsidR="00E642A3">
        <w:rPr>
          <w:rFonts w:ascii="仿宋" w:eastAsia="仿宋" w:hAnsi="仿宋"/>
          <w:color w:val="000000" w:themeColor="text1"/>
          <w:sz w:val="24"/>
          <w:szCs w:val="24"/>
        </w:rPr>
        <w:t>8</w:t>
      </w:r>
      <w:r>
        <w:rPr>
          <w:rFonts w:ascii="仿宋" w:eastAsia="仿宋" w:hAnsi="仿宋" w:hint="eastAsia"/>
          <w:color w:val="000000" w:themeColor="text1"/>
          <w:sz w:val="24"/>
          <w:szCs w:val="24"/>
        </w:rPr>
        <w:t>日</w:t>
      </w:r>
      <w:bookmarkEnd w:id="0"/>
      <w:bookmarkEnd w:id="1"/>
      <w:r>
        <w:rPr>
          <w:rFonts w:ascii="仿宋" w:eastAsia="仿宋" w:hAnsi="仿宋" w:hint="eastAsia"/>
          <w:color w:val="000000" w:themeColor="text1"/>
          <w:sz w:val="24"/>
          <w:szCs w:val="24"/>
        </w:rPr>
        <w:t>破产申请受理时；</w:t>
      </w:r>
    </w:p>
    <w:p w14:paraId="6D424D15"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附条件、附期限的债权和诉讼、仲裁未决的债权，债权人可以申报；</w:t>
      </w:r>
    </w:p>
    <w:p w14:paraId="23940AD4"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债权人申报债权时，应当书面说明债权的数额和有无财产担保情况，并提交有关证据，申报的债权是连带债权的，应当说明；</w:t>
      </w:r>
    </w:p>
    <w:p w14:paraId="01702596"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连带债权人可以由其中一人代表全体连带债权人申报债权，也可以共同申报债；</w:t>
      </w:r>
    </w:p>
    <w:p w14:paraId="465E924E"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债务人的保证人或者其他连带债务人已经代替债务人清偿债务的，可就其对债务人的求偿权申报债权；</w:t>
      </w:r>
    </w:p>
    <w:p w14:paraId="351F97A0"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债务人的保证人或者其他连带债务人尚未代替债务人清偿债务的，以其对债务人的将来求偿权申报债权，但债权人已经向管理人申报全部债权的除外；</w:t>
      </w:r>
    </w:p>
    <w:p w14:paraId="1808998A"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管理人或者债务人依照《企业破产法》规定解除合同的，对方当事人以因合同解除所产生的损害赔偿请求权申报债权；</w:t>
      </w:r>
    </w:p>
    <w:p w14:paraId="1CF6F064"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债务人是委托合同的委托人，被裁定适用《企业破产法》规定的程序，受托人不知该事实，继续处理委托事务的，受托人以由此产生的请求权申报债权；</w:t>
      </w:r>
    </w:p>
    <w:p w14:paraId="4870FB14"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债务人是票据的出票人，被裁定适用《企业破产法》规定的程序，该票</w:t>
      </w:r>
      <w:r>
        <w:rPr>
          <w:rFonts w:ascii="仿宋" w:eastAsia="仿宋" w:hAnsi="仿宋" w:hint="eastAsia"/>
          <w:color w:val="000000" w:themeColor="text1"/>
          <w:sz w:val="24"/>
          <w:szCs w:val="24"/>
        </w:rPr>
        <w:lastRenderedPageBreak/>
        <w:t>据的付款人继续付款或者承兑的，付款人以由此产生的请求权申报债权；</w:t>
      </w:r>
    </w:p>
    <w:p w14:paraId="315D046F" w14:textId="77777777" w:rsidR="008677AB" w:rsidRDefault="00082897">
      <w:pPr>
        <w:pStyle w:val="1"/>
        <w:numPr>
          <w:ilvl w:val="0"/>
          <w:numId w:val="1"/>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法律规定其他可以申报的债权，债权人可以申报。</w:t>
      </w:r>
    </w:p>
    <w:p w14:paraId="587FEBD1" w14:textId="77777777" w:rsidR="008677AB" w:rsidRDefault="00082897">
      <w:pPr>
        <w:pStyle w:val="1"/>
        <w:spacing w:line="480" w:lineRule="exact"/>
        <w:ind w:left="480" w:firstLineChars="0" w:firstLine="0"/>
        <w:rPr>
          <w:rFonts w:ascii="仿宋" w:eastAsia="仿宋" w:hAnsi="仿宋"/>
          <w:b/>
          <w:bCs/>
          <w:color w:val="000000" w:themeColor="text1"/>
          <w:sz w:val="24"/>
          <w:szCs w:val="24"/>
        </w:rPr>
      </w:pPr>
      <w:r>
        <w:rPr>
          <w:rFonts w:ascii="仿宋" w:eastAsia="仿宋" w:hAnsi="仿宋" w:hint="eastAsia"/>
          <w:b/>
          <w:bCs/>
          <w:color w:val="000000" w:themeColor="text1"/>
          <w:sz w:val="24"/>
          <w:szCs w:val="24"/>
        </w:rPr>
        <w:t>三、未申报或逾期申报法律后果</w:t>
      </w:r>
    </w:p>
    <w:p w14:paraId="3E86946E" w14:textId="77777777" w:rsidR="008677AB" w:rsidRDefault="00082897">
      <w:pPr>
        <w:pStyle w:val="1"/>
        <w:spacing w:line="480" w:lineRule="exact"/>
        <w:ind w:leftChars="200" w:left="420" w:firstLineChars="0" w:firstLine="0"/>
        <w:rPr>
          <w:rFonts w:ascii="仿宋" w:eastAsia="仿宋" w:hAnsi="仿宋"/>
          <w:color w:val="000000" w:themeColor="text1"/>
          <w:sz w:val="24"/>
          <w:szCs w:val="24"/>
        </w:rPr>
      </w:pPr>
      <w:r>
        <w:rPr>
          <w:rFonts w:ascii="仿宋" w:eastAsia="仿宋" w:hAnsi="仿宋" w:hint="eastAsia"/>
          <w:color w:val="000000" w:themeColor="text1"/>
          <w:sz w:val="24"/>
          <w:szCs w:val="24"/>
        </w:rPr>
        <w:t>根据《企业破产法》规定，未申报或逾期申报债权的法律后果主要包括：</w:t>
      </w:r>
    </w:p>
    <w:p w14:paraId="4BF92231" w14:textId="77777777" w:rsidR="008677AB" w:rsidRDefault="00082897">
      <w:pPr>
        <w:pStyle w:val="1"/>
        <w:numPr>
          <w:ilvl w:val="0"/>
          <w:numId w:val="2"/>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债权人未申报债权，不得依照《企业破产法》规定的程序行使权利。</w:t>
      </w:r>
    </w:p>
    <w:p w14:paraId="2FA190A9" w14:textId="77777777" w:rsidR="008677AB" w:rsidRDefault="00082897">
      <w:pPr>
        <w:pStyle w:val="1"/>
        <w:numPr>
          <w:ilvl w:val="0"/>
          <w:numId w:val="2"/>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债权人未按期申报，已分配的财产不对其补充分配，即在破产财产最后分配前补充申报，此前已进行的分配仍不再补充分配，且债权人还应该承担因审查、确认补充债权产生的相关费用。</w:t>
      </w:r>
    </w:p>
    <w:p w14:paraId="64377B95" w14:textId="77777777" w:rsidR="008677AB" w:rsidRDefault="00082897">
      <w:pPr>
        <w:pStyle w:val="1"/>
        <w:numPr>
          <w:ilvl w:val="0"/>
          <w:numId w:val="2"/>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如债务人进入重整程序，债权人未按期申报债权，在重整计划执行期间债权人不得行使权利；在重整计划执行完毕后，债权人可以按照重整计划规定的同类债权的清偿条件行使权利。</w:t>
      </w:r>
    </w:p>
    <w:p w14:paraId="3F8CFB50" w14:textId="77777777" w:rsidR="008677AB" w:rsidRDefault="00082897">
      <w:pPr>
        <w:pStyle w:val="1"/>
        <w:numPr>
          <w:ilvl w:val="0"/>
          <w:numId w:val="2"/>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如债务人进入破产和解程序，债权人未按期申报债权，在和解协议计划执行期间债权人不得行使权利；债权人在和解协议执行完毕后，可以按照和解协议规定的清偿条件行使权利。</w:t>
      </w:r>
    </w:p>
    <w:p w14:paraId="1E921364" w14:textId="77777777" w:rsidR="008677AB" w:rsidRDefault="00082897">
      <w:pPr>
        <w:pStyle w:val="1"/>
        <w:spacing w:line="480" w:lineRule="exact"/>
        <w:ind w:left="480" w:firstLineChars="0" w:firstLine="0"/>
        <w:rPr>
          <w:rFonts w:ascii="仿宋" w:eastAsia="仿宋" w:hAnsi="仿宋"/>
          <w:b/>
          <w:bCs/>
          <w:color w:val="000000" w:themeColor="text1"/>
          <w:sz w:val="24"/>
          <w:szCs w:val="24"/>
        </w:rPr>
      </w:pPr>
      <w:r>
        <w:rPr>
          <w:rFonts w:ascii="仿宋" w:eastAsia="仿宋" w:hAnsi="仿宋" w:hint="eastAsia"/>
          <w:b/>
          <w:bCs/>
          <w:color w:val="000000" w:themeColor="text1"/>
          <w:sz w:val="24"/>
          <w:szCs w:val="24"/>
        </w:rPr>
        <w:t>四、债权申报应提交的材料</w:t>
      </w:r>
    </w:p>
    <w:p w14:paraId="64FEA94F" w14:textId="77777777" w:rsidR="008677AB" w:rsidRDefault="00082897">
      <w:pPr>
        <w:pStyle w:val="1"/>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申报人应当如实、详细填写《债权申报表》以及提供完整、真实有效的申报材料。申报债权应提供如下材料：</w:t>
      </w:r>
    </w:p>
    <w:p w14:paraId="18B22E91" w14:textId="77777777" w:rsidR="008677AB" w:rsidRDefault="00082897">
      <w:pPr>
        <w:pStyle w:val="1"/>
        <w:numPr>
          <w:ilvl w:val="0"/>
          <w:numId w:val="3"/>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债权申报提交文件清单</w:t>
      </w:r>
      <w:r>
        <w:rPr>
          <w:rFonts w:ascii="仿宋" w:eastAsia="仿宋" w:hAnsi="仿宋" w:hint="eastAsia"/>
          <w:b/>
          <w:bCs/>
          <w:color w:val="000000" w:themeColor="text1"/>
          <w:sz w:val="24"/>
          <w:szCs w:val="24"/>
        </w:rPr>
        <w:t>一份</w:t>
      </w:r>
    </w:p>
    <w:p w14:paraId="06B1359D" w14:textId="77777777" w:rsidR="008677AB" w:rsidRDefault="00082897">
      <w:pPr>
        <w:spacing w:line="480" w:lineRule="exact"/>
        <w:ind w:firstLineChars="200" w:firstLine="480"/>
        <w:rPr>
          <w:rFonts w:ascii="仿宋" w:eastAsia="仿宋" w:hAnsi="仿宋"/>
          <w:color w:val="000000" w:themeColor="text1"/>
          <w:sz w:val="24"/>
          <w:szCs w:val="24"/>
        </w:rPr>
      </w:pPr>
      <w:r>
        <w:rPr>
          <w:rFonts w:ascii="仿宋" w:eastAsia="仿宋" w:hAnsi="仿宋" w:hint="eastAsia"/>
          <w:color w:val="000000" w:themeColor="text1"/>
          <w:sz w:val="24"/>
          <w:szCs w:val="24"/>
        </w:rPr>
        <w:t>申报提交文件清单应为原件（债权人盖章或签字），清单上应填写相应内容。</w:t>
      </w:r>
    </w:p>
    <w:p w14:paraId="57627FB5" w14:textId="77777777" w:rsidR="008677AB" w:rsidRDefault="00082897">
      <w:pPr>
        <w:pStyle w:val="1"/>
        <w:numPr>
          <w:ilvl w:val="0"/>
          <w:numId w:val="3"/>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债权申报人主体资格的材料</w:t>
      </w:r>
      <w:r>
        <w:rPr>
          <w:rFonts w:ascii="仿宋" w:eastAsia="仿宋" w:hAnsi="仿宋" w:hint="eastAsia"/>
          <w:b/>
          <w:bCs/>
          <w:color w:val="000000" w:themeColor="text1"/>
          <w:sz w:val="24"/>
          <w:szCs w:val="24"/>
        </w:rPr>
        <w:t>一份</w:t>
      </w:r>
    </w:p>
    <w:p w14:paraId="78CA1B04" w14:textId="77777777" w:rsidR="008677AB" w:rsidRDefault="00082897">
      <w:pPr>
        <w:pStyle w:val="1"/>
        <w:numPr>
          <w:ilvl w:val="0"/>
          <w:numId w:val="4"/>
        </w:numPr>
        <w:spacing w:line="480" w:lineRule="exact"/>
        <w:ind w:left="0" w:firstLine="480"/>
        <w:rPr>
          <w:rFonts w:ascii="仿宋" w:eastAsia="仿宋" w:hAnsi="仿宋"/>
          <w:color w:val="000000" w:themeColor="text1"/>
          <w:sz w:val="24"/>
          <w:szCs w:val="24"/>
        </w:rPr>
      </w:pPr>
      <w:r>
        <w:rPr>
          <w:rFonts w:ascii="仿宋" w:eastAsia="仿宋" w:hAnsi="仿宋" w:hint="eastAsia"/>
          <w:color w:val="000000" w:themeColor="text1"/>
          <w:sz w:val="24"/>
          <w:szCs w:val="24"/>
        </w:rPr>
        <w:t>自然人债权人须提交的材料</w:t>
      </w:r>
    </w:p>
    <w:p w14:paraId="7C7B679A" w14:textId="77777777" w:rsidR="008677AB" w:rsidRDefault="00082897">
      <w:pPr>
        <w:spacing w:line="480" w:lineRule="exact"/>
        <w:ind w:firstLineChars="200" w:firstLine="480"/>
        <w:rPr>
          <w:rFonts w:ascii="仿宋" w:eastAsia="仿宋" w:hAnsi="仿宋"/>
          <w:color w:val="000000" w:themeColor="text1"/>
          <w:sz w:val="24"/>
          <w:szCs w:val="24"/>
        </w:rPr>
      </w:pPr>
      <w:r>
        <w:rPr>
          <w:rFonts w:ascii="仿宋" w:eastAsia="仿宋" w:hAnsi="仿宋" w:hint="eastAsia"/>
          <w:color w:val="000000" w:themeColor="text1"/>
          <w:sz w:val="24"/>
          <w:szCs w:val="24"/>
        </w:rPr>
        <w:t>身份证原件（核对后归还）及复印件（签字确认）；如委托代理人申报的，应提交特别授权委托书原件，代理人身份证原件（核对后归还）及复印件（签字确认）。如委托代理人是律师的，应提交律师执业证及复印件和律师事务所公函。</w:t>
      </w:r>
    </w:p>
    <w:p w14:paraId="25428897" w14:textId="77777777" w:rsidR="008677AB" w:rsidRDefault="00082897">
      <w:pPr>
        <w:pStyle w:val="1"/>
        <w:numPr>
          <w:ilvl w:val="0"/>
          <w:numId w:val="4"/>
        </w:numPr>
        <w:spacing w:line="480" w:lineRule="exact"/>
        <w:ind w:left="0" w:firstLine="480"/>
        <w:rPr>
          <w:rFonts w:ascii="仿宋" w:eastAsia="仿宋" w:hAnsi="仿宋"/>
          <w:color w:val="000000" w:themeColor="text1"/>
          <w:sz w:val="24"/>
          <w:szCs w:val="24"/>
        </w:rPr>
      </w:pPr>
      <w:r>
        <w:rPr>
          <w:rFonts w:ascii="仿宋" w:eastAsia="仿宋" w:hAnsi="仿宋" w:hint="eastAsia"/>
          <w:color w:val="000000" w:themeColor="text1"/>
          <w:sz w:val="24"/>
          <w:szCs w:val="24"/>
        </w:rPr>
        <w:t>非自然人（包括法人、其他组织等）债权人须提交的材料：</w:t>
      </w:r>
    </w:p>
    <w:p w14:paraId="047ED643" w14:textId="77777777" w:rsidR="008677AB" w:rsidRDefault="00082897">
      <w:pPr>
        <w:spacing w:line="480" w:lineRule="exact"/>
        <w:ind w:firstLineChars="200" w:firstLine="480"/>
        <w:rPr>
          <w:rFonts w:ascii="仿宋" w:eastAsia="仿宋" w:hAnsi="仿宋"/>
          <w:color w:val="000000" w:themeColor="text1"/>
          <w:sz w:val="24"/>
          <w:szCs w:val="24"/>
        </w:rPr>
      </w:pPr>
      <w:r>
        <w:rPr>
          <w:rFonts w:ascii="仿宋" w:eastAsia="仿宋" w:hAnsi="仿宋" w:hint="eastAsia"/>
          <w:color w:val="000000" w:themeColor="text1"/>
          <w:sz w:val="24"/>
          <w:szCs w:val="24"/>
        </w:rPr>
        <w:t>有效的营业执照复印件（需加盖公章）、组织机构代码证复印件（加盖公章）、法定代表人或负责人身份证明原件，法定代表人身份证复印件；如委托代理人申报的，应提交特别授权委托书原件，代理人身份证原件（核对后归还）及复印件（签字确认）。如委托代理人是律师的，应提交律师执业证及复印件和律师事务</w:t>
      </w:r>
      <w:r>
        <w:rPr>
          <w:rFonts w:ascii="仿宋" w:eastAsia="仿宋" w:hAnsi="仿宋" w:hint="eastAsia"/>
          <w:color w:val="000000" w:themeColor="text1"/>
          <w:sz w:val="24"/>
          <w:szCs w:val="24"/>
        </w:rPr>
        <w:lastRenderedPageBreak/>
        <w:t>所公函。</w:t>
      </w:r>
    </w:p>
    <w:p w14:paraId="10EE6DCF" w14:textId="77777777" w:rsidR="008677AB" w:rsidRDefault="00082897">
      <w:pPr>
        <w:spacing w:line="480" w:lineRule="exact"/>
        <w:ind w:firstLineChars="200" w:firstLine="482"/>
        <w:rPr>
          <w:rFonts w:ascii="仿宋" w:eastAsia="仿宋" w:hAnsi="仿宋"/>
          <w:b/>
          <w:color w:val="000000" w:themeColor="text1"/>
          <w:sz w:val="24"/>
          <w:szCs w:val="24"/>
        </w:rPr>
      </w:pPr>
      <w:r>
        <w:rPr>
          <w:rFonts w:ascii="仿宋" w:eastAsia="仿宋" w:hAnsi="仿宋" w:hint="eastAsia"/>
          <w:b/>
          <w:color w:val="000000" w:themeColor="text1"/>
          <w:sz w:val="24"/>
          <w:szCs w:val="24"/>
        </w:rPr>
        <w:t>特别提醒：若债权人在申报债权时已提交前述文件，且参加第一次债权人会议时未发生变化的，无需再提供前述文件，仅需提供身份证原件</w:t>
      </w:r>
      <w:r>
        <w:rPr>
          <w:rFonts w:ascii="仿宋" w:eastAsia="仿宋" w:hAnsi="仿宋" w:hint="eastAsia"/>
          <w:b/>
          <w:bCs/>
          <w:color w:val="000000" w:themeColor="text1"/>
          <w:sz w:val="24"/>
          <w:szCs w:val="24"/>
        </w:rPr>
        <w:t>（核对后归还）</w:t>
      </w:r>
      <w:r>
        <w:rPr>
          <w:rFonts w:ascii="仿宋" w:eastAsia="仿宋" w:hAnsi="仿宋" w:hint="eastAsia"/>
          <w:b/>
          <w:color w:val="000000" w:themeColor="text1"/>
          <w:sz w:val="24"/>
          <w:szCs w:val="24"/>
        </w:rPr>
        <w:t>。若发生变化，则需提供变更后的前述文件。</w:t>
      </w:r>
    </w:p>
    <w:p w14:paraId="25F74AC9" w14:textId="77777777" w:rsidR="008677AB" w:rsidRDefault="00082897">
      <w:pPr>
        <w:pStyle w:val="1"/>
        <w:numPr>
          <w:ilvl w:val="0"/>
          <w:numId w:val="3"/>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债权申报表</w:t>
      </w:r>
      <w:r>
        <w:rPr>
          <w:rFonts w:ascii="仿宋" w:eastAsia="仿宋" w:hAnsi="仿宋" w:hint="eastAsia"/>
          <w:b/>
          <w:bCs/>
          <w:color w:val="000000" w:themeColor="text1"/>
          <w:sz w:val="24"/>
          <w:szCs w:val="24"/>
        </w:rPr>
        <w:t>一式二份</w:t>
      </w:r>
    </w:p>
    <w:p w14:paraId="1AFCB76C" w14:textId="77777777" w:rsidR="008677AB" w:rsidRDefault="00082897">
      <w:pPr>
        <w:pStyle w:val="1"/>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提交的债权申报表须为原件（债权人盖章或签字）。</w:t>
      </w:r>
    </w:p>
    <w:p w14:paraId="6C1558C3" w14:textId="77777777" w:rsidR="008677AB" w:rsidRDefault="00082897">
      <w:pPr>
        <w:pStyle w:val="1"/>
        <w:numPr>
          <w:ilvl w:val="0"/>
          <w:numId w:val="3"/>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证明债权事实的相关证据材料</w:t>
      </w:r>
      <w:r>
        <w:rPr>
          <w:rFonts w:ascii="仿宋" w:eastAsia="仿宋" w:hAnsi="仿宋" w:hint="eastAsia"/>
          <w:b/>
          <w:bCs/>
          <w:color w:val="000000" w:themeColor="text1"/>
          <w:sz w:val="24"/>
          <w:szCs w:val="24"/>
        </w:rPr>
        <w:t>一式二份</w:t>
      </w:r>
    </w:p>
    <w:p w14:paraId="09FB2954" w14:textId="77777777" w:rsidR="008677AB" w:rsidRDefault="00082897">
      <w:pPr>
        <w:pStyle w:val="1"/>
        <w:numPr>
          <w:ilvl w:val="0"/>
          <w:numId w:val="5"/>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合同、收款付款凭证、收货单、对账单等各类债权资料；</w:t>
      </w:r>
    </w:p>
    <w:p w14:paraId="036D31FE" w14:textId="77777777" w:rsidR="008677AB" w:rsidRDefault="00082897">
      <w:pPr>
        <w:pStyle w:val="1"/>
        <w:numPr>
          <w:ilvl w:val="0"/>
          <w:numId w:val="5"/>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债权如有担保的，还须提交抵押合同、质押合同、保证合同及相关的登记证件等担保原始材料；</w:t>
      </w:r>
    </w:p>
    <w:p w14:paraId="0F2392C7" w14:textId="77777777" w:rsidR="008677AB" w:rsidRDefault="00082897">
      <w:pPr>
        <w:pStyle w:val="1"/>
        <w:numPr>
          <w:ilvl w:val="0"/>
          <w:numId w:val="5"/>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如有生效法律文书支持的，须提交生效法律文书，法院出具的生效法律文书应加盖法律文书生效章，如果经过两级法院审理，一、二审法院的法律文书皆需提供；仲裁机关出具的生效法律文书应附上仲裁机关关于法律文书已经生效的函件或双方当事人已签收的送达回执以及证据材料。如已申请法院强制执行的，还须提交法院执行立案通知书、中止执行裁定书等相关文件；</w:t>
      </w:r>
    </w:p>
    <w:p w14:paraId="62C283EE" w14:textId="77777777" w:rsidR="008677AB" w:rsidRDefault="00082897">
      <w:pPr>
        <w:pStyle w:val="1"/>
        <w:numPr>
          <w:ilvl w:val="0"/>
          <w:numId w:val="5"/>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申报人在诉讼或仲裁程序中申请财产保全的，须提交法院作出的保全裁定书等关文件；</w:t>
      </w:r>
    </w:p>
    <w:p w14:paraId="5B4C1EAC" w14:textId="77777777" w:rsidR="008677AB" w:rsidRDefault="00082897">
      <w:pPr>
        <w:pStyle w:val="1"/>
        <w:numPr>
          <w:ilvl w:val="0"/>
          <w:numId w:val="5"/>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能够证明债权发生、变更、存续、诉讼时效中止、中断、延长及债权金额的其他材料；</w:t>
      </w:r>
    </w:p>
    <w:p w14:paraId="124184D4" w14:textId="77777777" w:rsidR="008677AB" w:rsidRDefault="00082897">
      <w:pPr>
        <w:pStyle w:val="1"/>
        <w:numPr>
          <w:ilvl w:val="0"/>
          <w:numId w:val="5"/>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债权如有偿还或其他抵债情形的，则须提供偿债凭证、协议或以物抵债协议等相关材料；</w:t>
      </w:r>
    </w:p>
    <w:p w14:paraId="76917268" w14:textId="77777777" w:rsidR="008677AB" w:rsidRDefault="00082897">
      <w:pPr>
        <w:pStyle w:val="1"/>
        <w:numPr>
          <w:ilvl w:val="0"/>
          <w:numId w:val="5"/>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其他能够证明债权成立的依据。</w:t>
      </w:r>
    </w:p>
    <w:p w14:paraId="44DF053B" w14:textId="77777777" w:rsidR="008677AB" w:rsidRDefault="00082897">
      <w:pPr>
        <w:pStyle w:val="1"/>
        <w:spacing w:line="480" w:lineRule="exact"/>
        <w:ind w:firstLine="482"/>
        <w:rPr>
          <w:rFonts w:ascii="仿宋" w:eastAsia="仿宋" w:hAnsi="仿宋"/>
          <w:color w:val="000000" w:themeColor="text1"/>
          <w:sz w:val="24"/>
          <w:szCs w:val="24"/>
        </w:rPr>
      </w:pPr>
      <w:r>
        <w:rPr>
          <w:rFonts w:ascii="仿宋" w:eastAsia="仿宋" w:hAnsi="仿宋" w:hint="eastAsia"/>
          <w:b/>
          <w:bCs/>
          <w:color w:val="000000" w:themeColor="text1"/>
          <w:sz w:val="24"/>
          <w:szCs w:val="24"/>
        </w:rPr>
        <w:t>提交的上述（1）至（7）项申报债权证据应提交原件（原件核对后归还）一份、复印件二份（盖章或签字确认）。</w:t>
      </w:r>
    </w:p>
    <w:p w14:paraId="3AD86F3E" w14:textId="77777777" w:rsidR="008677AB" w:rsidRDefault="00082897">
      <w:pPr>
        <w:spacing w:line="480" w:lineRule="exact"/>
        <w:ind w:firstLineChars="200" w:firstLine="482"/>
        <w:rPr>
          <w:rFonts w:ascii="仿宋" w:eastAsia="仿宋" w:hAnsi="仿宋"/>
          <w:b/>
          <w:bCs/>
          <w:color w:val="000000" w:themeColor="text1"/>
          <w:sz w:val="24"/>
          <w:szCs w:val="24"/>
        </w:rPr>
      </w:pPr>
      <w:r>
        <w:rPr>
          <w:rFonts w:ascii="仿宋" w:eastAsia="仿宋" w:hAnsi="仿宋" w:hint="eastAsia"/>
          <w:b/>
          <w:bCs/>
          <w:color w:val="000000" w:themeColor="text1"/>
          <w:sz w:val="24"/>
          <w:szCs w:val="24"/>
        </w:rPr>
        <w:t>五、填写表格需注意的问题</w:t>
      </w:r>
    </w:p>
    <w:p w14:paraId="1C3069F4" w14:textId="77777777" w:rsidR="008677AB" w:rsidRDefault="00082897">
      <w:pPr>
        <w:pStyle w:val="1"/>
        <w:numPr>
          <w:ilvl w:val="0"/>
          <w:numId w:val="6"/>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申报债权的金额：申报的债权金额必须确定（针对同一债务人，同一法人、组织或个人只能申报一个债权总额）。</w:t>
      </w:r>
    </w:p>
    <w:p w14:paraId="085D739C" w14:textId="2C9F88B0" w:rsidR="008677AB" w:rsidRDefault="00082897">
      <w:pPr>
        <w:pStyle w:val="1"/>
        <w:numPr>
          <w:ilvl w:val="0"/>
          <w:numId w:val="6"/>
        </w:numPr>
        <w:spacing w:line="480" w:lineRule="exact"/>
        <w:ind w:firstLine="480"/>
        <w:rPr>
          <w:rFonts w:ascii="仿宋" w:eastAsia="仿宋" w:hAnsi="仿宋"/>
          <w:b/>
          <w:bCs/>
          <w:color w:val="000000" w:themeColor="text1"/>
          <w:sz w:val="24"/>
          <w:szCs w:val="24"/>
        </w:rPr>
      </w:pPr>
      <w:r>
        <w:rPr>
          <w:rFonts w:ascii="仿宋" w:eastAsia="仿宋" w:hAnsi="仿宋" w:hint="eastAsia"/>
          <w:color w:val="000000" w:themeColor="text1"/>
          <w:sz w:val="24"/>
          <w:szCs w:val="24"/>
        </w:rPr>
        <w:t>利息债权：附利息的债权，利息计算到破产申请受理时，即</w:t>
      </w:r>
      <w:r w:rsidR="006F16CE" w:rsidRPr="006F16CE">
        <w:rPr>
          <w:rFonts w:ascii="仿宋" w:eastAsia="仿宋" w:hAnsi="仿宋"/>
          <w:color w:val="000000" w:themeColor="text1"/>
          <w:sz w:val="24"/>
          <w:szCs w:val="24"/>
        </w:rPr>
        <w:t>2022年11月28日</w:t>
      </w:r>
      <w:r>
        <w:rPr>
          <w:rFonts w:ascii="仿宋" w:eastAsia="仿宋" w:hAnsi="仿宋" w:hint="eastAsia"/>
          <w:color w:val="000000" w:themeColor="text1"/>
          <w:sz w:val="24"/>
          <w:szCs w:val="24"/>
        </w:rPr>
        <w:t>。</w:t>
      </w:r>
      <w:r>
        <w:rPr>
          <w:rFonts w:ascii="仿宋" w:eastAsia="仿宋" w:hAnsi="仿宋" w:hint="eastAsia"/>
          <w:b/>
          <w:bCs/>
          <w:color w:val="000000" w:themeColor="text1"/>
          <w:sz w:val="24"/>
          <w:szCs w:val="24"/>
        </w:rPr>
        <w:t>申报人应提供利息计算表，说明利息的计算依据、计算方法和计算结</w:t>
      </w:r>
      <w:r>
        <w:rPr>
          <w:rFonts w:ascii="仿宋" w:eastAsia="仿宋" w:hAnsi="仿宋" w:hint="eastAsia"/>
          <w:b/>
          <w:bCs/>
          <w:color w:val="000000" w:themeColor="text1"/>
          <w:sz w:val="24"/>
          <w:szCs w:val="24"/>
        </w:rPr>
        <w:lastRenderedPageBreak/>
        <w:t>果，同时将正常利息与罚息、迟延利息、滞纳金等分开计算。</w:t>
      </w:r>
    </w:p>
    <w:p w14:paraId="0428E378" w14:textId="77777777" w:rsidR="008677AB" w:rsidRDefault="00082897">
      <w:pPr>
        <w:pStyle w:val="1"/>
        <w:numPr>
          <w:ilvl w:val="0"/>
          <w:numId w:val="6"/>
        </w:numPr>
        <w:spacing w:line="480" w:lineRule="exact"/>
        <w:ind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债权发生情况：简要陈述该债权的形成经过，另外对</w:t>
      </w:r>
      <w:r>
        <w:rPr>
          <w:rFonts w:ascii="仿宋" w:eastAsia="仿宋" w:hAnsi="仿宋" w:hint="eastAsia"/>
          <w:b/>
          <w:bCs/>
          <w:color w:val="000000" w:themeColor="text1"/>
          <w:sz w:val="24"/>
          <w:szCs w:val="24"/>
        </w:rPr>
        <w:t>已开票金额和未开票金额</w:t>
      </w:r>
      <w:r>
        <w:rPr>
          <w:rFonts w:ascii="仿宋" w:eastAsia="仿宋" w:hAnsi="仿宋" w:hint="eastAsia"/>
          <w:color w:val="000000" w:themeColor="text1"/>
          <w:sz w:val="24"/>
          <w:szCs w:val="24"/>
        </w:rPr>
        <w:t>应填写清楚；若涉及合同关系则该</w:t>
      </w:r>
      <w:r>
        <w:rPr>
          <w:rFonts w:ascii="仿宋" w:eastAsia="仿宋" w:hAnsi="仿宋" w:hint="eastAsia"/>
          <w:b/>
          <w:bCs/>
          <w:color w:val="000000" w:themeColor="text1"/>
          <w:sz w:val="24"/>
          <w:szCs w:val="24"/>
        </w:rPr>
        <w:t>合同是否已经履行完毕</w:t>
      </w:r>
      <w:r>
        <w:rPr>
          <w:rFonts w:ascii="仿宋" w:eastAsia="仿宋" w:hAnsi="仿宋" w:hint="eastAsia"/>
          <w:color w:val="000000" w:themeColor="text1"/>
          <w:sz w:val="24"/>
          <w:szCs w:val="24"/>
        </w:rPr>
        <w:t>要填写清楚。</w:t>
      </w:r>
    </w:p>
    <w:p w14:paraId="2FAB241F" w14:textId="77777777" w:rsidR="008677AB" w:rsidRDefault="00082897">
      <w:pPr>
        <w:spacing w:line="480" w:lineRule="exact"/>
        <w:ind w:firstLineChars="200" w:firstLine="482"/>
        <w:rPr>
          <w:rFonts w:ascii="仿宋" w:eastAsia="仿宋" w:hAnsi="仿宋"/>
          <w:b/>
          <w:bCs/>
          <w:color w:val="000000" w:themeColor="text1"/>
          <w:sz w:val="24"/>
          <w:szCs w:val="24"/>
        </w:rPr>
      </w:pPr>
      <w:r>
        <w:rPr>
          <w:rFonts w:ascii="仿宋" w:eastAsia="仿宋" w:hAnsi="仿宋" w:hint="eastAsia"/>
          <w:b/>
          <w:bCs/>
          <w:color w:val="000000" w:themeColor="text1"/>
          <w:sz w:val="24"/>
          <w:szCs w:val="24"/>
        </w:rPr>
        <w:t>六、债权申报地点</w:t>
      </w:r>
    </w:p>
    <w:p w14:paraId="53959593" w14:textId="77777777" w:rsidR="008677AB" w:rsidRDefault="00082897" w:rsidP="00BB0172">
      <w:pPr>
        <w:spacing w:line="480" w:lineRule="exact"/>
        <w:ind w:firstLineChars="200" w:firstLine="480"/>
        <w:rPr>
          <w:rFonts w:ascii="仿宋" w:eastAsia="仿宋" w:hAnsi="仿宋"/>
          <w:color w:val="000000" w:themeColor="text1"/>
          <w:sz w:val="24"/>
          <w:szCs w:val="24"/>
        </w:rPr>
      </w:pPr>
      <w:r>
        <w:rPr>
          <w:rFonts w:ascii="仿宋" w:eastAsia="仿宋" w:hAnsi="仿宋" w:hint="eastAsia"/>
          <w:color w:val="000000" w:themeColor="text1"/>
          <w:sz w:val="24"/>
          <w:szCs w:val="24"/>
        </w:rPr>
        <w:t>债权人应在指定申报地点进行申报，并务必携带债权申报证据原件以便与管理人核对，债权人未能在管理人确定的时间内提供证据原件核对的，债权人承担由此引起的不利后果。</w:t>
      </w:r>
    </w:p>
    <w:p w14:paraId="2C97F9DA" w14:textId="3AFE9EC6" w:rsidR="008677AB" w:rsidRDefault="00082897" w:rsidP="00BB0172">
      <w:pPr>
        <w:spacing w:line="480" w:lineRule="exact"/>
        <w:ind w:firstLineChars="200" w:firstLine="480"/>
        <w:rPr>
          <w:rFonts w:ascii="仿宋" w:eastAsia="仿宋" w:hAnsi="仿宋"/>
          <w:color w:val="000000" w:themeColor="text1"/>
          <w:sz w:val="24"/>
          <w:szCs w:val="24"/>
        </w:rPr>
      </w:pPr>
      <w:r>
        <w:rPr>
          <w:rFonts w:ascii="仿宋" w:eastAsia="仿宋" w:hAnsi="仿宋" w:hint="eastAsia"/>
          <w:color w:val="000000" w:themeColor="text1"/>
          <w:sz w:val="24"/>
          <w:szCs w:val="24"/>
        </w:rPr>
        <w:t>申报地址：</w:t>
      </w:r>
      <w:r w:rsidR="00E642A3">
        <w:rPr>
          <w:rFonts w:ascii="仿宋" w:eastAsia="仿宋" w:hAnsi="仿宋" w:hint="eastAsia"/>
          <w:color w:val="000000" w:themeColor="text1"/>
          <w:sz w:val="24"/>
          <w:szCs w:val="24"/>
        </w:rPr>
        <w:t>上海</w:t>
      </w:r>
      <w:r>
        <w:rPr>
          <w:rFonts w:ascii="仿宋" w:eastAsia="仿宋" w:hAnsi="仿宋" w:hint="eastAsia"/>
          <w:color w:val="000000" w:themeColor="text1"/>
          <w:sz w:val="24"/>
          <w:szCs w:val="24"/>
        </w:rPr>
        <w:t>市</w:t>
      </w:r>
      <w:r w:rsidR="00E642A3">
        <w:rPr>
          <w:rFonts w:ascii="仿宋" w:eastAsia="仿宋" w:hAnsi="仿宋" w:hint="eastAsia"/>
          <w:color w:val="000000" w:themeColor="text1"/>
          <w:sz w:val="24"/>
          <w:szCs w:val="24"/>
        </w:rPr>
        <w:t>浦东新</w:t>
      </w:r>
      <w:r>
        <w:rPr>
          <w:rFonts w:ascii="仿宋" w:eastAsia="仿宋" w:hAnsi="仿宋" w:hint="eastAsia"/>
          <w:color w:val="000000" w:themeColor="text1"/>
          <w:sz w:val="24"/>
          <w:szCs w:val="24"/>
        </w:rPr>
        <w:t>区</w:t>
      </w:r>
      <w:r w:rsidR="00E642A3">
        <w:rPr>
          <w:rFonts w:ascii="仿宋" w:eastAsia="仿宋" w:hAnsi="仿宋" w:hint="eastAsia"/>
          <w:color w:val="000000" w:themeColor="text1"/>
          <w:sz w:val="24"/>
          <w:szCs w:val="24"/>
        </w:rPr>
        <w:t>世纪大道</w:t>
      </w:r>
      <w:r>
        <w:rPr>
          <w:rFonts w:ascii="仿宋" w:eastAsia="仿宋" w:hAnsi="仿宋" w:hint="eastAsia"/>
          <w:color w:val="000000" w:themeColor="text1"/>
          <w:sz w:val="24"/>
          <w:szCs w:val="24"/>
        </w:rPr>
        <w:t>88号</w:t>
      </w:r>
      <w:r w:rsidR="00E642A3">
        <w:rPr>
          <w:rFonts w:ascii="仿宋" w:eastAsia="仿宋" w:hAnsi="仿宋" w:hint="eastAsia"/>
          <w:color w:val="000000" w:themeColor="text1"/>
          <w:sz w:val="24"/>
          <w:szCs w:val="24"/>
        </w:rPr>
        <w:t>金茂</w:t>
      </w:r>
      <w:r>
        <w:rPr>
          <w:rFonts w:ascii="仿宋" w:eastAsia="仿宋" w:hAnsi="仿宋" w:hint="eastAsia"/>
          <w:color w:val="000000" w:themeColor="text1"/>
          <w:sz w:val="24"/>
          <w:szCs w:val="24"/>
        </w:rPr>
        <w:t>大厦</w:t>
      </w:r>
      <w:r w:rsidR="00E642A3">
        <w:rPr>
          <w:rFonts w:ascii="仿宋" w:eastAsia="仿宋" w:hAnsi="仿宋"/>
          <w:color w:val="000000" w:themeColor="text1"/>
          <w:sz w:val="24"/>
          <w:szCs w:val="24"/>
        </w:rPr>
        <w:t>1706</w:t>
      </w:r>
      <w:r w:rsidR="00E642A3">
        <w:rPr>
          <w:rFonts w:ascii="仿宋" w:eastAsia="仿宋" w:hAnsi="仿宋" w:hint="eastAsia"/>
          <w:color w:val="000000" w:themeColor="text1"/>
          <w:sz w:val="24"/>
          <w:szCs w:val="24"/>
        </w:rPr>
        <w:t>室</w:t>
      </w:r>
      <w:r>
        <w:rPr>
          <w:rFonts w:ascii="仿宋" w:eastAsia="仿宋" w:hAnsi="仿宋" w:hint="eastAsia"/>
          <w:color w:val="000000" w:themeColor="text1"/>
          <w:sz w:val="24"/>
          <w:szCs w:val="24"/>
        </w:rPr>
        <w:t>；邮政编码:</w:t>
      </w:r>
      <w:r w:rsidR="00E642A3">
        <w:rPr>
          <w:rFonts w:ascii="仿宋" w:eastAsia="仿宋" w:hAnsi="仿宋"/>
          <w:color w:val="000000" w:themeColor="text1"/>
          <w:sz w:val="24"/>
          <w:szCs w:val="24"/>
        </w:rPr>
        <w:t>200120</w:t>
      </w:r>
      <w:r>
        <w:rPr>
          <w:rFonts w:ascii="仿宋" w:eastAsia="仿宋" w:hAnsi="仿宋" w:hint="eastAsia"/>
          <w:color w:val="000000" w:themeColor="text1"/>
          <w:sz w:val="24"/>
          <w:szCs w:val="24"/>
        </w:rPr>
        <w:t>；联系人:</w:t>
      </w:r>
      <w:r w:rsidR="00E642A3">
        <w:rPr>
          <w:rFonts w:ascii="仿宋" w:eastAsia="仿宋" w:hAnsi="仿宋" w:hint="eastAsia"/>
          <w:color w:val="000000" w:themeColor="text1"/>
          <w:sz w:val="24"/>
          <w:szCs w:val="24"/>
        </w:rPr>
        <w:t>刘畅</w:t>
      </w:r>
      <w:r>
        <w:rPr>
          <w:rFonts w:ascii="仿宋" w:eastAsia="仿宋" w:hAnsi="仿宋" w:hint="eastAsia"/>
          <w:color w:val="000000" w:themeColor="text1"/>
          <w:sz w:val="24"/>
          <w:szCs w:val="24"/>
        </w:rPr>
        <w:t>律师；联系电话:</w:t>
      </w:r>
      <w:r>
        <w:rPr>
          <w:rFonts w:ascii="仿宋" w:eastAsia="仿宋" w:hAnsi="仿宋"/>
          <w:color w:val="000000" w:themeColor="text1"/>
          <w:sz w:val="24"/>
          <w:szCs w:val="24"/>
        </w:rPr>
        <w:t>1</w:t>
      </w:r>
      <w:r w:rsidR="00E642A3">
        <w:rPr>
          <w:rFonts w:ascii="仿宋" w:eastAsia="仿宋" w:hAnsi="仿宋"/>
          <w:color w:val="000000" w:themeColor="text1"/>
          <w:sz w:val="24"/>
          <w:szCs w:val="24"/>
        </w:rPr>
        <w:t>5201970093</w:t>
      </w:r>
      <w:r>
        <w:rPr>
          <w:rFonts w:ascii="仿宋" w:eastAsia="仿宋" w:hAnsi="仿宋" w:hint="eastAsia"/>
          <w:color w:val="000000" w:themeColor="text1"/>
          <w:sz w:val="24"/>
          <w:szCs w:val="24"/>
        </w:rPr>
        <w:t>。</w:t>
      </w:r>
    </w:p>
    <w:p w14:paraId="5D58E4AE" w14:textId="77777777" w:rsidR="0073392D" w:rsidRDefault="0073392D" w:rsidP="00BB0172">
      <w:pPr>
        <w:widowControl/>
        <w:shd w:val="clear" w:color="auto" w:fill="FFFFFF"/>
        <w:spacing w:line="480" w:lineRule="exact"/>
        <w:ind w:firstLineChars="200" w:firstLine="480"/>
        <w:jc w:val="left"/>
        <w:rPr>
          <w:rFonts w:ascii="仿宋" w:eastAsia="仿宋" w:hAnsi="仿宋"/>
          <w:color w:val="000000" w:themeColor="text1"/>
          <w:sz w:val="24"/>
          <w:szCs w:val="24"/>
        </w:rPr>
      </w:pPr>
      <w:r w:rsidRPr="0073392D">
        <w:rPr>
          <w:rFonts w:ascii="仿宋" w:eastAsia="仿宋" w:hAnsi="仿宋"/>
          <w:color w:val="000000" w:themeColor="text1"/>
          <w:sz w:val="24"/>
          <w:szCs w:val="24"/>
        </w:rPr>
        <w:t>债权申报通知、相关资料见上海融力天闻律师事务所官网：</w:t>
      </w:r>
      <w:hyperlink r:id="rId8" w:history="1">
        <w:r w:rsidRPr="006E1A5C">
          <w:rPr>
            <w:rStyle w:val="a7"/>
            <w:rFonts w:ascii="仿宋" w:eastAsia="仿宋" w:hAnsi="仿宋"/>
            <w:sz w:val="24"/>
            <w:szCs w:val="24"/>
          </w:rPr>
          <w:t>http://www.rtlawyer.com.cn</w:t>
        </w:r>
      </w:hyperlink>
      <w:r w:rsidRPr="0073392D">
        <w:rPr>
          <w:rFonts w:ascii="仿宋" w:eastAsia="仿宋" w:hAnsi="仿宋"/>
          <w:color w:val="000000" w:themeColor="text1"/>
          <w:sz w:val="24"/>
          <w:szCs w:val="24"/>
        </w:rPr>
        <w:t>，</w:t>
      </w:r>
    </w:p>
    <w:p w14:paraId="3649C1CD" w14:textId="77777777" w:rsidR="0073392D" w:rsidRDefault="0073392D" w:rsidP="00BB0172">
      <w:pPr>
        <w:widowControl/>
        <w:shd w:val="clear" w:color="auto" w:fill="FFFFFF"/>
        <w:spacing w:line="480" w:lineRule="exact"/>
        <w:ind w:firstLineChars="200" w:firstLine="480"/>
        <w:jc w:val="left"/>
        <w:rPr>
          <w:rFonts w:ascii="仿宋" w:eastAsia="仿宋" w:hAnsi="仿宋"/>
          <w:color w:val="000000" w:themeColor="text1"/>
          <w:sz w:val="24"/>
          <w:szCs w:val="24"/>
        </w:rPr>
      </w:pPr>
      <w:r w:rsidRPr="0073392D">
        <w:rPr>
          <w:rFonts w:ascii="仿宋" w:eastAsia="仿宋" w:hAnsi="仿宋"/>
          <w:color w:val="000000" w:themeColor="text1"/>
          <w:sz w:val="24"/>
          <w:szCs w:val="24"/>
        </w:rPr>
        <w:t>或关注“上海融力天闻律师事务所”微信公众号；</w:t>
      </w:r>
    </w:p>
    <w:p w14:paraId="469CA01A" w14:textId="77777777" w:rsidR="008677AB" w:rsidRDefault="0073392D" w:rsidP="00BB0172">
      <w:pPr>
        <w:widowControl/>
        <w:shd w:val="clear" w:color="auto" w:fill="FFFFFF"/>
        <w:spacing w:line="480" w:lineRule="exact"/>
        <w:ind w:firstLineChars="200" w:firstLine="480"/>
        <w:jc w:val="left"/>
        <w:rPr>
          <w:rFonts w:ascii="仿宋" w:eastAsia="仿宋" w:hAnsi="仿宋"/>
          <w:color w:val="000000" w:themeColor="text1"/>
          <w:sz w:val="24"/>
          <w:szCs w:val="24"/>
        </w:rPr>
      </w:pPr>
      <w:r w:rsidRPr="0073392D">
        <w:rPr>
          <w:rFonts w:ascii="仿宋" w:eastAsia="仿宋" w:hAnsi="仿宋"/>
          <w:color w:val="000000" w:themeColor="text1"/>
          <w:sz w:val="24"/>
          <w:szCs w:val="24"/>
        </w:rPr>
        <w:t>债权申报相关资料可在“全国企业破产重整案件信息网”下载：https://pccz.court.gov.cn/pcajxxw/index/xxwsy</w:t>
      </w:r>
    </w:p>
    <w:p w14:paraId="01B6DBFE" w14:textId="77777777" w:rsidR="008677AB" w:rsidRDefault="008677AB">
      <w:pPr>
        <w:widowControl/>
        <w:shd w:val="clear" w:color="auto" w:fill="FFFFFF"/>
        <w:spacing w:line="480" w:lineRule="exact"/>
        <w:ind w:firstLineChars="200" w:firstLine="480"/>
        <w:jc w:val="left"/>
        <w:rPr>
          <w:rFonts w:ascii="仿宋" w:eastAsia="仿宋" w:hAnsi="仿宋"/>
          <w:color w:val="000000" w:themeColor="text1"/>
          <w:sz w:val="24"/>
          <w:szCs w:val="24"/>
        </w:rPr>
      </w:pPr>
    </w:p>
    <w:p w14:paraId="5F224AE1" w14:textId="77777777" w:rsidR="008677AB" w:rsidRDefault="008677AB">
      <w:pPr>
        <w:widowControl/>
        <w:shd w:val="clear" w:color="auto" w:fill="FFFFFF"/>
        <w:spacing w:line="480" w:lineRule="exact"/>
        <w:ind w:firstLineChars="200" w:firstLine="480"/>
        <w:jc w:val="left"/>
        <w:rPr>
          <w:rFonts w:ascii="仿宋" w:eastAsia="仿宋" w:hAnsi="仿宋"/>
          <w:color w:val="000000" w:themeColor="text1"/>
          <w:sz w:val="24"/>
          <w:szCs w:val="24"/>
        </w:rPr>
      </w:pPr>
    </w:p>
    <w:p w14:paraId="419F8F01" w14:textId="10616939" w:rsidR="008677AB" w:rsidRDefault="00E642A3">
      <w:pPr>
        <w:pStyle w:val="1"/>
        <w:spacing w:line="480" w:lineRule="exact"/>
        <w:ind w:firstLine="480"/>
        <w:jc w:val="right"/>
        <w:rPr>
          <w:rFonts w:ascii="仿宋" w:eastAsia="仿宋" w:hAnsi="仿宋"/>
          <w:color w:val="000000" w:themeColor="text1"/>
          <w:sz w:val="24"/>
          <w:szCs w:val="24"/>
        </w:rPr>
      </w:pPr>
      <w:r>
        <w:rPr>
          <w:rFonts w:ascii="仿宋" w:eastAsia="仿宋" w:hAnsi="仿宋" w:hint="eastAsia"/>
          <w:color w:val="000000" w:themeColor="text1"/>
          <w:sz w:val="24"/>
          <w:szCs w:val="24"/>
        </w:rPr>
        <w:t>上海佳施物流</w:t>
      </w:r>
      <w:r w:rsidR="00082897">
        <w:rPr>
          <w:rFonts w:ascii="仿宋" w:eastAsia="仿宋" w:hAnsi="仿宋"/>
          <w:color w:val="000000" w:themeColor="text1"/>
          <w:sz w:val="24"/>
          <w:szCs w:val="24"/>
        </w:rPr>
        <w:t>有限公司</w:t>
      </w:r>
      <w:r w:rsidR="00082897">
        <w:rPr>
          <w:rFonts w:ascii="仿宋" w:eastAsia="仿宋" w:hAnsi="仿宋" w:hint="eastAsia"/>
          <w:color w:val="000000" w:themeColor="text1"/>
          <w:sz w:val="24"/>
          <w:szCs w:val="24"/>
        </w:rPr>
        <w:t>管理人</w:t>
      </w:r>
    </w:p>
    <w:p w14:paraId="040E65A9" w14:textId="730C53FA" w:rsidR="00BB0172" w:rsidRDefault="00BB0172" w:rsidP="00BB0172">
      <w:pPr>
        <w:pStyle w:val="1"/>
        <w:wordWrap w:val="0"/>
        <w:spacing w:line="480" w:lineRule="exact"/>
        <w:ind w:firstLine="480"/>
        <w:jc w:val="right"/>
        <w:rPr>
          <w:rFonts w:ascii="仿宋" w:eastAsia="仿宋" w:hAnsi="仿宋" w:hint="eastAsia"/>
          <w:color w:val="000000" w:themeColor="text1"/>
          <w:sz w:val="24"/>
          <w:szCs w:val="24"/>
        </w:rPr>
      </w:pPr>
      <w:r>
        <w:rPr>
          <w:rFonts w:ascii="仿宋" w:eastAsia="仿宋" w:hAnsi="仿宋" w:hint="eastAsia"/>
          <w:color w:val="000000" w:themeColor="text1"/>
          <w:sz w:val="24"/>
          <w:szCs w:val="24"/>
        </w:rPr>
        <w:t xml:space="preserve">（ 盖 章 ） </w:t>
      </w:r>
      <w:r>
        <w:rPr>
          <w:rFonts w:ascii="仿宋" w:eastAsia="仿宋" w:hAnsi="仿宋"/>
          <w:color w:val="000000" w:themeColor="text1"/>
          <w:sz w:val="24"/>
          <w:szCs w:val="24"/>
        </w:rPr>
        <w:t xml:space="preserve">     </w:t>
      </w:r>
    </w:p>
    <w:p w14:paraId="213DEE1C" w14:textId="42389964" w:rsidR="008677AB" w:rsidRDefault="00082897">
      <w:pPr>
        <w:pStyle w:val="1"/>
        <w:spacing w:line="480" w:lineRule="exact"/>
        <w:ind w:firstLine="480"/>
        <w:jc w:val="right"/>
        <w:rPr>
          <w:rFonts w:ascii="仿宋" w:eastAsia="仿宋" w:hAnsi="仿宋"/>
          <w:color w:val="000000" w:themeColor="text1"/>
          <w:sz w:val="24"/>
          <w:szCs w:val="24"/>
        </w:rPr>
      </w:pPr>
      <w:r>
        <w:rPr>
          <w:rFonts w:ascii="仿宋" w:eastAsia="仿宋" w:hAnsi="仿宋" w:hint="eastAsia"/>
          <w:color w:val="000000" w:themeColor="text1"/>
          <w:sz w:val="24"/>
          <w:szCs w:val="24"/>
        </w:rPr>
        <w:t>二〇二三年二月</w:t>
      </w:r>
      <w:r w:rsidR="00BB0172">
        <w:rPr>
          <w:rFonts w:ascii="仿宋" w:eastAsia="仿宋" w:hAnsi="仿宋" w:hint="eastAsia"/>
          <w:color w:val="000000" w:themeColor="text1"/>
          <w:sz w:val="24"/>
          <w:szCs w:val="24"/>
        </w:rPr>
        <w:t>十五</w:t>
      </w:r>
      <w:r>
        <w:rPr>
          <w:rFonts w:ascii="仿宋" w:eastAsia="仿宋" w:hAnsi="仿宋" w:hint="eastAsia"/>
          <w:color w:val="000000" w:themeColor="text1"/>
          <w:sz w:val="24"/>
          <w:szCs w:val="24"/>
        </w:rPr>
        <w:t>日</w:t>
      </w:r>
    </w:p>
    <w:p w14:paraId="5FE46C5B" w14:textId="77777777" w:rsidR="008677AB" w:rsidRDefault="008677AB">
      <w:pPr>
        <w:rPr>
          <w:color w:val="000000" w:themeColor="text1"/>
        </w:rPr>
      </w:pPr>
    </w:p>
    <w:sectPr w:rsidR="008677AB">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FC7BC" w14:textId="77777777" w:rsidR="00C1646C" w:rsidRDefault="00C1646C">
      <w:r>
        <w:separator/>
      </w:r>
    </w:p>
  </w:endnote>
  <w:endnote w:type="continuationSeparator" w:id="0">
    <w:p w14:paraId="0DE7224E" w14:textId="77777777" w:rsidR="00C1646C" w:rsidRDefault="00C16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6E07" w14:textId="77777777" w:rsidR="008677AB" w:rsidRDefault="00082897">
    <w:pPr>
      <w:pStyle w:val="a3"/>
    </w:pPr>
    <w:r>
      <w:rPr>
        <w:noProof/>
      </w:rPr>
      <mc:AlternateContent>
        <mc:Choice Requires="wps">
          <w:drawing>
            <wp:anchor distT="0" distB="0" distL="114300" distR="114300" simplePos="0" relativeHeight="251659264" behindDoc="0" locked="0" layoutInCell="1" allowOverlap="1" wp14:anchorId="2B4728EB" wp14:editId="63F9886D">
              <wp:simplePos x="0" y="0"/>
              <wp:positionH relativeFrom="margin">
                <wp:align>center</wp:align>
              </wp:positionH>
              <wp:positionV relativeFrom="paragraph">
                <wp:posOffset>0</wp:posOffset>
              </wp:positionV>
              <wp:extent cx="1143635" cy="19748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635" cy="197485"/>
                      </a:xfrm>
                      <a:prstGeom prst="rect">
                        <a:avLst/>
                      </a:prstGeom>
                      <a:noFill/>
                      <a:ln>
                        <a:noFill/>
                      </a:ln>
                    </wps:spPr>
                    <wps:txbx>
                      <w:txbxContent>
                        <w:p w14:paraId="76F39B41" w14:textId="77777777" w:rsidR="008677AB" w:rsidRDefault="00082897">
                          <w:pPr>
                            <w:snapToGrid w:val="0"/>
                            <w:rPr>
                              <w:rFonts w:ascii="仿宋" w:eastAsia="仿宋" w:hAnsi="仿宋"/>
                              <w:sz w:val="24"/>
                              <w:szCs w:val="24"/>
                            </w:rPr>
                          </w:pPr>
                          <w:r>
                            <w:rPr>
                              <w:rFonts w:ascii="仿宋" w:eastAsia="仿宋" w:hAnsi="仿宋" w:hint="eastAsia"/>
                              <w:sz w:val="24"/>
                              <w:szCs w:val="24"/>
                            </w:rPr>
                            <w:t xml:space="preserve">第 </w:t>
                          </w:r>
                          <w:r>
                            <w:rPr>
                              <w:rFonts w:ascii="仿宋" w:eastAsia="仿宋" w:hAnsi="仿宋" w:hint="eastAsia"/>
                              <w:sz w:val="24"/>
                              <w:szCs w:val="24"/>
                            </w:rPr>
                            <w:fldChar w:fldCharType="begin"/>
                          </w:r>
                          <w:r>
                            <w:rPr>
                              <w:rFonts w:ascii="仿宋" w:eastAsia="仿宋" w:hAnsi="仿宋" w:hint="eastAsia"/>
                              <w:sz w:val="24"/>
                              <w:szCs w:val="24"/>
                            </w:rPr>
                            <w:instrText xml:space="preserve"> PAGE  \* MERGEFORMAT </w:instrText>
                          </w:r>
                          <w:r>
                            <w:rPr>
                              <w:rFonts w:ascii="仿宋" w:eastAsia="仿宋" w:hAnsi="仿宋" w:hint="eastAsia"/>
                              <w:sz w:val="24"/>
                              <w:szCs w:val="24"/>
                            </w:rPr>
                            <w:fldChar w:fldCharType="separate"/>
                          </w:r>
                          <w:r>
                            <w:rPr>
                              <w:rFonts w:ascii="仿宋" w:eastAsia="仿宋" w:hAnsi="仿宋"/>
                              <w:sz w:val="24"/>
                              <w:szCs w:val="24"/>
                            </w:rPr>
                            <w:t>1</w:t>
                          </w:r>
                          <w:r>
                            <w:rPr>
                              <w:rFonts w:ascii="仿宋" w:eastAsia="仿宋" w:hAnsi="仿宋" w:hint="eastAsia"/>
                              <w:sz w:val="24"/>
                              <w:szCs w:val="24"/>
                            </w:rPr>
                            <w:fldChar w:fldCharType="end"/>
                          </w:r>
                          <w:r>
                            <w:rPr>
                              <w:rFonts w:ascii="仿宋" w:eastAsia="仿宋" w:hAnsi="仿宋" w:hint="eastAsia"/>
                              <w:sz w:val="24"/>
                              <w:szCs w:val="24"/>
                            </w:rPr>
                            <w:t xml:space="preserve"> 页 共 </w:t>
                          </w:r>
                          <w:r>
                            <w:rPr>
                              <w:rFonts w:ascii="仿宋" w:eastAsia="仿宋" w:hAnsi="仿宋" w:hint="eastAsia"/>
                              <w:sz w:val="24"/>
                              <w:szCs w:val="24"/>
                            </w:rPr>
                            <w:fldChar w:fldCharType="begin"/>
                          </w:r>
                          <w:r>
                            <w:rPr>
                              <w:rFonts w:ascii="仿宋" w:eastAsia="仿宋" w:hAnsi="仿宋" w:hint="eastAsia"/>
                              <w:sz w:val="24"/>
                              <w:szCs w:val="24"/>
                            </w:rPr>
                            <w:instrText xml:space="preserve"> NUMPAGES  \* MERGEFORMAT </w:instrText>
                          </w:r>
                          <w:r>
                            <w:rPr>
                              <w:rFonts w:ascii="仿宋" w:eastAsia="仿宋" w:hAnsi="仿宋" w:hint="eastAsia"/>
                              <w:sz w:val="24"/>
                              <w:szCs w:val="24"/>
                            </w:rPr>
                            <w:fldChar w:fldCharType="separate"/>
                          </w:r>
                          <w:r>
                            <w:rPr>
                              <w:rFonts w:ascii="仿宋" w:eastAsia="仿宋" w:hAnsi="仿宋"/>
                              <w:sz w:val="24"/>
                              <w:szCs w:val="24"/>
                            </w:rPr>
                            <w:t>1</w:t>
                          </w:r>
                          <w:r>
                            <w:rPr>
                              <w:rFonts w:ascii="仿宋" w:eastAsia="仿宋" w:hAnsi="仿宋" w:hint="eastAsia"/>
                              <w:sz w:val="24"/>
                              <w:szCs w:val="24"/>
                            </w:rPr>
                            <w:fldChar w:fldCharType="end"/>
                          </w:r>
                          <w:r>
                            <w:rPr>
                              <w:rFonts w:ascii="仿宋" w:eastAsia="仿宋" w:hAnsi="仿宋" w:hint="eastAsia"/>
                              <w:sz w:val="24"/>
                              <w:szCs w:val="24"/>
                            </w:rPr>
                            <w:t xml:space="preserve"> 页</w:t>
                          </w:r>
                        </w:p>
                      </w:txbxContent>
                    </wps:txbx>
                    <wps:bodyPr rot="0" vert="horz" wrap="none" lIns="0" tIns="0" rIns="0" bIns="0" anchor="t" anchorCtr="0" upright="1">
                      <a:spAutoFit/>
                    </wps:bodyPr>
                  </wps:wsp>
                </a:graphicData>
              </a:graphic>
            </wp:anchor>
          </w:drawing>
        </mc:Choice>
        <mc:Fallback xmlns:wpsCustomData="http://www.wps.cn/officeDocument/2013/wpsCustomData">
          <w:pict>
            <v:shape id="_x0000_s1026" o:spid="_x0000_s1026" o:spt="202" type="#_x0000_t202" style="position:absolute;left:0pt;margin-top:0pt;height:15.55pt;width:90.05pt;mso-position-horizontal:center;mso-position-horizontal-relative:margin;mso-wrap-style:none;z-index:251659264;mso-width-relative:page;mso-height-relative:page;" filled="f" stroked="f" coordsize="21600,21600" o:gfxdata="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cXb2nRAAAABAEAAA8AAAAAAAAAAQAgAAAAIgAAAGRycy9k&#10;b3ducmV2LnhtbFBLAQIUABQAAAAIAIdO4kCJ1dPjCQIAAAMEAAAOAAAAAAAAAAEAIAAAACABAABk&#10;cnMvZTJvRG9jLnhtbFBLBQYAAAAABgAGAFkBAACbBQAAAAA=&#10;">
              <v:fill on="f" focussize="0,0"/>
              <v:stroke on="f"/>
              <v:imagedata o:title=""/>
              <o:lock v:ext="edit" aspectratio="f"/>
              <v:textbox inset="0mm,0mm,0mm,0mm" style="mso-fit-shape-to-text:t;">
                <w:txbxContent>
                  <w:p>
                    <w:pPr>
                      <w:snapToGrid w:val="0"/>
                      <w:rPr>
                        <w:rFonts w:ascii="仿宋" w:hAnsi="仿宋" w:eastAsia="仿宋"/>
                        <w:sz w:val="24"/>
                        <w:szCs w:val="24"/>
                      </w:rPr>
                    </w:pPr>
                    <w:r>
                      <w:rPr>
                        <w:rFonts w:hint="eastAsia" w:ascii="仿宋" w:hAnsi="仿宋" w:eastAsia="仿宋"/>
                        <w:sz w:val="24"/>
                        <w:szCs w:val="24"/>
                      </w:rPr>
                      <w:t xml:space="preserve">第 </w:t>
                    </w:r>
                    <w:r>
                      <w:rPr>
                        <w:rFonts w:hint="eastAsia" w:ascii="仿宋" w:hAnsi="仿宋" w:eastAsia="仿宋"/>
                        <w:sz w:val="24"/>
                        <w:szCs w:val="24"/>
                      </w:rPr>
                      <w:fldChar w:fldCharType="begin"/>
                    </w:r>
                    <w:r>
                      <w:rPr>
                        <w:rFonts w:hint="eastAsia" w:ascii="仿宋" w:hAnsi="仿宋" w:eastAsia="仿宋"/>
                        <w:sz w:val="24"/>
                        <w:szCs w:val="24"/>
                      </w:rPr>
                      <w:instrText xml:space="preserve"> PAGE  \* MERGEFORMAT </w:instrText>
                    </w:r>
                    <w:r>
                      <w:rPr>
                        <w:rFonts w:hint="eastAsia" w:ascii="仿宋" w:hAnsi="仿宋" w:eastAsia="仿宋"/>
                        <w:sz w:val="24"/>
                        <w:szCs w:val="24"/>
                      </w:rPr>
                      <w:fldChar w:fldCharType="separate"/>
                    </w:r>
                    <w:r>
                      <w:rPr>
                        <w:rFonts w:ascii="仿宋" w:hAnsi="仿宋" w:eastAsia="仿宋"/>
                        <w:sz w:val="24"/>
                        <w:szCs w:val="24"/>
                      </w:rPr>
                      <w:t>1</w:t>
                    </w:r>
                    <w:r>
                      <w:rPr>
                        <w:rFonts w:hint="eastAsia" w:ascii="仿宋" w:hAnsi="仿宋" w:eastAsia="仿宋"/>
                        <w:sz w:val="24"/>
                        <w:szCs w:val="24"/>
                      </w:rPr>
                      <w:fldChar w:fldCharType="end"/>
                    </w:r>
                    <w:r>
                      <w:rPr>
                        <w:rFonts w:hint="eastAsia" w:ascii="仿宋" w:hAnsi="仿宋" w:eastAsia="仿宋"/>
                        <w:sz w:val="24"/>
                        <w:szCs w:val="24"/>
                      </w:rPr>
                      <w:t xml:space="preserve"> 页 共 </w:t>
                    </w:r>
                    <w:r>
                      <w:rPr>
                        <w:rFonts w:hint="eastAsia" w:ascii="仿宋" w:hAnsi="仿宋" w:eastAsia="仿宋"/>
                        <w:sz w:val="24"/>
                        <w:szCs w:val="24"/>
                      </w:rPr>
                      <w:fldChar w:fldCharType="begin"/>
                    </w:r>
                    <w:r>
                      <w:rPr>
                        <w:rFonts w:hint="eastAsia" w:ascii="仿宋" w:hAnsi="仿宋" w:eastAsia="仿宋"/>
                        <w:sz w:val="24"/>
                        <w:szCs w:val="24"/>
                      </w:rPr>
                      <w:instrText xml:space="preserve"> NUMPAGES  \* MERGEFORMAT </w:instrText>
                    </w:r>
                    <w:r>
                      <w:rPr>
                        <w:rFonts w:hint="eastAsia" w:ascii="仿宋" w:hAnsi="仿宋" w:eastAsia="仿宋"/>
                        <w:sz w:val="24"/>
                        <w:szCs w:val="24"/>
                      </w:rPr>
                      <w:fldChar w:fldCharType="separate"/>
                    </w:r>
                    <w:r>
                      <w:rPr>
                        <w:rFonts w:ascii="仿宋" w:hAnsi="仿宋" w:eastAsia="仿宋"/>
                        <w:sz w:val="24"/>
                        <w:szCs w:val="24"/>
                      </w:rPr>
                      <w:t>1</w:t>
                    </w:r>
                    <w:r>
                      <w:rPr>
                        <w:rFonts w:hint="eastAsia" w:ascii="仿宋" w:hAnsi="仿宋" w:eastAsia="仿宋"/>
                        <w:sz w:val="24"/>
                        <w:szCs w:val="24"/>
                      </w:rPr>
                      <w:fldChar w:fldCharType="end"/>
                    </w:r>
                    <w:r>
                      <w:rPr>
                        <w:rFonts w:hint="eastAsia" w:ascii="仿宋" w:hAnsi="仿宋" w:eastAsia="仿宋"/>
                        <w:sz w:val="24"/>
                        <w:szCs w:val="24"/>
                      </w:rPr>
                      <w:t xml:space="preserve"> 页</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112DC" w14:textId="77777777" w:rsidR="00C1646C" w:rsidRDefault="00C1646C">
      <w:r>
        <w:separator/>
      </w:r>
    </w:p>
  </w:footnote>
  <w:footnote w:type="continuationSeparator" w:id="0">
    <w:p w14:paraId="16EA5391" w14:textId="77777777" w:rsidR="00C1646C" w:rsidRDefault="00C16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C2E5" w14:textId="77777777" w:rsidR="008677AB" w:rsidRDefault="00E642A3">
    <w:pPr>
      <w:pStyle w:val="a5"/>
      <w:rPr>
        <w:rFonts w:ascii="仿宋" w:eastAsia="仿宋" w:hAnsi="仿宋"/>
        <w:sz w:val="21"/>
        <w:szCs w:val="21"/>
      </w:rPr>
    </w:pPr>
    <w:r>
      <w:rPr>
        <w:rFonts w:ascii="仿宋" w:eastAsia="仿宋" w:hAnsi="仿宋" w:hint="eastAsia"/>
        <w:sz w:val="21"/>
        <w:szCs w:val="21"/>
      </w:rPr>
      <w:t>上海佳施物流</w:t>
    </w:r>
    <w:r w:rsidR="00082897">
      <w:rPr>
        <w:rFonts w:ascii="仿宋" w:eastAsia="仿宋" w:hAnsi="仿宋" w:hint="eastAsia"/>
        <w:sz w:val="21"/>
        <w:szCs w:val="21"/>
      </w:rPr>
      <w:t>有</w:t>
    </w:r>
    <w:r w:rsidR="00082897">
      <w:rPr>
        <w:rFonts w:ascii="仿宋" w:eastAsia="仿宋" w:hAnsi="仿宋"/>
        <w:sz w:val="21"/>
        <w:szCs w:val="21"/>
      </w:rPr>
      <w:t>限公司</w:t>
    </w:r>
    <w:r w:rsidR="00082897">
      <w:rPr>
        <w:rFonts w:ascii="仿宋" w:eastAsia="仿宋" w:hAnsi="仿宋" w:hint="eastAsia"/>
        <w:sz w:val="21"/>
        <w:szCs w:val="21"/>
      </w:rPr>
      <w:t>破产清算案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86264"/>
    <w:multiLevelType w:val="multilevel"/>
    <w:tmpl w:val="1D186264"/>
    <w:lvl w:ilvl="0">
      <w:start w:val="1"/>
      <w:numFmt w:val="decimal"/>
      <w:lvlText w:val="（%1）"/>
      <w:lvlJc w:val="left"/>
      <w:pPr>
        <w:ind w:left="2295" w:hanging="720"/>
      </w:pPr>
      <w:rPr>
        <w:rFonts w:hint="default"/>
      </w:rPr>
    </w:lvl>
    <w:lvl w:ilvl="1">
      <w:start w:val="1"/>
      <w:numFmt w:val="lowerLetter"/>
      <w:lvlText w:val="%2)"/>
      <w:lvlJc w:val="left"/>
      <w:pPr>
        <w:ind w:left="2415" w:hanging="420"/>
      </w:pPr>
    </w:lvl>
    <w:lvl w:ilvl="2">
      <w:start w:val="1"/>
      <w:numFmt w:val="lowerRoman"/>
      <w:lvlText w:val="%3."/>
      <w:lvlJc w:val="right"/>
      <w:pPr>
        <w:ind w:left="2835" w:hanging="420"/>
      </w:pPr>
    </w:lvl>
    <w:lvl w:ilvl="3">
      <w:start w:val="1"/>
      <w:numFmt w:val="decimal"/>
      <w:lvlText w:val="%4."/>
      <w:lvlJc w:val="left"/>
      <w:pPr>
        <w:ind w:left="3255" w:hanging="420"/>
      </w:pPr>
    </w:lvl>
    <w:lvl w:ilvl="4">
      <w:start w:val="1"/>
      <w:numFmt w:val="lowerLetter"/>
      <w:lvlText w:val="%5)"/>
      <w:lvlJc w:val="left"/>
      <w:pPr>
        <w:ind w:left="3675" w:hanging="420"/>
      </w:pPr>
    </w:lvl>
    <w:lvl w:ilvl="5">
      <w:start w:val="1"/>
      <w:numFmt w:val="lowerRoman"/>
      <w:lvlText w:val="%6."/>
      <w:lvlJc w:val="right"/>
      <w:pPr>
        <w:ind w:left="4095" w:hanging="420"/>
      </w:pPr>
    </w:lvl>
    <w:lvl w:ilvl="6">
      <w:start w:val="1"/>
      <w:numFmt w:val="decimal"/>
      <w:lvlText w:val="%7."/>
      <w:lvlJc w:val="left"/>
      <w:pPr>
        <w:ind w:left="4515" w:hanging="420"/>
      </w:pPr>
    </w:lvl>
    <w:lvl w:ilvl="7">
      <w:start w:val="1"/>
      <w:numFmt w:val="lowerLetter"/>
      <w:lvlText w:val="%8)"/>
      <w:lvlJc w:val="left"/>
      <w:pPr>
        <w:ind w:left="4935" w:hanging="420"/>
      </w:pPr>
    </w:lvl>
    <w:lvl w:ilvl="8">
      <w:start w:val="1"/>
      <w:numFmt w:val="lowerRoman"/>
      <w:lvlText w:val="%9."/>
      <w:lvlJc w:val="right"/>
      <w:pPr>
        <w:ind w:left="5355" w:hanging="420"/>
      </w:pPr>
    </w:lvl>
  </w:abstractNum>
  <w:abstractNum w:abstractNumId="1" w15:restartNumberingAfterBreak="0">
    <w:nsid w:val="59099E56"/>
    <w:multiLevelType w:val="singleLevel"/>
    <w:tmpl w:val="59099E56"/>
    <w:lvl w:ilvl="0">
      <w:start w:val="1"/>
      <w:numFmt w:val="decimal"/>
      <w:suff w:val="nothing"/>
      <w:lvlText w:val="%1．"/>
      <w:lvlJc w:val="left"/>
      <w:pPr>
        <w:ind w:left="0" w:firstLine="400"/>
      </w:pPr>
      <w:rPr>
        <w:rFonts w:hint="default"/>
      </w:rPr>
    </w:lvl>
  </w:abstractNum>
  <w:abstractNum w:abstractNumId="2" w15:restartNumberingAfterBreak="0">
    <w:nsid w:val="59099E81"/>
    <w:multiLevelType w:val="singleLevel"/>
    <w:tmpl w:val="59099E81"/>
    <w:lvl w:ilvl="0">
      <w:start w:val="1"/>
      <w:numFmt w:val="decimal"/>
      <w:suff w:val="nothing"/>
      <w:lvlText w:val="%1．"/>
      <w:lvlJc w:val="left"/>
      <w:pPr>
        <w:ind w:left="0" w:firstLine="400"/>
      </w:pPr>
      <w:rPr>
        <w:rFonts w:hint="default"/>
      </w:rPr>
    </w:lvl>
  </w:abstractNum>
  <w:abstractNum w:abstractNumId="3" w15:restartNumberingAfterBreak="0">
    <w:nsid w:val="59099E95"/>
    <w:multiLevelType w:val="singleLevel"/>
    <w:tmpl w:val="59099E95"/>
    <w:lvl w:ilvl="0">
      <w:start w:val="1"/>
      <w:numFmt w:val="decimal"/>
      <w:suff w:val="nothing"/>
      <w:lvlText w:val="%1．"/>
      <w:lvlJc w:val="left"/>
      <w:pPr>
        <w:ind w:left="0" w:firstLine="400"/>
      </w:pPr>
      <w:rPr>
        <w:rFonts w:hint="default"/>
      </w:rPr>
    </w:lvl>
  </w:abstractNum>
  <w:abstractNum w:abstractNumId="4" w15:restartNumberingAfterBreak="0">
    <w:nsid w:val="59099F23"/>
    <w:multiLevelType w:val="singleLevel"/>
    <w:tmpl w:val="59099F23"/>
    <w:lvl w:ilvl="0">
      <w:start w:val="1"/>
      <w:numFmt w:val="decimal"/>
      <w:suff w:val="nothing"/>
      <w:lvlText w:val="%1．"/>
      <w:lvlJc w:val="left"/>
      <w:pPr>
        <w:ind w:left="0" w:firstLine="400"/>
      </w:pPr>
      <w:rPr>
        <w:rFonts w:hint="default"/>
      </w:rPr>
    </w:lvl>
  </w:abstractNum>
  <w:abstractNum w:abstractNumId="5" w15:restartNumberingAfterBreak="0">
    <w:nsid w:val="5909A997"/>
    <w:multiLevelType w:val="singleLevel"/>
    <w:tmpl w:val="5909A997"/>
    <w:lvl w:ilvl="0">
      <w:start w:val="1"/>
      <w:numFmt w:val="decimal"/>
      <w:suff w:val="nothing"/>
      <w:lvlText w:val="（%1）"/>
      <w:lvlJc w:val="left"/>
      <w:pPr>
        <w:ind w:left="0" w:firstLine="420"/>
      </w:pPr>
      <w:rPr>
        <w:rFonts w:hint="default"/>
      </w:rPr>
    </w:lvl>
  </w:abstractNum>
  <w:num w:numId="1" w16cid:durableId="625936774">
    <w:abstractNumId w:val="1"/>
  </w:num>
  <w:num w:numId="2" w16cid:durableId="407387837">
    <w:abstractNumId w:val="2"/>
  </w:num>
  <w:num w:numId="3" w16cid:durableId="697773916">
    <w:abstractNumId w:val="3"/>
  </w:num>
  <w:num w:numId="4" w16cid:durableId="1669214193">
    <w:abstractNumId w:val="0"/>
  </w:num>
  <w:num w:numId="5" w16cid:durableId="818379193">
    <w:abstractNumId w:val="5"/>
  </w:num>
  <w:num w:numId="6" w16cid:durableId="5696539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xYmQ5NTkyNTVhNjFlNmY5ZjQ5MzkzNTg5ODc3OTAifQ=="/>
  </w:docVars>
  <w:rsids>
    <w:rsidRoot w:val="00764C56"/>
    <w:rsid w:val="00082897"/>
    <w:rsid w:val="000A4AF5"/>
    <w:rsid w:val="001451E3"/>
    <w:rsid w:val="00233FFE"/>
    <w:rsid w:val="00236616"/>
    <w:rsid w:val="0025235E"/>
    <w:rsid w:val="00276B69"/>
    <w:rsid w:val="002F659B"/>
    <w:rsid w:val="004B74FC"/>
    <w:rsid w:val="0061208D"/>
    <w:rsid w:val="00684FC2"/>
    <w:rsid w:val="006C60F2"/>
    <w:rsid w:val="006F16CE"/>
    <w:rsid w:val="007008DC"/>
    <w:rsid w:val="0073392D"/>
    <w:rsid w:val="00764C56"/>
    <w:rsid w:val="007A5694"/>
    <w:rsid w:val="008677AB"/>
    <w:rsid w:val="008A390C"/>
    <w:rsid w:val="008A5CCA"/>
    <w:rsid w:val="00A04673"/>
    <w:rsid w:val="00B153D9"/>
    <w:rsid w:val="00B836D6"/>
    <w:rsid w:val="00BB0172"/>
    <w:rsid w:val="00C1646C"/>
    <w:rsid w:val="00DC40C7"/>
    <w:rsid w:val="00E034D3"/>
    <w:rsid w:val="00E642A3"/>
    <w:rsid w:val="00F619B7"/>
    <w:rsid w:val="00FA278F"/>
    <w:rsid w:val="01EC6A10"/>
    <w:rsid w:val="2C5B6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532B8"/>
  <w14:defaultImageDpi w14:val="32767"/>
  <w15:docId w15:val="{D2468573-564C-3B4D-8ED8-BB99D518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qFormat/>
    <w:rPr>
      <w:color w:val="0563C1" w:themeColor="hyperlink"/>
      <w:u w:val="single"/>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 w:type="paragraph" w:customStyle="1" w:styleId="1">
    <w:name w:val="列出段落1"/>
    <w:basedOn w:val="a"/>
    <w:uiPriority w:val="34"/>
    <w:qFormat/>
    <w:pPr>
      <w:ind w:firstLineChars="200" w:firstLine="420"/>
    </w:pPr>
  </w:style>
  <w:style w:type="character" w:styleId="a8">
    <w:name w:val="Unresolved Mention"/>
    <w:basedOn w:val="a0"/>
    <w:uiPriority w:val="99"/>
    <w:semiHidden/>
    <w:unhideWhenUsed/>
    <w:rsid w:val="00733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rtlawyer.com.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畅 刘</cp:lastModifiedBy>
  <cp:revision>3</cp:revision>
  <dcterms:created xsi:type="dcterms:W3CDTF">2023-03-01T05:19:00Z</dcterms:created>
  <dcterms:modified xsi:type="dcterms:W3CDTF">2023-03-01T05:22:00Z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B7AC2FE1C4AC47D69BC037C98B62B27E</vt:lpwstr>
  </property>
</Properties>
</file>