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jc w:val="center"/>
        <w:rPr>
          <w:rFonts w:ascii="仿宋" w:hAnsi="仿宋" w:eastAsia="仿宋" w:cs="仿宋"/>
          <w:b/>
          <w:bCs/>
          <w:sz w:val="44"/>
          <w:szCs w:val="44"/>
        </w:rPr>
      </w:pPr>
      <w:r>
        <w:rPr>
          <w:rFonts w:hint="eastAsia" w:ascii="仿宋" w:hAnsi="仿宋" w:eastAsia="仿宋" w:cs="仿宋"/>
          <w:b/>
          <w:bCs/>
          <w:sz w:val="44"/>
          <w:szCs w:val="44"/>
        </w:rPr>
        <w:t>资阳鑫源房地产开发有限公司管理人关于选任税务中介机构的比选公告</w:t>
      </w:r>
    </w:p>
    <w:p>
      <w:pPr>
        <w:spacing w:line="600" w:lineRule="exact"/>
        <w:ind w:firstLine="600" w:firstLineChars="200"/>
        <w:rPr>
          <w:rFonts w:ascii="仿宋" w:hAnsi="仿宋" w:eastAsia="仿宋"/>
          <w:sz w:val="30"/>
          <w:szCs w:val="30"/>
          <w:lang w:bidi="zh-TW"/>
        </w:rPr>
      </w:pPr>
      <w:r>
        <w:rPr>
          <w:rFonts w:ascii="仿宋" w:hAnsi="仿宋" w:eastAsia="仿宋"/>
          <w:sz w:val="30"/>
          <w:szCs w:val="30"/>
        </w:rPr>
        <w:t>2022年6月13日，吴定成、刘玉珍以资阳鑫源房地产开发有限公司</w:t>
      </w:r>
      <w:r>
        <w:rPr>
          <w:rFonts w:hint="eastAsia" w:ascii="仿宋" w:hAnsi="仿宋" w:eastAsia="仿宋"/>
          <w:sz w:val="30"/>
          <w:szCs w:val="30"/>
        </w:rPr>
        <w:t>（以下简称“鑫源房开公司”）</w:t>
      </w:r>
      <w:r>
        <w:rPr>
          <w:rFonts w:ascii="仿宋" w:hAnsi="仿宋" w:eastAsia="仿宋"/>
          <w:sz w:val="30"/>
          <w:szCs w:val="30"/>
        </w:rPr>
        <w:t>不能清偿债权，具备破产原因，但尚有存量土地可开发，具备重整价值和重整可行性为由向四川省资阳市雁江区人民法院申请对鑫源房开公司进行重整。</w:t>
      </w:r>
      <w:r>
        <w:rPr>
          <w:rFonts w:hint="eastAsia" w:ascii="仿宋" w:hAnsi="仿宋" w:eastAsia="仿宋"/>
          <w:sz w:val="30"/>
          <w:szCs w:val="30"/>
        </w:rPr>
        <w:t>资阳市中级人民法</w:t>
      </w:r>
      <w:r>
        <w:rPr>
          <w:rFonts w:ascii="仿宋" w:hAnsi="仿宋" w:eastAsia="仿宋"/>
          <w:sz w:val="30"/>
          <w:szCs w:val="30"/>
        </w:rPr>
        <w:t>院于2022年6月14日作出(2022) 川20民辖5号民事裁定,裁定</w:t>
      </w:r>
      <w:r>
        <w:rPr>
          <w:rFonts w:hint="eastAsia" w:ascii="仿宋" w:hAnsi="仿宋" w:eastAsia="仿宋"/>
          <w:sz w:val="30"/>
          <w:szCs w:val="30"/>
        </w:rPr>
        <w:t>该</w:t>
      </w:r>
      <w:r>
        <w:rPr>
          <w:rFonts w:ascii="仿宋" w:hAnsi="仿宋" w:eastAsia="仿宋"/>
          <w:sz w:val="30"/>
          <w:szCs w:val="30"/>
        </w:rPr>
        <w:t>案由</w:t>
      </w:r>
      <w:r>
        <w:rPr>
          <w:rFonts w:hint="eastAsia" w:ascii="仿宋" w:hAnsi="仿宋" w:eastAsia="仿宋"/>
          <w:sz w:val="30"/>
          <w:szCs w:val="30"/>
        </w:rPr>
        <w:t>资阳市中级人民法院</w:t>
      </w:r>
      <w:r>
        <w:rPr>
          <w:rFonts w:ascii="仿宋" w:hAnsi="仿宋" w:eastAsia="仿宋"/>
          <w:sz w:val="30"/>
          <w:szCs w:val="30"/>
        </w:rPr>
        <w:t>审理。</w:t>
      </w:r>
      <w:r>
        <w:rPr>
          <w:rFonts w:hint="eastAsia" w:ascii="仿宋" w:hAnsi="仿宋" w:eastAsia="仿宋"/>
          <w:sz w:val="30"/>
          <w:szCs w:val="30"/>
        </w:rPr>
        <w:t>2</w:t>
      </w:r>
      <w:r>
        <w:rPr>
          <w:rFonts w:ascii="仿宋" w:hAnsi="仿宋" w:eastAsia="仿宋"/>
          <w:sz w:val="30"/>
          <w:szCs w:val="30"/>
        </w:rPr>
        <w:t>022</w:t>
      </w:r>
      <w:r>
        <w:rPr>
          <w:rFonts w:hint="eastAsia" w:ascii="仿宋" w:hAnsi="仿宋" w:eastAsia="仿宋"/>
          <w:sz w:val="30"/>
          <w:szCs w:val="30"/>
        </w:rPr>
        <w:t>年7月2</w:t>
      </w:r>
      <w:r>
        <w:rPr>
          <w:rFonts w:ascii="仿宋" w:hAnsi="仿宋" w:eastAsia="仿宋"/>
          <w:sz w:val="30"/>
          <w:szCs w:val="30"/>
        </w:rPr>
        <w:t>2</w:t>
      </w:r>
      <w:r>
        <w:rPr>
          <w:rFonts w:hint="eastAsia" w:ascii="仿宋" w:hAnsi="仿宋" w:eastAsia="仿宋"/>
          <w:sz w:val="30"/>
          <w:szCs w:val="30"/>
        </w:rPr>
        <w:t>日，资阳中级人民法院作出（2</w:t>
      </w:r>
      <w:r>
        <w:rPr>
          <w:rFonts w:ascii="仿宋" w:hAnsi="仿宋" w:eastAsia="仿宋"/>
          <w:sz w:val="30"/>
          <w:szCs w:val="30"/>
        </w:rPr>
        <w:t>022</w:t>
      </w:r>
      <w:r>
        <w:rPr>
          <w:rFonts w:hint="eastAsia" w:ascii="仿宋" w:hAnsi="仿宋" w:eastAsia="仿宋"/>
          <w:sz w:val="30"/>
          <w:szCs w:val="30"/>
        </w:rPr>
        <w:t>）川2</w:t>
      </w:r>
      <w:r>
        <w:rPr>
          <w:rFonts w:ascii="仿宋" w:hAnsi="仿宋" w:eastAsia="仿宋"/>
          <w:sz w:val="30"/>
          <w:szCs w:val="30"/>
        </w:rPr>
        <w:t>0</w:t>
      </w:r>
      <w:r>
        <w:rPr>
          <w:rFonts w:hint="eastAsia" w:ascii="仿宋" w:hAnsi="仿宋" w:eastAsia="仿宋"/>
          <w:sz w:val="30"/>
          <w:szCs w:val="30"/>
        </w:rPr>
        <w:t>破2号民事裁定书，裁定受理</w:t>
      </w:r>
      <w:r>
        <w:rPr>
          <w:rFonts w:ascii="仿宋" w:hAnsi="仿宋" w:eastAsia="仿宋"/>
          <w:sz w:val="30"/>
          <w:szCs w:val="30"/>
        </w:rPr>
        <w:t>鑫源房开公司</w:t>
      </w:r>
      <w:r>
        <w:rPr>
          <w:rFonts w:hint="eastAsia" w:ascii="仿宋" w:hAnsi="仿宋" w:eastAsia="仿宋"/>
          <w:sz w:val="30"/>
          <w:szCs w:val="30"/>
        </w:rPr>
        <w:t>的重整申请，并于同日作出（2</w:t>
      </w:r>
      <w:r>
        <w:rPr>
          <w:rFonts w:ascii="仿宋" w:hAnsi="仿宋" w:eastAsia="仿宋"/>
          <w:sz w:val="30"/>
          <w:szCs w:val="30"/>
        </w:rPr>
        <w:t>022</w:t>
      </w:r>
      <w:r>
        <w:rPr>
          <w:rFonts w:hint="eastAsia" w:ascii="仿宋" w:hAnsi="仿宋" w:eastAsia="仿宋"/>
          <w:sz w:val="30"/>
          <w:szCs w:val="30"/>
        </w:rPr>
        <w:t>）川2</w:t>
      </w:r>
      <w:r>
        <w:rPr>
          <w:rFonts w:ascii="仿宋" w:hAnsi="仿宋" w:eastAsia="仿宋"/>
          <w:sz w:val="30"/>
          <w:szCs w:val="30"/>
        </w:rPr>
        <w:t>0</w:t>
      </w:r>
      <w:r>
        <w:rPr>
          <w:rFonts w:hint="eastAsia" w:ascii="仿宋" w:hAnsi="仿宋" w:eastAsia="仿宋"/>
          <w:sz w:val="30"/>
          <w:szCs w:val="30"/>
        </w:rPr>
        <w:t>破2号决定书，指定四川旭兴（资阳）律师事务所担任鑫源房开公司管理人（以下简称“管理人”），何清旭为负责人</w:t>
      </w:r>
      <w:r>
        <w:rPr>
          <w:rFonts w:hint="eastAsia" w:ascii="仿宋" w:hAnsi="仿宋" w:eastAsia="仿宋"/>
          <w:sz w:val="30"/>
          <w:szCs w:val="30"/>
          <w:lang w:bidi="zh-TW"/>
        </w:rPr>
        <w:t>开展本案破产</w:t>
      </w:r>
      <w:r>
        <w:rPr>
          <w:rFonts w:hint="eastAsia" w:ascii="仿宋" w:hAnsi="仿宋" w:eastAsia="仿宋"/>
          <w:sz w:val="30"/>
          <w:szCs w:val="30"/>
        </w:rPr>
        <w:t>重整</w:t>
      </w:r>
      <w:r>
        <w:rPr>
          <w:rFonts w:hint="eastAsia" w:ascii="仿宋" w:hAnsi="仿宋" w:eastAsia="仿宋"/>
          <w:sz w:val="30"/>
          <w:szCs w:val="30"/>
          <w:lang w:bidi="zh-TW"/>
        </w:rPr>
        <w:t>工作。</w:t>
      </w:r>
    </w:p>
    <w:p>
      <w:pPr>
        <w:spacing w:line="600" w:lineRule="exact"/>
        <w:ind w:firstLine="600" w:firstLineChars="200"/>
        <w:rPr>
          <w:rFonts w:ascii="仿宋" w:hAnsi="仿宋" w:eastAsia="仿宋"/>
          <w:sz w:val="30"/>
          <w:szCs w:val="30"/>
          <w:lang w:eastAsia="zh-TW"/>
        </w:rPr>
      </w:pPr>
      <w:r>
        <w:rPr>
          <w:rFonts w:hint="eastAsia" w:ascii="仿宋" w:hAnsi="仿宋" w:eastAsia="仿宋"/>
          <w:sz w:val="30"/>
          <w:szCs w:val="30"/>
          <w:lang w:eastAsia="zh-TW"/>
        </w:rPr>
        <w:t>鉴于鑫源房开公司涉税事项较多、问题复杂，为保障企业破产重整程序顺利进行，管理人拟聘请税务专业中介机构就债务人税务事项展开自查，依照法律、性质法规规定审核税务局债权、完成税务申报附诸的税务核算和测算、如实办理涉税事项、进行税务风险把控、提供全方面的税务咨询等专业服务</w:t>
      </w:r>
      <w:r>
        <w:rPr>
          <w:rFonts w:ascii="仿宋" w:hAnsi="仿宋" w:eastAsia="仿宋"/>
          <w:sz w:val="30"/>
          <w:szCs w:val="30"/>
          <w:lang w:eastAsia="zh-TW"/>
        </w:rPr>
        <w:t>，</w:t>
      </w:r>
      <w:r>
        <w:rPr>
          <w:rFonts w:hint="eastAsia" w:ascii="仿宋" w:hAnsi="仿宋" w:eastAsia="仿宋"/>
          <w:sz w:val="30"/>
          <w:szCs w:val="30"/>
          <w:lang w:eastAsia="zh-TW"/>
        </w:rPr>
        <w:t>故管理人拟发本公告。</w:t>
      </w:r>
    </w:p>
    <w:p>
      <w:pPr>
        <w:spacing w:line="600" w:lineRule="exact"/>
        <w:ind w:firstLine="602" w:firstLineChars="200"/>
        <w:rPr>
          <w:rFonts w:ascii="仿宋" w:hAnsi="仿宋" w:eastAsia="仿宋"/>
          <w:b/>
          <w:bCs/>
          <w:sz w:val="30"/>
          <w:szCs w:val="30"/>
          <w:lang w:eastAsia="zh-TW" w:bidi="zh-TW"/>
        </w:rPr>
      </w:pPr>
      <w:r>
        <w:rPr>
          <w:rFonts w:hint="eastAsia" w:ascii="仿宋" w:hAnsi="仿宋" w:eastAsia="仿宋"/>
          <w:b/>
          <w:bCs/>
          <w:sz w:val="30"/>
          <w:szCs w:val="30"/>
          <w:lang w:eastAsia="zh-TW"/>
        </w:rPr>
        <w:t>一</w:t>
      </w:r>
      <w:r>
        <w:rPr>
          <w:rFonts w:ascii="仿宋" w:hAnsi="仿宋" w:eastAsia="仿宋"/>
          <w:b/>
          <w:bCs/>
          <w:sz w:val="30"/>
          <w:szCs w:val="30"/>
          <w:lang w:eastAsia="zh-TW" w:bidi="zh-TW"/>
        </w:rPr>
        <w:t>、</w:t>
      </w:r>
      <w:r>
        <w:rPr>
          <w:rFonts w:hint="eastAsia" w:ascii="仿宋" w:hAnsi="仿宋" w:eastAsia="仿宋"/>
          <w:b/>
          <w:bCs/>
          <w:sz w:val="30"/>
          <w:szCs w:val="30"/>
          <w:lang w:eastAsia="zh-TW" w:bidi="zh-TW"/>
        </w:rPr>
        <w:t>企业基本情况</w:t>
      </w:r>
    </w:p>
    <w:p>
      <w:pPr>
        <w:spacing w:line="600" w:lineRule="exact"/>
        <w:ind w:firstLine="600" w:firstLineChars="200"/>
        <w:rPr>
          <w:rFonts w:ascii="仿宋" w:hAnsi="仿宋" w:eastAsia="仿宋"/>
          <w:sz w:val="30"/>
          <w:szCs w:val="30"/>
          <w:lang w:eastAsia="zh-TW" w:bidi="zh-TW"/>
        </w:rPr>
      </w:pPr>
      <w:r>
        <w:rPr>
          <w:rFonts w:hint="eastAsia" w:ascii="仿宋" w:hAnsi="仿宋" w:eastAsia="仿宋"/>
          <w:sz w:val="30"/>
          <w:szCs w:val="30"/>
          <w:lang w:eastAsia="zh-TW" w:bidi="zh-TW"/>
        </w:rPr>
        <w:t>（</w:t>
      </w:r>
      <w:r>
        <w:rPr>
          <w:rFonts w:hint="eastAsia" w:ascii="仿宋" w:hAnsi="仿宋" w:eastAsia="仿宋"/>
          <w:sz w:val="30"/>
          <w:szCs w:val="30"/>
          <w:lang w:eastAsia="zh-TW"/>
        </w:rPr>
        <w:t>一</w:t>
      </w:r>
      <w:r>
        <w:rPr>
          <w:rFonts w:hint="eastAsia" w:ascii="仿宋" w:hAnsi="仿宋" w:eastAsia="仿宋"/>
          <w:sz w:val="30"/>
          <w:szCs w:val="30"/>
          <w:lang w:eastAsia="zh-TW" w:bidi="zh-TW"/>
        </w:rPr>
        <w:t>）</w:t>
      </w:r>
      <w:r>
        <w:rPr>
          <w:rFonts w:hint="eastAsia" w:ascii="仿宋" w:hAnsi="仿宋" w:eastAsia="仿宋"/>
          <w:sz w:val="30"/>
          <w:szCs w:val="30"/>
          <w:lang w:eastAsia="zh-TW"/>
        </w:rPr>
        <w:t>资阳鑫源房地产开发有限公司基本情况</w:t>
      </w:r>
    </w:p>
    <w:p>
      <w:pPr>
        <w:spacing w:line="600" w:lineRule="exact"/>
        <w:ind w:firstLine="600" w:firstLineChars="200"/>
        <w:rPr>
          <w:rFonts w:ascii="仿宋" w:hAnsi="仿宋" w:eastAsia="仿宋"/>
          <w:sz w:val="30"/>
          <w:szCs w:val="30"/>
          <w:lang w:eastAsia="zh-TW"/>
        </w:rPr>
      </w:pPr>
      <w:r>
        <w:rPr>
          <w:rFonts w:hint="eastAsia" w:ascii="仿宋" w:hAnsi="仿宋" w:eastAsia="仿宋"/>
          <w:sz w:val="30"/>
          <w:szCs w:val="30"/>
          <w:lang w:eastAsia="zh-TW"/>
        </w:rPr>
        <w:t>鑫源房开公司属房地产开发企业，注册资本贰仟零捌万元整，于20</w:t>
      </w:r>
      <w:r>
        <w:rPr>
          <w:rFonts w:ascii="仿宋" w:hAnsi="仿宋" w:eastAsia="仿宋"/>
          <w:sz w:val="30"/>
          <w:szCs w:val="30"/>
          <w:lang w:eastAsia="zh-TW" w:bidi="zh-TW"/>
        </w:rPr>
        <w:t>04</w:t>
      </w:r>
      <w:r>
        <w:rPr>
          <w:rFonts w:hint="eastAsia" w:ascii="仿宋" w:hAnsi="仿宋" w:eastAsia="仿宋"/>
          <w:sz w:val="30"/>
          <w:szCs w:val="30"/>
          <w:lang w:eastAsia="zh-TW"/>
        </w:rPr>
        <w:t>年</w:t>
      </w:r>
      <w:r>
        <w:rPr>
          <w:rFonts w:ascii="仿宋" w:hAnsi="仿宋" w:eastAsia="仿宋"/>
          <w:sz w:val="30"/>
          <w:szCs w:val="30"/>
          <w:lang w:eastAsia="zh-TW" w:bidi="zh-TW"/>
        </w:rPr>
        <w:t>5</w:t>
      </w:r>
      <w:r>
        <w:rPr>
          <w:rFonts w:hint="eastAsia" w:ascii="仿宋" w:hAnsi="仿宋" w:eastAsia="仿宋"/>
          <w:sz w:val="30"/>
          <w:szCs w:val="30"/>
          <w:lang w:eastAsia="zh-TW"/>
        </w:rPr>
        <w:t>月1</w:t>
      </w:r>
      <w:r>
        <w:rPr>
          <w:rFonts w:ascii="仿宋" w:hAnsi="仿宋" w:eastAsia="仿宋"/>
          <w:sz w:val="30"/>
          <w:szCs w:val="30"/>
          <w:lang w:eastAsia="zh-TW" w:bidi="zh-TW"/>
        </w:rPr>
        <w:t>3</w:t>
      </w:r>
      <w:r>
        <w:rPr>
          <w:rFonts w:hint="eastAsia" w:ascii="仿宋" w:hAnsi="仿宋" w:eastAsia="仿宋"/>
          <w:sz w:val="30"/>
          <w:szCs w:val="30"/>
          <w:lang w:eastAsia="zh-TW"/>
        </w:rPr>
        <w:t>日在资阳市雁江区市场监督管理局登记注册,统一社会信用代码为91512000762310283N,法定代表人：黄洪强，注册地址：资阳市雁江区沱桥路东福小区三区3-5(F)1-5、3-5(F)1-6。由龚春丽持股</w:t>
      </w:r>
      <w:r>
        <w:rPr>
          <w:rFonts w:ascii="仿宋" w:hAnsi="仿宋" w:eastAsia="仿宋"/>
          <w:sz w:val="30"/>
          <w:szCs w:val="30"/>
          <w:lang w:eastAsia="zh-TW" w:bidi="zh-TW"/>
        </w:rPr>
        <w:t>80%，</w:t>
      </w:r>
      <w:r>
        <w:rPr>
          <w:rFonts w:hint="eastAsia" w:ascii="仿宋" w:hAnsi="仿宋" w:eastAsia="仿宋"/>
          <w:sz w:val="30"/>
          <w:szCs w:val="30"/>
          <w:lang w:eastAsia="zh-TW"/>
        </w:rPr>
        <w:t>黄晓琴持股</w:t>
      </w:r>
      <w:r>
        <w:rPr>
          <w:rFonts w:ascii="仿宋" w:hAnsi="仿宋" w:eastAsia="仿宋"/>
          <w:sz w:val="30"/>
          <w:szCs w:val="30"/>
          <w:lang w:eastAsia="zh-TW" w:bidi="zh-TW"/>
        </w:rPr>
        <w:t>20%</w:t>
      </w:r>
      <w:r>
        <w:rPr>
          <w:rFonts w:hint="eastAsia" w:ascii="仿宋" w:hAnsi="仿宋" w:eastAsia="仿宋"/>
          <w:sz w:val="30"/>
          <w:szCs w:val="30"/>
          <w:lang w:eastAsia="zh-TW"/>
        </w:rPr>
        <w:t>。</w:t>
      </w:r>
    </w:p>
    <w:p>
      <w:pPr>
        <w:spacing w:line="600" w:lineRule="exact"/>
        <w:ind w:firstLine="600" w:firstLineChars="200"/>
        <w:rPr>
          <w:rFonts w:ascii="仿宋" w:hAnsi="仿宋" w:eastAsia="仿宋"/>
          <w:sz w:val="30"/>
          <w:szCs w:val="30"/>
          <w:lang w:eastAsia="zh-TW"/>
        </w:rPr>
      </w:pPr>
      <w:r>
        <w:rPr>
          <w:rFonts w:hint="eastAsia" w:ascii="仿宋" w:hAnsi="仿宋" w:eastAsia="仿宋"/>
          <w:sz w:val="30"/>
          <w:szCs w:val="30"/>
          <w:lang w:eastAsia="zh-TW" w:bidi="zh-TW"/>
        </w:rPr>
        <w:t>经营范围：房地产开发经营；房屋建筑工程服务；房屋拆迁服务；建材销售。（依法须经批准的项目，经相关部门批准后方可开展经营活动）。</w:t>
      </w:r>
    </w:p>
    <w:p>
      <w:pPr>
        <w:spacing w:line="600" w:lineRule="exact"/>
        <w:ind w:firstLine="600" w:firstLineChars="200"/>
        <w:rPr>
          <w:rFonts w:ascii="仿宋" w:hAnsi="仿宋" w:eastAsia="仿宋"/>
          <w:sz w:val="30"/>
          <w:szCs w:val="30"/>
          <w:lang w:eastAsia="zh-TW"/>
        </w:rPr>
      </w:pPr>
      <w:r>
        <w:rPr>
          <w:rFonts w:ascii="仿宋" w:hAnsi="仿宋" w:eastAsia="仿宋"/>
          <w:sz w:val="30"/>
          <w:szCs w:val="30"/>
          <w:lang w:eastAsia="zh-TW" w:bidi="zh-TW"/>
        </w:rPr>
        <w:t>（</w:t>
      </w:r>
      <w:r>
        <w:rPr>
          <w:rFonts w:hint="eastAsia" w:ascii="仿宋" w:hAnsi="仿宋" w:eastAsia="仿宋"/>
          <w:sz w:val="30"/>
          <w:szCs w:val="30"/>
          <w:lang w:eastAsia="zh-TW"/>
        </w:rPr>
        <w:t>二</w:t>
      </w:r>
      <w:r>
        <w:rPr>
          <w:rFonts w:ascii="仿宋" w:hAnsi="仿宋" w:eastAsia="仿宋"/>
          <w:sz w:val="30"/>
          <w:szCs w:val="30"/>
          <w:lang w:eastAsia="zh-TW" w:bidi="zh-TW"/>
        </w:rPr>
        <w:t>）</w:t>
      </w:r>
      <w:r>
        <w:rPr>
          <w:rFonts w:hint="eastAsia" w:ascii="仿宋" w:hAnsi="仿宋" w:eastAsia="仿宋"/>
          <w:sz w:val="30"/>
          <w:szCs w:val="30"/>
          <w:lang w:eastAsia="zh-TW"/>
        </w:rPr>
        <w:t>开发项目情况</w:t>
      </w:r>
    </w:p>
    <w:p>
      <w:pPr>
        <w:spacing w:line="600" w:lineRule="exact"/>
        <w:ind w:firstLine="600" w:firstLineChars="200"/>
        <w:rPr>
          <w:rFonts w:ascii="仿宋" w:hAnsi="仿宋" w:eastAsia="仿宋"/>
          <w:sz w:val="30"/>
          <w:szCs w:val="30"/>
          <w:lang w:eastAsia="zh-TW"/>
        </w:rPr>
      </w:pPr>
      <w:r>
        <w:rPr>
          <w:rFonts w:hint="eastAsia" w:ascii="仿宋" w:hAnsi="仿宋" w:eastAsia="仿宋"/>
          <w:sz w:val="30"/>
          <w:szCs w:val="30"/>
          <w:lang w:eastAsia="zh-TW"/>
        </w:rPr>
        <w:t>2005年2月3日，市政府批准同意市国土局关于东福小区地块国有土地使用权拍卖出让方案。2005年2月25日，在该地块公开出让中，资阳市东福房地产开发有限公司（即“鑫源房开公司”前身）以起拍价16,022万元成功竞得该地块土地使用权，并于2005年4月11日签订《国有土地使用权成交确认书》。</w:t>
      </w:r>
    </w:p>
    <w:p>
      <w:pPr>
        <w:spacing w:line="600" w:lineRule="exact"/>
        <w:ind w:firstLine="600" w:firstLineChars="200"/>
        <w:rPr>
          <w:rFonts w:ascii="仿宋" w:hAnsi="仿宋" w:eastAsia="PMingLiU"/>
          <w:sz w:val="30"/>
          <w:szCs w:val="30"/>
          <w:lang w:eastAsia="zh-TW"/>
        </w:rPr>
      </w:pPr>
      <w:r>
        <w:rPr>
          <w:rFonts w:hint="eastAsia" w:ascii="仿宋" w:hAnsi="仿宋" w:eastAsia="仿宋"/>
          <w:sz w:val="30"/>
          <w:szCs w:val="30"/>
          <w:lang w:eastAsia="zh-TW"/>
        </w:rPr>
        <w:t>东福小区地块位于资阳老城东区，沱一桥西桥头，规划总面积</w:t>
      </w:r>
      <w:r>
        <w:rPr>
          <w:rFonts w:hint="eastAsia" w:ascii="仿宋" w:hAnsi="仿宋" w:eastAsia="仿宋"/>
          <w:sz w:val="30"/>
          <w:szCs w:val="30"/>
          <w:lang w:val="en-US" w:eastAsia="zh-Hans"/>
        </w:rPr>
        <w:t>约</w:t>
      </w:r>
      <w:r>
        <w:rPr>
          <w:rFonts w:hint="eastAsia" w:ascii="仿宋" w:hAnsi="仿宋" w:eastAsia="仿宋"/>
          <w:sz w:val="30"/>
          <w:szCs w:val="30"/>
          <w:lang w:eastAsia="zh-TW"/>
        </w:rPr>
        <w:t>422亩，净用地面积</w:t>
      </w:r>
      <w:r>
        <w:rPr>
          <w:rFonts w:hint="eastAsia" w:ascii="仿宋" w:hAnsi="仿宋" w:eastAsia="仿宋"/>
          <w:sz w:val="30"/>
          <w:szCs w:val="30"/>
          <w:lang w:val="en-US" w:eastAsia="zh-Hans"/>
        </w:rPr>
        <w:t>约</w:t>
      </w:r>
      <w:r>
        <w:rPr>
          <w:rFonts w:hint="eastAsia" w:ascii="仿宋" w:hAnsi="仿宋" w:eastAsia="仿宋"/>
          <w:sz w:val="30"/>
          <w:szCs w:val="30"/>
          <w:lang w:eastAsia="zh-TW"/>
        </w:rPr>
        <w:t>292.51亩，规划容积率为≤1.9，经过三次调整，目前容积率为≤5.12，规划总建筑面积约121.22万㎡(含地下车位21.46万㎡)，其中：安置房约28.5万㎡、商品房</w:t>
      </w:r>
      <w:r>
        <w:rPr>
          <w:rFonts w:hint="eastAsia" w:ascii="仿宋" w:hAnsi="仿宋" w:eastAsia="仿宋"/>
          <w:sz w:val="30"/>
          <w:szCs w:val="30"/>
          <w:lang w:val="en-US" w:eastAsia="zh-Hans"/>
        </w:rPr>
        <w:t>约</w:t>
      </w:r>
      <w:r>
        <w:rPr>
          <w:rFonts w:hint="eastAsia" w:ascii="仿宋" w:hAnsi="仿宋" w:eastAsia="仿宋"/>
          <w:sz w:val="30"/>
          <w:szCs w:val="30"/>
          <w:lang w:eastAsia="zh-TW"/>
        </w:rPr>
        <w:t>62.2万㎡、幼儿园配套设施等</w:t>
      </w:r>
      <w:r>
        <w:rPr>
          <w:rFonts w:hint="eastAsia" w:ascii="仿宋" w:hAnsi="仿宋" w:eastAsia="仿宋"/>
          <w:sz w:val="30"/>
          <w:szCs w:val="30"/>
          <w:lang w:val="en-US" w:eastAsia="zh-Hans"/>
        </w:rPr>
        <w:t>约</w:t>
      </w:r>
      <w:r>
        <w:rPr>
          <w:rFonts w:hint="eastAsia" w:ascii="仿宋" w:hAnsi="仿宋" w:eastAsia="仿宋"/>
          <w:sz w:val="30"/>
          <w:szCs w:val="30"/>
          <w:lang w:eastAsia="zh-TW"/>
        </w:rPr>
        <w:t>9.06万㎡。</w:t>
      </w:r>
    </w:p>
    <w:p>
      <w:pPr>
        <w:spacing w:line="600" w:lineRule="exact"/>
        <w:ind w:firstLine="602" w:firstLineChars="200"/>
        <w:rPr>
          <w:rFonts w:ascii="仿宋" w:hAnsi="仿宋" w:eastAsia="仿宋"/>
          <w:b/>
          <w:bCs/>
          <w:sz w:val="30"/>
          <w:szCs w:val="30"/>
          <w:lang w:eastAsia="zh-TW"/>
        </w:rPr>
      </w:pPr>
      <w:r>
        <w:rPr>
          <w:rFonts w:hint="eastAsia" w:ascii="仿宋" w:hAnsi="仿宋" w:eastAsia="仿宋"/>
          <w:b/>
          <w:bCs/>
          <w:sz w:val="30"/>
          <w:szCs w:val="30"/>
          <w:lang w:eastAsia="zh-TW"/>
        </w:rPr>
        <w:t>二、项目基本情况</w:t>
      </w:r>
    </w:p>
    <w:p>
      <w:pPr>
        <w:spacing w:line="600" w:lineRule="exact"/>
        <w:ind w:firstLine="600" w:firstLineChars="200"/>
        <w:rPr>
          <w:rFonts w:ascii="仿宋" w:hAnsi="仿宋" w:eastAsia="仿宋"/>
          <w:sz w:val="30"/>
          <w:szCs w:val="30"/>
        </w:rPr>
      </w:pPr>
      <w:r>
        <w:rPr>
          <w:rFonts w:hint="eastAsia" w:ascii="仿宋" w:hAnsi="仿宋" w:eastAsia="仿宋"/>
          <w:sz w:val="30"/>
          <w:szCs w:val="30"/>
        </w:rPr>
        <w:t>1、项目名称：</w:t>
      </w:r>
      <w:r>
        <w:rPr>
          <w:rFonts w:hint="eastAsia" w:ascii="仿宋" w:hAnsi="仿宋" w:eastAsia="仿宋"/>
          <w:sz w:val="30"/>
          <w:szCs w:val="30"/>
          <w:lang w:eastAsia="zh-TW"/>
        </w:rPr>
        <w:t>资阳鑫源房地产开发有限公司</w:t>
      </w:r>
      <w:r>
        <w:rPr>
          <w:rFonts w:hint="eastAsia" w:ascii="仿宋" w:hAnsi="仿宋" w:eastAsia="仿宋"/>
          <w:sz w:val="30"/>
          <w:szCs w:val="30"/>
        </w:rPr>
        <w:t>税务</w:t>
      </w:r>
      <w:r>
        <w:rPr>
          <w:rFonts w:hint="eastAsia" w:ascii="仿宋" w:hAnsi="仿宋" w:eastAsia="仿宋"/>
          <w:sz w:val="30"/>
          <w:szCs w:val="30"/>
          <w:lang w:val="en-US" w:eastAsia="zh-Hans"/>
        </w:rPr>
        <w:t>服务</w:t>
      </w:r>
      <w:r>
        <w:rPr>
          <w:rFonts w:hint="eastAsia" w:ascii="仿宋" w:hAnsi="仿宋" w:eastAsia="仿宋"/>
          <w:sz w:val="30"/>
          <w:szCs w:val="30"/>
        </w:rPr>
        <w:t>机构；</w:t>
      </w:r>
    </w:p>
    <w:p>
      <w:pPr>
        <w:spacing w:line="600" w:lineRule="exact"/>
        <w:ind w:firstLine="600" w:firstLineChars="200"/>
        <w:rPr>
          <w:rFonts w:ascii="仿宋" w:hAnsi="仿宋" w:eastAsia="仿宋"/>
          <w:sz w:val="30"/>
          <w:szCs w:val="30"/>
        </w:rPr>
      </w:pPr>
      <w:r>
        <w:rPr>
          <w:rFonts w:ascii="仿宋" w:hAnsi="仿宋" w:eastAsia="仿宋"/>
          <w:sz w:val="30"/>
          <w:szCs w:val="30"/>
          <w:lang w:eastAsia="zh-TW"/>
        </w:rPr>
        <w:t>2</w:t>
      </w:r>
      <w:r>
        <w:rPr>
          <w:rFonts w:hint="eastAsia" w:ascii="仿宋" w:hAnsi="仿宋" w:eastAsia="仿宋"/>
          <w:sz w:val="30"/>
          <w:szCs w:val="30"/>
          <w:lang w:eastAsia="zh-TW"/>
        </w:rPr>
        <w:t>、</w:t>
      </w:r>
      <w:r>
        <w:rPr>
          <w:rFonts w:hint="eastAsia" w:ascii="仿宋" w:hAnsi="仿宋" w:eastAsia="仿宋"/>
          <w:sz w:val="30"/>
          <w:szCs w:val="30"/>
        </w:rPr>
        <w:t>项目地点：资阳市雁江区滨江大道一、二段附近；</w:t>
      </w:r>
    </w:p>
    <w:p>
      <w:pPr>
        <w:spacing w:line="600" w:lineRule="exact"/>
        <w:ind w:firstLine="600" w:firstLineChars="200"/>
        <w:rPr>
          <w:rFonts w:ascii="仿宋" w:hAnsi="仿宋" w:eastAsia="仿宋"/>
          <w:sz w:val="30"/>
          <w:szCs w:val="30"/>
        </w:rPr>
      </w:pPr>
      <w:r>
        <w:rPr>
          <w:rFonts w:hint="eastAsia" w:ascii="仿宋" w:hAnsi="仿宋" w:eastAsia="仿宋"/>
          <w:sz w:val="30"/>
          <w:szCs w:val="30"/>
        </w:rPr>
        <w:t>3、比选范围及要求：依据国家有关法律、法规规定，审核税务局债权、完成税务申报附诸的税务核算和测算、如实办理涉税事项、进行税务风险把控、提供全方面的税务咨询等专业服务。</w:t>
      </w:r>
    </w:p>
    <w:p>
      <w:pPr>
        <w:spacing w:line="60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根据《四川省发展和改革委员会关于四川省涉税鉴证收费的批复》（川发改价格[2013]88号），按照上述服务内容，根据项目规模，考虑工作难度、工作量等因素对单项服务收费标准进行报价，（报价单见附件3）。</w:t>
      </w:r>
    </w:p>
    <w:p>
      <w:pPr>
        <w:spacing w:line="600" w:lineRule="exact"/>
        <w:ind w:firstLine="602" w:firstLineChars="200"/>
        <w:rPr>
          <w:rFonts w:ascii="仿宋" w:hAnsi="仿宋" w:eastAsia="仿宋"/>
          <w:b/>
          <w:bCs/>
          <w:sz w:val="30"/>
          <w:szCs w:val="30"/>
        </w:rPr>
      </w:pPr>
      <w:r>
        <w:rPr>
          <w:rFonts w:hint="eastAsia" w:ascii="仿宋" w:hAnsi="仿宋" w:eastAsia="仿宋"/>
          <w:b/>
          <w:bCs/>
          <w:sz w:val="30"/>
          <w:szCs w:val="30"/>
        </w:rPr>
        <w:t>三、比选申请人的资格要求</w:t>
      </w:r>
    </w:p>
    <w:p>
      <w:pPr>
        <w:spacing w:line="600" w:lineRule="exact"/>
        <w:ind w:firstLine="602" w:firstLineChars="200"/>
        <w:rPr>
          <w:rFonts w:ascii="仿宋" w:hAnsi="仿宋" w:eastAsia="仿宋"/>
          <w:b/>
          <w:bCs/>
          <w:sz w:val="30"/>
          <w:szCs w:val="30"/>
        </w:rPr>
      </w:pPr>
      <w:r>
        <w:rPr>
          <w:rFonts w:hint="eastAsia" w:ascii="仿宋" w:hAnsi="仿宋" w:eastAsia="仿宋"/>
          <w:b/>
          <w:bCs/>
          <w:sz w:val="30"/>
          <w:szCs w:val="30"/>
        </w:rPr>
        <w:t>（一）资质要求</w:t>
      </w:r>
      <w:r>
        <w:rPr>
          <w:rFonts w:ascii="仿宋" w:hAnsi="仿宋" w:eastAsia="仿宋"/>
          <w:b/>
          <w:bCs/>
          <w:sz w:val="30"/>
          <w:szCs w:val="30"/>
        </w:rPr>
        <w:t xml:space="preserve"> </w:t>
      </w:r>
    </w:p>
    <w:p>
      <w:pPr>
        <w:spacing w:line="600" w:lineRule="exact"/>
        <w:ind w:firstLine="600" w:firstLineChars="200"/>
        <w:rPr>
          <w:rFonts w:ascii="仿宋" w:hAnsi="仿宋" w:eastAsia="仿宋"/>
          <w:sz w:val="30"/>
          <w:szCs w:val="30"/>
        </w:rPr>
      </w:pPr>
      <w:r>
        <w:rPr>
          <w:rFonts w:hint="eastAsia" w:ascii="仿宋" w:hAnsi="仿宋" w:eastAsia="仿宋"/>
          <w:sz w:val="30"/>
          <w:szCs w:val="30"/>
        </w:rPr>
        <w:t>依法登记设立，具有独立法人资格，营业执照的经营范围具备税务审核服务的企业。</w:t>
      </w:r>
    </w:p>
    <w:p>
      <w:pPr>
        <w:spacing w:line="600" w:lineRule="exact"/>
        <w:ind w:firstLine="602" w:firstLineChars="200"/>
        <w:rPr>
          <w:rFonts w:ascii="仿宋" w:hAnsi="仿宋" w:eastAsia="仿宋"/>
          <w:b/>
          <w:bCs/>
          <w:sz w:val="30"/>
          <w:szCs w:val="30"/>
        </w:rPr>
      </w:pPr>
      <w:r>
        <w:rPr>
          <w:rFonts w:hint="eastAsia" w:ascii="仿宋" w:hAnsi="仿宋" w:eastAsia="仿宋"/>
          <w:b/>
          <w:bCs/>
          <w:sz w:val="30"/>
          <w:szCs w:val="30"/>
        </w:rPr>
        <w:t>（二）其他特定要求</w:t>
      </w:r>
    </w:p>
    <w:p>
      <w:pPr>
        <w:spacing w:line="600" w:lineRule="exact"/>
        <w:ind w:firstLine="600" w:firstLineChars="200"/>
        <w:rPr>
          <w:rFonts w:ascii="仿宋" w:hAnsi="仿宋" w:eastAsia="仿宋"/>
          <w:sz w:val="30"/>
          <w:szCs w:val="30"/>
        </w:rPr>
      </w:pPr>
      <w:r>
        <w:rPr>
          <w:rFonts w:hint="eastAsia" w:ascii="仿宋" w:hAnsi="仿宋" w:eastAsia="仿宋"/>
          <w:sz w:val="30"/>
          <w:szCs w:val="30"/>
        </w:rPr>
        <w:t>本项目不接受联合体参选。</w:t>
      </w:r>
    </w:p>
    <w:p>
      <w:pPr>
        <w:spacing w:line="600" w:lineRule="exact"/>
        <w:ind w:firstLine="602" w:firstLineChars="200"/>
        <w:rPr>
          <w:rFonts w:ascii="仿宋" w:hAnsi="仿宋" w:eastAsia="仿宋"/>
          <w:b/>
          <w:bCs/>
          <w:sz w:val="30"/>
          <w:szCs w:val="30"/>
          <w:lang w:bidi="zh-TW"/>
        </w:rPr>
      </w:pPr>
      <w:r>
        <w:rPr>
          <w:rFonts w:hint="eastAsia" w:ascii="仿宋" w:hAnsi="仿宋" w:eastAsia="仿宋"/>
          <w:b/>
          <w:bCs/>
          <w:sz w:val="30"/>
          <w:szCs w:val="30"/>
          <w:lang w:bidi="zh-TW"/>
        </w:rPr>
        <w:t>四、比选文件的装订、递交</w:t>
      </w:r>
    </w:p>
    <w:p>
      <w:pPr>
        <w:spacing w:line="600" w:lineRule="exact"/>
        <w:ind w:firstLine="600" w:firstLineChars="200"/>
        <w:rPr>
          <w:rFonts w:ascii="仿宋" w:hAnsi="仿宋" w:eastAsia="仿宋"/>
          <w:sz w:val="30"/>
          <w:szCs w:val="30"/>
        </w:rPr>
      </w:pPr>
      <w:r>
        <w:rPr>
          <w:rFonts w:hint="eastAsia" w:ascii="仿宋" w:hAnsi="仿宋" w:eastAsia="仿宋"/>
          <w:sz w:val="30"/>
          <w:szCs w:val="30"/>
        </w:rPr>
        <w:t>（1）比选文件应密封并于封口处加盖公章，同时报送专项服务的解决方案的电子文档。</w:t>
      </w:r>
    </w:p>
    <w:p>
      <w:pPr>
        <w:widowControl/>
        <w:spacing w:line="520" w:lineRule="exact"/>
        <w:ind w:firstLine="600" w:firstLineChars="200"/>
        <w:jc w:val="left"/>
        <w:rPr>
          <w:rFonts w:ascii="仿宋" w:hAnsi="仿宋" w:eastAsia="仿宋"/>
          <w:sz w:val="30"/>
          <w:szCs w:val="30"/>
        </w:rPr>
      </w:pPr>
      <w:r>
        <w:rPr>
          <w:rFonts w:hint="eastAsia" w:ascii="仿宋" w:hAnsi="仿宋" w:eastAsia="仿宋"/>
          <w:sz w:val="30"/>
          <w:szCs w:val="30"/>
        </w:rPr>
        <w:t>（2）比选文件递交的截止时间为</w:t>
      </w:r>
      <w:r>
        <w:rPr>
          <w:rFonts w:ascii="仿宋" w:hAnsi="仿宋" w:eastAsia="仿宋"/>
          <w:sz w:val="30"/>
          <w:szCs w:val="30"/>
        </w:rPr>
        <w:t>2023</w:t>
      </w:r>
      <w:r>
        <w:rPr>
          <w:rFonts w:hint="eastAsia" w:ascii="仿宋" w:hAnsi="仿宋" w:eastAsia="仿宋"/>
          <w:sz w:val="30"/>
          <w:szCs w:val="30"/>
        </w:rPr>
        <w:t>年</w:t>
      </w:r>
      <w:r>
        <w:rPr>
          <w:rFonts w:ascii="仿宋" w:hAnsi="仿宋" w:eastAsia="仿宋"/>
          <w:sz w:val="30"/>
          <w:szCs w:val="30"/>
        </w:rPr>
        <w:t>4</w:t>
      </w:r>
      <w:r>
        <w:rPr>
          <w:rFonts w:hint="eastAsia" w:ascii="仿宋" w:hAnsi="仿宋" w:eastAsia="仿宋"/>
          <w:sz w:val="30"/>
          <w:szCs w:val="30"/>
        </w:rPr>
        <w:t>月</w:t>
      </w:r>
      <w:r>
        <w:rPr>
          <w:rFonts w:ascii="仿宋" w:hAnsi="仿宋" w:eastAsia="仿宋"/>
          <w:sz w:val="30"/>
          <w:szCs w:val="30"/>
        </w:rPr>
        <w:t>30</w:t>
      </w:r>
      <w:r>
        <w:rPr>
          <w:rFonts w:hint="eastAsia" w:ascii="仿宋" w:hAnsi="仿宋" w:eastAsia="仿宋"/>
          <w:sz w:val="30"/>
          <w:szCs w:val="30"/>
        </w:rPr>
        <w:t>日，地点为四川省资阳市雁江区东福三区</w:t>
      </w:r>
      <w:r>
        <w:rPr>
          <w:rFonts w:ascii="仿宋" w:hAnsi="仿宋" w:eastAsia="仿宋"/>
          <w:sz w:val="30"/>
          <w:szCs w:val="30"/>
        </w:rPr>
        <w:t>3-5(F)1-5、3-5(F)1-6（原资阳鑫源房地产开发有限公司项目部办公室）。</w:t>
      </w:r>
    </w:p>
    <w:p>
      <w:pPr>
        <w:widowControl/>
        <w:spacing w:line="520" w:lineRule="exact"/>
        <w:ind w:firstLine="600" w:firstLineChars="200"/>
        <w:jc w:val="left"/>
        <w:rPr>
          <w:rFonts w:ascii="仿宋" w:hAnsi="仿宋" w:eastAsia="仿宋"/>
          <w:sz w:val="30"/>
          <w:szCs w:val="30"/>
        </w:rPr>
      </w:pPr>
      <w:r>
        <w:rPr>
          <w:rFonts w:hint="eastAsia" w:ascii="仿宋" w:hAnsi="仿宋" w:eastAsia="仿宋"/>
          <w:sz w:val="30"/>
          <w:szCs w:val="30"/>
        </w:rPr>
        <w:t>（3）逾期送达的或者未送达指定地点的比选文件，比选人不予受理。、</w:t>
      </w:r>
    </w:p>
    <w:p>
      <w:pPr>
        <w:spacing w:line="600" w:lineRule="exact"/>
        <w:ind w:firstLine="602" w:firstLineChars="200"/>
        <w:rPr>
          <w:rFonts w:ascii="仿宋" w:hAnsi="仿宋" w:eastAsia="仿宋"/>
          <w:b/>
          <w:bCs/>
          <w:sz w:val="30"/>
          <w:szCs w:val="30"/>
          <w:lang w:bidi="zh-TW"/>
        </w:rPr>
      </w:pPr>
      <w:r>
        <w:rPr>
          <w:rFonts w:hint="eastAsia" w:ascii="仿宋" w:hAnsi="仿宋" w:eastAsia="仿宋"/>
          <w:b/>
          <w:bCs/>
          <w:sz w:val="30"/>
          <w:szCs w:val="30"/>
          <w:lang w:bidi="zh-TW"/>
        </w:rPr>
        <w:t>五、比选文件的组成</w:t>
      </w:r>
    </w:p>
    <w:p>
      <w:pPr>
        <w:spacing w:line="600" w:lineRule="exact"/>
        <w:ind w:firstLine="600" w:firstLineChars="200"/>
        <w:rPr>
          <w:rFonts w:ascii="仿宋" w:hAnsi="仿宋" w:eastAsia="仿宋"/>
          <w:sz w:val="30"/>
          <w:szCs w:val="30"/>
          <w:lang w:bidi="zh-TW"/>
        </w:rPr>
      </w:pPr>
      <w:r>
        <w:rPr>
          <w:rFonts w:ascii="仿宋" w:hAnsi="仿宋" w:eastAsia="仿宋"/>
          <w:sz w:val="30"/>
          <w:szCs w:val="30"/>
          <w:lang w:bidi="zh-TW"/>
        </w:rPr>
        <w:t>1</w:t>
      </w:r>
      <w:r>
        <w:rPr>
          <w:rFonts w:hint="eastAsia" w:ascii="仿宋" w:hAnsi="仿宋" w:eastAsia="仿宋"/>
          <w:sz w:val="30"/>
          <w:szCs w:val="30"/>
          <w:lang w:bidi="zh-TW"/>
        </w:rPr>
        <w:t>、参选机构的基本情况；</w:t>
      </w:r>
      <w:bookmarkStart w:id="0" w:name="bookmark27"/>
      <w:bookmarkEnd w:id="0"/>
    </w:p>
    <w:p>
      <w:pPr>
        <w:spacing w:line="520" w:lineRule="exact"/>
        <w:ind w:firstLine="600" w:firstLineChars="200"/>
        <w:jc w:val="left"/>
        <w:rPr>
          <w:rFonts w:ascii="仿宋" w:hAnsi="仿宋" w:eastAsia="仿宋" w:cs="仿宋"/>
          <w:sz w:val="30"/>
          <w:szCs w:val="30"/>
        </w:rPr>
      </w:pPr>
      <w:r>
        <w:rPr>
          <w:rFonts w:ascii="仿宋" w:hAnsi="仿宋" w:eastAsia="仿宋"/>
          <w:sz w:val="30"/>
          <w:szCs w:val="30"/>
          <w:lang w:bidi="zh-TW"/>
        </w:rPr>
        <w:t>2</w:t>
      </w:r>
      <w:r>
        <w:rPr>
          <w:rFonts w:hint="eastAsia" w:ascii="仿宋" w:hAnsi="仿宋" w:eastAsia="仿宋"/>
          <w:sz w:val="30"/>
          <w:szCs w:val="30"/>
          <w:lang w:bidi="zh-TW"/>
        </w:rPr>
        <w:t>、</w:t>
      </w:r>
      <w:r>
        <w:rPr>
          <w:rFonts w:hint="eastAsia" w:ascii="仿宋" w:hAnsi="仿宋" w:eastAsia="仿宋" w:cs="仿宋"/>
          <w:sz w:val="30"/>
          <w:szCs w:val="30"/>
        </w:rPr>
        <w:t>公司营业执照（三证合一），非三证合一企业需同时提供组织机构代码证、税务登记证；</w:t>
      </w:r>
    </w:p>
    <w:p>
      <w:pPr>
        <w:spacing w:line="52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3、税务师事务所执业证；</w:t>
      </w:r>
    </w:p>
    <w:p>
      <w:pPr>
        <w:spacing w:line="52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4、类似业绩一览表；</w:t>
      </w:r>
    </w:p>
    <w:p>
      <w:pPr>
        <w:spacing w:line="52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5、法定代表人（负责人）授权委托书；</w:t>
      </w:r>
    </w:p>
    <w:p>
      <w:pPr>
        <w:spacing w:line="52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6、对本项目的理解及中选后的工作方案；</w:t>
      </w:r>
    </w:p>
    <w:p>
      <w:pPr>
        <w:spacing w:line="520" w:lineRule="exact"/>
        <w:ind w:firstLine="600" w:firstLineChars="200"/>
        <w:jc w:val="left"/>
        <w:rPr>
          <w:rFonts w:ascii="仿宋" w:hAnsi="仿宋" w:eastAsia="仿宋" w:cs="仿宋"/>
          <w:sz w:val="30"/>
          <w:szCs w:val="30"/>
        </w:rPr>
      </w:pPr>
      <w:r>
        <w:rPr>
          <w:rFonts w:hint="eastAsia" w:ascii="仿宋" w:hAnsi="仿宋" w:eastAsia="仿宋" w:cs="仿宋"/>
          <w:sz w:val="30"/>
          <w:szCs w:val="30"/>
        </w:rPr>
        <w:t>7、对本专项服务的总报价及单项服务收费报价（附件3）；</w:t>
      </w:r>
    </w:p>
    <w:p>
      <w:pPr>
        <w:spacing w:line="600" w:lineRule="exact"/>
        <w:ind w:firstLine="600" w:firstLineChars="200"/>
        <w:rPr>
          <w:rFonts w:ascii="仿宋" w:hAnsi="仿宋" w:eastAsia="仿宋"/>
          <w:sz w:val="30"/>
          <w:szCs w:val="30"/>
          <w:lang w:bidi="zh-TW"/>
        </w:rPr>
      </w:pPr>
      <w:r>
        <w:rPr>
          <w:rFonts w:ascii="仿宋" w:hAnsi="仿宋" w:eastAsia="仿宋"/>
          <w:sz w:val="30"/>
          <w:szCs w:val="30"/>
          <w:lang w:bidi="zh-TW"/>
        </w:rPr>
        <w:t>8</w:t>
      </w:r>
      <w:r>
        <w:rPr>
          <w:rFonts w:hint="eastAsia" w:ascii="仿宋" w:hAnsi="仿宋" w:eastAsia="仿宋"/>
          <w:sz w:val="30"/>
          <w:szCs w:val="30"/>
          <w:lang w:bidi="zh-TW"/>
        </w:rPr>
        <w:t>、拟从事本项目的团队负责人、现场负责人及团队成员的资质等。</w:t>
      </w:r>
    </w:p>
    <w:p>
      <w:pPr>
        <w:spacing w:line="600" w:lineRule="exact"/>
        <w:ind w:firstLine="602" w:firstLineChars="200"/>
        <w:rPr>
          <w:rFonts w:ascii="仿宋" w:hAnsi="仿宋" w:eastAsia="仿宋"/>
          <w:b/>
          <w:bCs/>
          <w:sz w:val="30"/>
          <w:szCs w:val="30"/>
          <w:lang w:bidi="zh-TW"/>
        </w:rPr>
      </w:pPr>
      <w:r>
        <w:rPr>
          <w:rFonts w:hint="eastAsia" w:ascii="仿宋" w:hAnsi="仿宋" w:eastAsia="仿宋"/>
          <w:b/>
          <w:bCs/>
          <w:sz w:val="30"/>
          <w:szCs w:val="30"/>
          <w:lang w:bidi="zh-TW"/>
        </w:rPr>
        <w:t>五、报价原则</w:t>
      </w:r>
    </w:p>
    <w:p>
      <w:pPr>
        <w:spacing w:line="600" w:lineRule="exact"/>
        <w:ind w:firstLine="600" w:firstLineChars="200"/>
        <w:rPr>
          <w:rFonts w:ascii="仿宋" w:hAnsi="仿宋" w:eastAsia="仿宋"/>
          <w:sz w:val="30"/>
          <w:szCs w:val="30"/>
          <w:lang w:bidi="zh-TW"/>
        </w:rPr>
      </w:pPr>
      <w:r>
        <w:rPr>
          <w:rFonts w:hint="eastAsia" w:ascii="仿宋" w:hAnsi="仿宋" w:eastAsia="仿宋"/>
          <w:sz w:val="30"/>
          <w:szCs w:val="30"/>
          <w:lang w:bidi="zh-TW"/>
        </w:rPr>
        <w:t>本次报价费用采取含税全包价方式，报价中应包含差旅费、食宿费等其它相关费用。</w:t>
      </w:r>
    </w:p>
    <w:p>
      <w:pPr>
        <w:spacing w:line="600" w:lineRule="exact"/>
        <w:ind w:firstLine="602" w:firstLineChars="200"/>
        <w:rPr>
          <w:rFonts w:ascii="仿宋" w:hAnsi="仿宋" w:eastAsia="仿宋"/>
          <w:sz w:val="30"/>
          <w:szCs w:val="30"/>
          <w:lang w:bidi="zh-TW"/>
        </w:rPr>
      </w:pPr>
      <w:r>
        <w:rPr>
          <w:rFonts w:hint="eastAsia" w:ascii="仿宋" w:hAnsi="仿宋" w:eastAsia="仿宋"/>
          <w:b/>
          <w:bCs/>
          <w:sz w:val="30"/>
          <w:szCs w:val="30"/>
          <w:lang w:bidi="zh-TW"/>
        </w:rPr>
        <w:t>六、选聘方式</w:t>
      </w:r>
    </w:p>
    <w:p>
      <w:pPr>
        <w:spacing w:line="600" w:lineRule="exact"/>
        <w:ind w:firstLine="600" w:firstLineChars="200"/>
        <w:rPr>
          <w:rFonts w:ascii="仿宋" w:hAnsi="仿宋" w:eastAsia="仿宋"/>
          <w:sz w:val="30"/>
          <w:szCs w:val="30"/>
          <w:lang w:bidi="zh-TW"/>
        </w:rPr>
      </w:pPr>
      <w:r>
        <w:rPr>
          <w:rFonts w:hint="eastAsia" w:ascii="仿宋" w:hAnsi="仿宋" w:eastAsia="仿宋"/>
          <w:sz w:val="30"/>
          <w:szCs w:val="30"/>
          <w:lang w:bidi="zh-TW"/>
        </w:rPr>
        <w:t>管理人将组成评审委员会按照附件所列评分细则进行评分，选定结果通知中选机构，不再对未选中机构另行通知。</w:t>
      </w:r>
    </w:p>
    <w:p>
      <w:pPr>
        <w:spacing w:line="600" w:lineRule="exact"/>
        <w:ind w:firstLine="600" w:firstLineChars="200"/>
        <w:rPr>
          <w:rFonts w:ascii="仿宋" w:hAnsi="仿宋" w:eastAsia="仿宋"/>
          <w:sz w:val="30"/>
          <w:szCs w:val="30"/>
        </w:rPr>
      </w:pPr>
      <w:r>
        <w:rPr>
          <w:rFonts w:ascii="仿宋" w:hAnsi="仿宋" w:eastAsia="仿宋"/>
          <w:sz w:val="30"/>
          <w:szCs w:val="30"/>
        </w:rPr>
        <mc:AlternateContent>
          <mc:Choice Requires="wps">
            <w:drawing>
              <wp:anchor distT="0" distB="0" distL="114300" distR="114300" simplePos="0" relativeHeight="251659264" behindDoc="0" locked="0" layoutInCell="1" allowOverlap="1">
                <wp:simplePos x="0" y="0"/>
                <wp:positionH relativeFrom="page">
                  <wp:posOffset>3663315</wp:posOffset>
                </wp:positionH>
                <wp:positionV relativeFrom="paragraph">
                  <wp:posOffset>1253490</wp:posOffset>
                </wp:positionV>
                <wp:extent cx="1225550" cy="178435"/>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225550" cy="178435"/>
                        </a:xfrm>
                        <a:prstGeom prst="rect">
                          <a:avLst/>
                        </a:prstGeom>
                        <a:noFill/>
                        <a:ln>
                          <a:noFill/>
                        </a:ln>
                      </wps:spPr>
                      <wps:txbx>
                        <w:txbxContent>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288.45pt;margin-top:98.7pt;height:14.05pt;width:96.5pt;mso-position-horizontal-relative:page;z-index:251659264;mso-width-relative:page;mso-height-relative:page;" filled="f" stroked="f" coordsize="21600,21600" o:gfxdata="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WAAAAZHJzL1BLAQIUABQAAAAIAIdO4kCc&#10;czXe2QAAAAsBAAAPAAAAAAAAAAEAIAAAADgAAABkcnMvZG93bnJldi54bWxQSwECFAAUAAAACACH&#10;TuJAmsBn6g0CAAAFBAAADgAAAAAAAAABACAAAAA+AQAAZHJzL2Uyb0RvYy54bWxQSwUGAAAAAAYA&#10;BgBZAQAAvQUAAAAA&#10;">
                <v:fill on="f" focussize="0,0"/>
                <v:stroke on="f"/>
                <v:imagedata o:title=""/>
                <o:lock v:ext="edit" aspectratio="f"/>
                <v:textbox inset="0mm,0mm,0mm,0mm">
                  <w:txbxContent>
                    <w:p/>
                  </w:txbxContent>
                </v:textbox>
              </v:shape>
            </w:pict>
          </mc:Fallback>
        </mc:AlternateContent>
      </w:r>
      <w:r>
        <w:rPr>
          <w:rFonts w:hint="eastAsia" w:ascii="仿宋" w:hAnsi="仿宋" w:eastAsia="仿宋"/>
          <w:sz w:val="30"/>
          <w:szCs w:val="30"/>
          <w:lang w:bidi="zh-TW"/>
        </w:rPr>
        <w:t>拟报名参选的中介机构需要详细了解</w:t>
      </w:r>
      <w:r>
        <w:rPr>
          <w:rFonts w:ascii="仿宋" w:hAnsi="仿宋" w:eastAsia="仿宋"/>
          <w:sz w:val="30"/>
          <w:szCs w:val="30"/>
        </w:rPr>
        <w:t>鑫源房开</w:t>
      </w:r>
      <w:r>
        <w:rPr>
          <w:rFonts w:hint="eastAsia" w:ascii="仿宋" w:hAnsi="仿宋" w:eastAsia="仿宋"/>
          <w:sz w:val="30"/>
          <w:szCs w:val="30"/>
        </w:rPr>
        <w:t>公</w:t>
      </w:r>
      <w:r>
        <w:rPr>
          <w:rFonts w:ascii="仿宋" w:hAnsi="仿宋" w:eastAsia="仿宋"/>
          <w:sz w:val="30"/>
          <w:szCs w:val="30"/>
        </w:rPr>
        <w:t>司</w:t>
      </w:r>
      <w:r>
        <w:rPr>
          <w:rFonts w:hint="eastAsia" w:ascii="仿宋" w:hAnsi="仿宋" w:eastAsia="仿宋"/>
          <w:sz w:val="30"/>
          <w:szCs w:val="30"/>
          <w:lang w:bidi="zh-TW"/>
        </w:rPr>
        <w:t>破产</w:t>
      </w:r>
      <w:r>
        <w:rPr>
          <w:rFonts w:hint="eastAsia" w:ascii="仿宋" w:hAnsi="仿宋" w:eastAsia="仿宋"/>
          <w:sz w:val="30"/>
          <w:szCs w:val="30"/>
        </w:rPr>
        <w:t>重整</w:t>
      </w:r>
      <w:r>
        <w:rPr>
          <w:rFonts w:hint="eastAsia" w:ascii="仿宋" w:hAnsi="仿宋" w:eastAsia="仿宋"/>
          <w:sz w:val="30"/>
          <w:szCs w:val="30"/>
          <w:lang w:bidi="zh-TW"/>
        </w:rPr>
        <w:t>一案其他相关信息，可向</w:t>
      </w:r>
      <w:r>
        <w:rPr>
          <w:rFonts w:ascii="仿宋" w:hAnsi="仿宋" w:eastAsia="仿宋"/>
          <w:sz w:val="30"/>
          <w:szCs w:val="30"/>
        </w:rPr>
        <w:t>鑫源房开公司</w:t>
      </w:r>
      <w:r>
        <w:rPr>
          <w:rFonts w:hint="eastAsia" w:ascii="仿宋" w:hAnsi="仿宋" w:eastAsia="仿宋"/>
          <w:sz w:val="30"/>
          <w:szCs w:val="30"/>
          <w:lang w:bidi="zh-TW"/>
        </w:rPr>
        <w:t>管理人来电咨询。联系人：肖律师，联系电话：</w:t>
      </w:r>
      <w:r>
        <w:rPr>
          <w:rFonts w:ascii="仿宋" w:hAnsi="仿宋" w:eastAsia="仿宋"/>
          <w:sz w:val="30"/>
          <w:szCs w:val="30"/>
          <w:lang w:bidi="zh-TW"/>
        </w:rPr>
        <w:t>18080125762。</w:t>
      </w:r>
    </w:p>
    <w:p>
      <w:pPr>
        <w:spacing w:line="600" w:lineRule="exact"/>
        <w:jc w:val="right"/>
        <w:rPr>
          <w:rFonts w:ascii="仿宋" w:hAnsi="仿宋" w:eastAsia="仿宋"/>
          <w:sz w:val="30"/>
          <w:szCs w:val="30"/>
        </w:rPr>
      </w:pPr>
    </w:p>
    <w:p>
      <w:pPr>
        <w:spacing w:line="600" w:lineRule="exact"/>
        <w:jc w:val="right"/>
        <w:rPr>
          <w:rFonts w:ascii="仿宋" w:hAnsi="仿宋" w:eastAsia="仿宋"/>
          <w:sz w:val="30"/>
          <w:szCs w:val="30"/>
        </w:rPr>
      </w:pPr>
      <w:r>
        <w:rPr>
          <w:rFonts w:ascii="仿宋" w:hAnsi="仿宋" w:eastAsia="仿宋"/>
          <w:sz w:val="30"/>
          <w:szCs w:val="30"/>
        </w:rPr>
        <w:t>资阳鑫源房地产开发有限公司</w:t>
      </w:r>
      <w:r>
        <w:rPr>
          <w:rFonts w:hint="eastAsia" w:ascii="仿宋" w:hAnsi="仿宋" w:eastAsia="仿宋"/>
          <w:sz w:val="30"/>
          <w:szCs w:val="30"/>
        </w:rPr>
        <w:t>管理人</w:t>
      </w:r>
    </w:p>
    <w:p>
      <w:pPr>
        <w:spacing w:line="600" w:lineRule="exact"/>
        <w:ind w:right="600"/>
        <w:jc w:val="center"/>
        <w:rPr>
          <w:rFonts w:ascii="仿宋" w:hAnsi="仿宋" w:eastAsia="仿宋"/>
          <w:sz w:val="32"/>
          <w:szCs w:val="32"/>
        </w:rPr>
      </w:pPr>
      <w:r>
        <w:rPr>
          <w:rFonts w:ascii="仿宋" w:hAnsi="仿宋" w:eastAsia="仿宋"/>
          <w:sz w:val="30"/>
          <w:szCs w:val="30"/>
        </w:rPr>
        <w:t xml:space="preserve">                        </w:t>
      </w:r>
      <w:r>
        <w:rPr>
          <w:rFonts w:hint="eastAsia" w:ascii="仿宋" w:hAnsi="仿宋" w:eastAsia="仿宋"/>
          <w:sz w:val="30"/>
          <w:szCs w:val="30"/>
        </w:rPr>
        <w:t>2</w:t>
      </w:r>
      <w:r>
        <w:rPr>
          <w:rFonts w:ascii="仿宋" w:hAnsi="仿宋" w:eastAsia="仿宋"/>
          <w:sz w:val="30"/>
          <w:szCs w:val="30"/>
        </w:rPr>
        <w:t>023</w:t>
      </w:r>
      <w:r>
        <w:rPr>
          <w:rFonts w:hint="eastAsia" w:ascii="仿宋" w:hAnsi="仿宋" w:eastAsia="仿宋"/>
          <w:sz w:val="30"/>
          <w:szCs w:val="30"/>
        </w:rPr>
        <w:t>年</w:t>
      </w:r>
      <w:r>
        <w:rPr>
          <w:rFonts w:ascii="仿宋" w:hAnsi="仿宋" w:eastAsia="仿宋"/>
          <w:sz w:val="30"/>
          <w:szCs w:val="30"/>
        </w:rPr>
        <w:t>4</w:t>
      </w:r>
      <w:r>
        <w:rPr>
          <w:rFonts w:hint="eastAsia" w:ascii="仿宋" w:hAnsi="仿宋" w:eastAsia="仿宋"/>
          <w:sz w:val="30"/>
          <w:szCs w:val="30"/>
        </w:rPr>
        <w:t>月</w:t>
      </w:r>
      <w:r>
        <w:rPr>
          <w:rFonts w:ascii="仿宋" w:hAnsi="仿宋" w:eastAsia="仿宋"/>
          <w:sz w:val="30"/>
          <w:szCs w:val="30"/>
        </w:rPr>
        <w:t xml:space="preserve"> </w:t>
      </w:r>
      <w:r>
        <w:rPr>
          <w:rFonts w:hint="default" w:ascii="仿宋" w:hAnsi="仿宋" w:eastAsia="仿宋"/>
          <w:sz w:val="30"/>
          <w:szCs w:val="30"/>
        </w:rPr>
        <w:t>23</w:t>
      </w:r>
      <w:bookmarkStart w:id="2" w:name="_GoBack"/>
      <w:bookmarkEnd w:id="2"/>
      <w:r>
        <w:rPr>
          <w:rFonts w:hint="eastAsia" w:ascii="仿宋" w:hAnsi="仿宋" w:eastAsia="仿宋"/>
          <w:sz w:val="30"/>
          <w:szCs w:val="30"/>
        </w:rPr>
        <w:t>日</w:t>
      </w:r>
    </w:p>
    <w:p>
      <w:pPr>
        <w:pStyle w:val="15"/>
        <w:spacing w:line="448" w:lineRule="exact"/>
        <w:ind w:firstLine="0"/>
        <w:jc w:val="both"/>
        <w:rPr>
          <w:rFonts w:ascii="仿宋" w:hAnsi="仿宋" w:eastAsia="仿宋" w:cs="仿宋"/>
          <w:color w:val="auto"/>
          <w:sz w:val="28"/>
          <w:szCs w:val="28"/>
        </w:rPr>
      </w:pPr>
      <w:r>
        <w:rPr>
          <w:rFonts w:hint="eastAsia" w:ascii="仿宋" w:hAnsi="仿宋" w:eastAsia="仿宋" w:cs="仿宋"/>
          <w:color w:val="auto"/>
          <w:sz w:val="28"/>
          <w:szCs w:val="28"/>
        </w:rPr>
        <w:t>附</w:t>
      </w:r>
      <w:r>
        <w:rPr>
          <w:rFonts w:hint="eastAsia" w:ascii="仿宋" w:hAnsi="仿宋" w:eastAsia="仿宋" w:cs="仿宋"/>
          <w:color w:val="auto"/>
          <w:sz w:val="28"/>
          <w:szCs w:val="28"/>
          <w:lang w:val="en-US"/>
        </w:rPr>
        <w:t>件</w:t>
      </w:r>
      <w:r>
        <w:rPr>
          <w:rFonts w:hint="eastAsia" w:ascii="仿宋" w:hAnsi="仿宋" w:eastAsia="仿宋" w:cs="仿宋"/>
          <w:color w:val="auto"/>
          <w:sz w:val="28"/>
          <w:szCs w:val="28"/>
        </w:rPr>
        <w:t>：</w:t>
      </w:r>
    </w:p>
    <w:p>
      <w:pPr>
        <w:pStyle w:val="15"/>
        <w:numPr>
          <w:ilvl w:val="0"/>
          <w:numId w:val="1"/>
        </w:numPr>
        <w:spacing w:line="448" w:lineRule="exact"/>
        <w:ind w:firstLine="0"/>
        <w:jc w:val="both"/>
        <w:rPr>
          <w:rFonts w:ascii="仿宋" w:hAnsi="仿宋" w:eastAsia="仿宋" w:cs="仿宋"/>
          <w:color w:val="auto"/>
          <w:sz w:val="28"/>
          <w:szCs w:val="28"/>
        </w:rPr>
      </w:pPr>
      <w:r>
        <w:rPr>
          <w:rFonts w:hint="eastAsia" w:ascii="仿宋" w:hAnsi="仿宋" w:eastAsia="仿宋" w:cs="仿宋"/>
          <w:color w:val="auto"/>
          <w:sz w:val="28"/>
          <w:szCs w:val="28"/>
        </w:rPr>
        <w:t>参选报名表</w:t>
      </w:r>
    </w:p>
    <w:p>
      <w:pPr>
        <w:pStyle w:val="15"/>
        <w:numPr>
          <w:ilvl w:val="0"/>
          <w:numId w:val="1"/>
        </w:numPr>
        <w:spacing w:line="448" w:lineRule="exact"/>
        <w:ind w:firstLine="0"/>
        <w:jc w:val="both"/>
        <w:rPr>
          <w:rFonts w:ascii="仿宋" w:hAnsi="仿宋" w:eastAsia="仿宋" w:cs="仿宋"/>
          <w:color w:val="auto"/>
          <w:sz w:val="28"/>
          <w:szCs w:val="28"/>
        </w:rPr>
      </w:pPr>
      <w:r>
        <w:rPr>
          <w:rFonts w:hint="eastAsia" w:ascii="仿宋" w:hAnsi="仿宋" w:eastAsia="仿宋" w:cs="仿宋"/>
          <w:color w:val="auto"/>
          <w:sz w:val="28"/>
          <w:szCs w:val="28"/>
        </w:rPr>
        <w:t>关于公开选聘税务中介机构的评选规则</w:t>
      </w:r>
    </w:p>
    <w:p>
      <w:pPr>
        <w:pStyle w:val="15"/>
        <w:numPr>
          <w:ilvl w:val="0"/>
          <w:numId w:val="1"/>
        </w:numPr>
        <w:spacing w:line="448" w:lineRule="exact"/>
        <w:ind w:firstLine="0"/>
        <w:jc w:val="both"/>
        <w:rPr>
          <w:rFonts w:ascii="仿宋" w:hAnsi="仿宋" w:eastAsia="仿宋" w:cs="仿宋"/>
          <w:color w:val="auto"/>
          <w:sz w:val="28"/>
          <w:szCs w:val="28"/>
        </w:rPr>
      </w:pPr>
      <w:r>
        <w:rPr>
          <w:rFonts w:hint="eastAsia" w:ascii="仿宋" w:hAnsi="仿宋" w:eastAsia="仿宋" w:cs="仿宋"/>
          <w:color w:val="auto"/>
          <w:sz w:val="28"/>
          <w:szCs w:val="28"/>
        </w:rPr>
        <w:t>报价表</w:t>
      </w:r>
    </w:p>
    <w:p>
      <w:pPr>
        <w:widowControl/>
        <w:jc w:val="left"/>
        <w:rPr>
          <w:rFonts w:ascii="仿宋" w:hAnsi="仿宋" w:eastAsia="仿宋" w:cs="仿宋"/>
          <w:kern w:val="0"/>
          <w:sz w:val="24"/>
          <w:lang w:val="zh-TW" w:eastAsia="zh-TW" w:bidi="zh-TW"/>
        </w:rPr>
      </w:pPr>
      <w:r>
        <w:rPr>
          <w:rFonts w:ascii="仿宋" w:hAnsi="仿宋" w:eastAsia="仿宋" w:cs="仿宋"/>
          <w:sz w:val="24"/>
        </w:rPr>
        <w:br w:type="page"/>
      </w:r>
    </w:p>
    <w:p>
      <w:pPr>
        <w:widowControl/>
        <w:jc w:val="left"/>
        <w:rPr>
          <w:rFonts w:ascii="仿宋" w:hAnsi="仿宋" w:eastAsia="仿宋" w:cs="仿宋"/>
          <w:kern w:val="0"/>
          <w:sz w:val="24"/>
          <w:lang w:val="zh-TW" w:eastAsia="zh-TW" w:bidi="zh-TW"/>
        </w:rPr>
      </w:pPr>
      <w:r>
        <w:rPr>
          <w:rFonts w:hint="eastAsia" w:ascii="仿宋" w:hAnsi="仿宋" w:eastAsia="仿宋" w:cs="仿宋"/>
          <w:sz w:val="24"/>
        </w:rPr>
        <w:t>附件</w:t>
      </w:r>
      <w:r>
        <w:rPr>
          <w:rFonts w:ascii="仿宋" w:hAnsi="仿宋" w:eastAsia="仿宋" w:cs="仿宋"/>
          <w:sz w:val="24"/>
        </w:rPr>
        <w:t>1</w:t>
      </w:r>
      <w:r>
        <w:rPr>
          <w:rFonts w:hint="eastAsia" w:ascii="仿宋" w:hAnsi="仿宋" w:eastAsia="仿宋" w:cs="仿宋"/>
          <w:sz w:val="24"/>
        </w:rPr>
        <w:t>：</w:t>
      </w:r>
      <w:r>
        <w:rPr>
          <w:rFonts w:ascii="仿宋" w:hAnsi="仿宋" w:eastAsia="仿宋" w:cs="仿宋"/>
          <w:sz w:val="24"/>
        </w:rPr>
        <w:t xml:space="preserve"> </w:t>
      </w:r>
    </w:p>
    <w:p>
      <w:pPr>
        <w:pStyle w:val="17"/>
        <w:rPr>
          <w:rFonts w:ascii="仿宋" w:hAnsi="仿宋" w:eastAsia="仿宋" w:cs="仿宋"/>
          <w:color w:val="auto"/>
        </w:rPr>
      </w:pPr>
    </w:p>
    <w:tbl>
      <w:tblPr>
        <w:tblStyle w:val="7"/>
        <w:tblW w:w="89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8"/>
        <w:gridCol w:w="2122"/>
        <w:gridCol w:w="1970"/>
        <w:gridCol w:w="24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55" w:hRule="atLeast"/>
        </w:trPr>
        <w:tc>
          <w:tcPr>
            <w:tcW w:w="8953" w:type="dxa"/>
            <w:gridSpan w:val="4"/>
            <w:tcBorders>
              <w:top w:val="single" w:color="auto" w:sz="4" w:space="0"/>
              <w:left w:val="single" w:color="auto" w:sz="4" w:space="0"/>
              <w:bottom w:val="single" w:color="auto" w:sz="4" w:space="0"/>
              <w:right w:val="single" w:color="auto" w:sz="4" w:space="0"/>
            </w:tcBorders>
            <w:vAlign w:val="center"/>
          </w:tcPr>
          <w:p>
            <w:pPr>
              <w:spacing w:line="560" w:lineRule="exact"/>
              <w:rPr>
                <w:rFonts w:ascii="仿宋" w:hAnsi="仿宋" w:eastAsia="仿宋" w:cs="仿宋"/>
                <w:b/>
                <w:bCs/>
                <w:sz w:val="32"/>
                <w:szCs w:val="32"/>
              </w:rPr>
            </w:pPr>
            <w:r>
              <w:rPr>
                <w:rFonts w:hint="eastAsia" w:ascii="仿宋" w:hAnsi="仿宋" w:eastAsia="仿宋" w:cs="仿宋"/>
                <w:b/>
                <w:bCs/>
                <w:sz w:val="32"/>
                <w:szCs w:val="32"/>
              </w:rPr>
              <w:t xml:space="preserve">          资阳鑫源房地产开发有限公司管理人</w:t>
            </w:r>
          </w:p>
          <w:p>
            <w:pPr>
              <w:spacing w:line="560" w:lineRule="exact"/>
              <w:jc w:val="center"/>
              <w:rPr>
                <w:rFonts w:ascii="仿宋" w:hAnsi="仿宋" w:eastAsia="仿宋" w:cs="仿宋"/>
              </w:rPr>
            </w:pPr>
            <w:r>
              <w:rPr>
                <w:rFonts w:hint="eastAsia" w:ascii="仿宋" w:hAnsi="仿宋" w:eastAsia="仿宋" w:cs="仿宋"/>
                <w:b/>
                <w:bCs/>
                <w:sz w:val="32"/>
                <w:szCs w:val="32"/>
              </w:rPr>
              <w:t>关于</w:t>
            </w:r>
            <w:bookmarkStart w:id="1" w:name="_Hlk105593151"/>
            <w:r>
              <w:rPr>
                <w:rFonts w:hint="eastAsia" w:ascii="仿宋" w:hAnsi="仿宋" w:eastAsia="仿宋" w:cs="仿宋"/>
                <w:b/>
                <w:bCs/>
                <w:sz w:val="32"/>
                <w:szCs w:val="32"/>
              </w:rPr>
              <w:t>公开选聘税务审核机构的参选报名表</w:t>
            </w:r>
            <w:bookmarkEnd w:id="1"/>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29" w:hRule="atLeast"/>
        </w:trPr>
        <w:tc>
          <w:tcPr>
            <w:tcW w:w="23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rPr>
            </w:pPr>
            <w:r>
              <w:rPr>
                <w:rFonts w:hint="eastAsia" w:ascii="仿宋" w:hAnsi="仿宋" w:eastAsia="仿宋" w:cs="仿宋"/>
                <w:sz w:val="24"/>
              </w:rPr>
              <w:t>参选机构名称</w:t>
            </w:r>
          </w:p>
        </w:tc>
        <w:tc>
          <w:tcPr>
            <w:tcW w:w="6555"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35" w:hRule="atLeast"/>
        </w:trPr>
        <w:tc>
          <w:tcPr>
            <w:tcW w:w="23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rPr>
            </w:pPr>
            <w:r>
              <w:rPr>
                <w:rFonts w:hint="eastAsia" w:ascii="仿宋" w:hAnsi="仿宋" w:eastAsia="仿宋" w:cs="仿宋"/>
                <w:sz w:val="24"/>
              </w:rPr>
              <w:t>联系地址</w:t>
            </w:r>
          </w:p>
        </w:tc>
        <w:tc>
          <w:tcPr>
            <w:tcW w:w="6555" w:type="dxa"/>
            <w:gridSpan w:val="3"/>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33" w:hRule="atLeast"/>
        </w:trPr>
        <w:tc>
          <w:tcPr>
            <w:tcW w:w="2398"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rPr>
            </w:pPr>
            <w:r>
              <w:rPr>
                <w:rFonts w:hint="eastAsia" w:ascii="仿宋" w:hAnsi="仿宋" w:eastAsia="仿宋" w:cs="仿宋"/>
                <w:sz w:val="24"/>
              </w:rPr>
              <w:t>参选联系人姓名</w:t>
            </w:r>
          </w:p>
        </w:tc>
        <w:tc>
          <w:tcPr>
            <w:tcW w:w="2122"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rPr>
            </w:pPr>
          </w:p>
        </w:tc>
        <w:tc>
          <w:tcPr>
            <w:tcW w:w="1970"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rPr>
            </w:pPr>
            <w:r>
              <w:rPr>
                <w:rFonts w:hint="eastAsia" w:ascii="仿宋" w:hAnsi="仿宋" w:eastAsia="仿宋" w:cs="仿宋"/>
                <w:sz w:val="24"/>
              </w:rPr>
              <w:t>联系电话</w:t>
            </w:r>
          </w:p>
        </w:tc>
        <w:tc>
          <w:tcPr>
            <w:tcW w:w="2463"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仿宋" w:hAnsi="仿宋" w:eastAsia="仿宋" w:cs="仿宋"/>
              </w:rPr>
            </w:pPr>
          </w:p>
        </w:tc>
      </w:tr>
    </w:tbl>
    <w:p>
      <w:pPr>
        <w:spacing w:line="560" w:lineRule="exact"/>
        <w:rPr>
          <w:rFonts w:ascii="仿宋" w:hAnsi="仿宋" w:eastAsia="仿宋" w:cs="仿宋"/>
          <w:sz w:val="28"/>
          <w:szCs w:val="28"/>
        </w:rPr>
      </w:pPr>
    </w:p>
    <w:p>
      <w:pPr>
        <w:spacing w:line="560" w:lineRule="exact"/>
        <w:rPr>
          <w:rFonts w:ascii="仿宋" w:hAnsi="仿宋" w:eastAsia="仿宋" w:cs="仿宋"/>
          <w:sz w:val="28"/>
          <w:szCs w:val="28"/>
        </w:rPr>
      </w:pPr>
    </w:p>
    <w:p>
      <w:pPr>
        <w:spacing w:line="560" w:lineRule="exact"/>
        <w:ind w:right="480"/>
        <w:jc w:val="center"/>
        <w:rPr>
          <w:rFonts w:ascii="仿宋" w:hAnsi="仿宋" w:eastAsia="仿宋" w:cs="仿宋"/>
        </w:rPr>
      </w:pPr>
      <w:r>
        <w:rPr>
          <w:rFonts w:hint="eastAsia" w:ascii="仿宋" w:hAnsi="仿宋" w:eastAsia="仿宋" w:cs="仿宋"/>
          <w:sz w:val="24"/>
        </w:rPr>
        <w:t xml:space="preserve">                                  报名参选机构（盖章）：</w:t>
      </w:r>
    </w:p>
    <w:p>
      <w:pPr>
        <w:spacing w:line="560" w:lineRule="exact"/>
        <w:jc w:val="right"/>
        <w:rPr>
          <w:rFonts w:ascii="仿宋" w:hAnsi="仿宋" w:eastAsia="仿宋" w:cs="仿宋"/>
        </w:rPr>
      </w:pPr>
    </w:p>
    <w:p>
      <w:pPr>
        <w:spacing w:line="560" w:lineRule="exact"/>
        <w:ind w:right="480" w:firstLine="4680" w:firstLineChars="1950"/>
        <w:rPr>
          <w:rFonts w:ascii="仿宋" w:hAnsi="仿宋" w:eastAsia="仿宋" w:cs="仿宋"/>
        </w:rPr>
      </w:pPr>
      <w:r>
        <w:rPr>
          <w:rFonts w:hint="eastAsia" w:ascii="仿宋" w:hAnsi="仿宋" w:eastAsia="仿宋" w:cs="仿宋"/>
          <w:sz w:val="24"/>
        </w:rPr>
        <w:t>代理人</w:t>
      </w:r>
      <w:r>
        <w:rPr>
          <w:rFonts w:hint="eastAsia" w:ascii="仿宋" w:hAnsi="仿宋" w:eastAsia="仿宋" w:cs="仿宋"/>
          <w:sz w:val="24"/>
        </w:rPr>
        <w:tab/>
      </w:r>
      <w:r>
        <w:rPr>
          <w:rFonts w:hint="eastAsia" w:ascii="仿宋" w:hAnsi="仿宋" w:eastAsia="仿宋" w:cs="仿宋"/>
          <w:sz w:val="24"/>
        </w:rPr>
        <w:t>（签字）：</w:t>
      </w:r>
    </w:p>
    <w:p>
      <w:pPr>
        <w:spacing w:line="560" w:lineRule="exact"/>
        <w:jc w:val="right"/>
        <w:rPr>
          <w:rFonts w:ascii="仿宋" w:hAnsi="仿宋" w:eastAsia="仿宋" w:cs="仿宋"/>
        </w:rPr>
      </w:pPr>
    </w:p>
    <w:p>
      <w:pPr>
        <w:spacing w:line="560" w:lineRule="exact"/>
        <w:ind w:right="480" w:firstLine="5160" w:firstLineChars="2150"/>
        <w:rPr>
          <w:rFonts w:ascii="仿宋" w:hAnsi="仿宋" w:eastAsia="仿宋" w:cs="仿宋"/>
        </w:rPr>
      </w:pPr>
      <w:r>
        <w:rPr>
          <w:rFonts w:hint="eastAsia" w:ascii="仿宋" w:hAnsi="仿宋" w:eastAsia="仿宋" w:cs="仿宋"/>
          <w:sz w:val="24"/>
        </w:rPr>
        <w:t>年    月    日</w:t>
      </w:r>
    </w:p>
    <w:p>
      <w:pPr>
        <w:widowControl/>
        <w:rPr>
          <w:rFonts w:ascii="仿宋" w:hAnsi="仿宋" w:eastAsia="仿宋" w:cs="仿宋"/>
          <w:sz w:val="32"/>
        </w:rPr>
        <w:sectPr>
          <w:footerReference r:id="rId3" w:type="default"/>
          <w:pgSz w:w="11906" w:h="16838"/>
          <w:pgMar w:top="1440" w:right="1800" w:bottom="1440" w:left="1800" w:header="851" w:footer="992" w:gutter="0"/>
          <w:pgBorders>
            <w:bottom w:val="single" w:color="auto" w:sz="4" w:space="1"/>
          </w:pgBorders>
          <w:cols w:space="720" w:num="1"/>
          <w:docGrid w:type="lines" w:linePitch="312" w:charSpace="0"/>
        </w:sectPr>
      </w:pPr>
    </w:p>
    <w:p>
      <w:pPr>
        <w:pStyle w:val="18"/>
        <w:spacing w:after="0" w:line="560" w:lineRule="exact"/>
        <w:rPr>
          <w:rFonts w:ascii="仿宋" w:hAnsi="仿宋" w:eastAsia="仿宋" w:cs="仿宋"/>
          <w:color w:val="auto"/>
          <w:sz w:val="24"/>
          <w:szCs w:val="24"/>
          <w:lang w:eastAsia="zh-CN"/>
        </w:rPr>
      </w:pPr>
      <w:r>
        <w:rPr>
          <w:rFonts w:hint="eastAsia" w:ascii="仿宋" w:hAnsi="仿宋" w:eastAsia="仿宋" w:cs="仿宋"/>
          <w:color w:val="auto"/>
          <w:sz w:val="24"/>
          <w:szCs w:val="24"/>
          <w:lang w:eastAsia="zh-CN"/>
        </w:rPr>
        <w:t>附件</w:t>
      </w:r>
      <w:r>
        <w:rPr>
          <w:rFonts w:ascii="仿宋" w:hAnsi="仿宋" w:eastAsia="仿宋" w:cs="仿宋"/>
          <w:color w:val="auto"/>
          <w:sz w:val="24"/>
          <w:szCs w:val="24"/>
          <w:lang w:eastAsia="zh-CN"/>
        </w:rPr>
        <w:t>2</w:t>
      </w:r>
      <w:r>
        <w:rPr>
          <w:rFonts w:hint="eastAsia" w:ascii="仿宋" w:hAnsi="仿宋" w:eastAsia="仿宋" w:cs="仿宋"/>
          <w:color w:val="auto"/>
          <w:sz w:val="24"/>
          <w:szCs w:val="24"/>
          <w:lang w:eastAsia="zh-CN"/>
        </w:rPr>
        <w:t>：</w:t>
      </w:r>
    </w:p>
    <w:p>
      <w:pPr>
        <w:snapToGrid w:val="0"/>
        <w:spacing w:line="560" w:lineRule="exact"/>
        <w:jc w:val="center"/>
        <w:rPr>
          <w:rFonts w:ascii="仿宋" w:hAnsi="仿宋" w:eastAsia="仿宋" w:cs="仿宋"/>
          <w:b/>
          <w:bCs/>
          <w:sz w:val="32"/>
          <w:szCs w:val="32"/>
        </w:rPr>
      </w:pPr>
      <w:r>
        <w:rPr>
          <w:rFonts w:hint="eastAsia" w:ascii="仿宋" w:hAnsi="仿宋" w:eastAsia="仿宋" w:cs="仿宋"/>
          <w:b/>
          <w:bCs/>
          <w:sz w:val="32"/>
          <w:szCs w:val="32"/>
        </w:rPr>
        <w:t xml:space="preserve"> 资阳鑫源房地产开发有限公司管理人</w:t>
      </w:r>
    </w:p>
    <w:p>
      <w:pPr>
        <w:snapToGrid w:val="0"/>
        <w:spacing w:after="312" w:afterLines="100" w:line="560" w:lineRule="exact"/>
        <w:jc w:val="center"/>
        <w:rPr>
          <w:rFonts w:ascii="仿宋" w:hAnsi="仿宋" w:eastAsia="仿宋" w:cs="仿宋"/>
          <w:b/>
          <w:bCs/>
        </w:rPr>
      </w:pPr>
      <w:r>
        <w:rPr>
          <w:rFonts w:hint="eastAsia" w:ascii="仿宋" w:hAnsi="仿宋" w:eastAsia="仿宋" w:cs="仿宋"/>
          <w:b/>
          <w:bCs/>
          <w:sz w:val="32"/>
          <w:szCs w:val="32"/>
        </w:rPr>
        <w:t>关于公开选聘税务审核机构的评选规则</w:t>
      </w:r>
    </w:p>
    <w:p>
      <w:pPr>
        <w:snapToGrid w:val="0"/>
        <w:spacing w:line="360" w:lineRule="auto"/>
        <w:ind w:firstLine="560" w:firstLineChars="200"/>
        <w:rPr>
          <w:rFonts w:ascii="仿宋" w:hAnsi="仿宋" w:eastAsia="仿宋" w:cs="仿宋"/>
          <w:bCs/>
          <w:sz w:val="28"/>
          <w:szCs w:val="28"/>
        </w:rPr>
      </w:pPr>
      <w:r>
        <w:rPr>
          <w:rFonts w:hint="eastAsia" w:ascii="仿宋" w:hAnsi="仿宋" w:eastAsia="仿宋" w:cs="仿宋"/>
          <w:bCs/>
          <w:sz w:val="28"/>
          <w:szCs w:val="28"/>
        </w:rPr>
        <w:t>为确保资阳鑫源房地产开发有限公司税务审核机构选聘过程的公开、公平、公正，管理人特制定以下评选规则。</w:t>
      </w:r>
    </w:p>
    <w:p>
      <w:pPr>
        <w:snapToGrid w:val="0"/>
        <w:spacing w:before="156" w:beforeLines="50" w:line="360" w:lineRule="auto"/>
        <w:ind w:firstLine="562" w:firstLineChars="200"/>
        <w:rPr>
          <w:rFonts w:ascii="仿宋" w:hAnsi="仿宋" w:eastAsia="仿宋" w:cs="仿宋"/>
          <w:b/>
          <w:sz w:val="28"/>
          <w:szCs w:val="28"/>
        </w:rPr>
      </w:pPr>
      <w:r>
        <w:rPr>
          <w:rFonts w:hint="eastAsia" w:ascii="仿宋" w:hAnsi="仿宋" w:eastAsia="仿宋" w:cs="仿宋"/>
          <w:b/>
          <w:sz w:val="28"/>
          <w:szCs w:val="28"/>
        </w:rPr>
        <w:t>一、综合比选评分标准</w:t>
      </w:r>
    </w:p>
    <w:p>
      <w:pPr>
        <w:snapToGrid w:val="0"/>
        <w:spacing w:line="360" w:lineRule="auto"/>
        <w:ind w:firstLine="560" w:firstLineChars="200"/>
        <w:rPr>
          <w:rFonts w:ascii="仿宋" w:hAnsi="仿宋" w:eastAsia="仿宋" w:cs="仿宋"/>
          <w:bCs/>
          <w:sz w:val="28"/>
          <w:szCs w:val="28"/>
        </w:rPr>
      </w:pPr>
      <w:r>
        <w:rPr>
          <w:rFonts w:hint="eastAsia" w:ascii="仿宋" w:hAnsi="仿宋" w:eastAsia="仿宋" w:cs="仿宋"/>
          <w:bCs/>
          <w:sz w:val="28"/>
          <w:szCs w:val="28"/>
        </w:rPr>
        <w:t>评选小组采用综合比较的方式进行评分，分别从参选机构的服务报价、服务方案、人员配置、人员资质、类似业绩等方面对参选机构进行综合评定，综合得分最高者为中选机构。</w:t>
      </w:r>
    </w:p>
    <w:p>
      <w:pPr>
        <w:snapToGrid w:val="0"/>
        <w:spacing w:line="360" w:lineRule="auto"/>
        <w:ind w:firstLine="560" w:firstLineChars="200"/>
        <w:rPr>
          <w:rFonts w:ascii="仿宋" w:hAnsi="仿宋" w:eastAsia="仿宋" w:cs="仿宋"/>
          <w:bCs/>
          <w:sz w:val="28"/>
          <w:szCs w:val="28"/>
        </w:rPr>
      </w:pPr>
      <w:r>
        <w:rPr>
          <w:rFonts w:hint="eastAsia" w:ascii="仿宋" w:hAnsi="仿宋" w:eastAsia="仿宋" w:cs="仿宋"/>
          <w:bCs/>
          <w:sz w:val="28"/>
          <w:szCs w:val="28"/>
        </w:rPr>
        <w:t>综合比选评分标准如下：</w:t>
      </w:r>
    </w:p>
    <w:tbl>
      <w:tblPr>
        <w:tblStyle w:val="7"/>
        <w:tblW w:w="9216" w:type="dxa"/>
        <w:tblInd w:w="0" w:type="dxa"/>
        <w:tblLayout w:type="fixed"/>
        <w:tblCellMar>
          <w:top w:w="0" w:type="dxa"/>
          <w:left w:w="108" w:type="dxa"/>
          <w:bottom w:w="0" w:type="dxa"/>
          <w:right w:w="108" w:type="dxa"/>
        </w:tblCellMar>
      </w:tblPr>
      <w:tblGrid>
        <w:gridCol w:w="654"/>
        <w:gridCol w:w="1466"/>
        <w:gridCol w:w="902"/>
        <w:gridCol w:w="6194"/>
      </w:tblGrid>
      <w:tr>
        <w:trPr>
          <w:trHeight w:val="546" w:hRule="atLeast"/>
        </w:trPr>
        <w:tc>
          <w:tcPr>
            <w:tcW w:w="654" w:type="dxa"/>
            <w:tcBorders>
              <w:top w:val="single" w:color="000000" w:sz="4" w:space="0"/>
              <w:left w:val="single" w:color="000000" w:sz="4" w:space="0"/>
              <w:bottom w:val="single" w:color="auto" w:sz="4" w:space="0"/>
              <w:right w:val="single" w:color="000000" w:sz="4" w:space="0"/>
            </w:tcBorders>
            <w:shd w:val="clear" w:color="auto" w:fill="E7E6E6"/>
            <w:tcMar>
              <w:top w:w="15" w:type="dxa"/>
              <w:left w:w="108" w:type="dxa"/>
              <w:bottom w:w="15" w:type="dxa"/>
              <w:right w:w="108" w:type="dxa"/>
            </w:tcMar>
            <w:vAlign w:val="center"/>
          </w:tcPr>
          <w:p>
            <w:pPr>
              <w:widowControl/>
              <w:spacing w:line="360" w:lineRule="auto"/>
              <w:jc w:val="center"/>
              <w:rPr>
                <w:rFonts w:ascii="仿宋" w:hAnsi="仿宋" w:eastAsia="仿宋" w:cs="仿宋"/>
                <w:b/>
                <w:bCs/>
                <w:sz w:val="22"/>
              </w:rPr>
            </w:pPr>
            <w:r>
              <w:rPr>
                <w:rFonts w:hint="eastAsia" w:ascii="仿宋" w:hAnsi="仿宋" w:eastAsia="仿宋" w:cs="仿宋"/>
                <w:b/>
                <w:bCs/>
                <w:kern w:val="0"/>
                <w:sz w:val="22"/>
              </w:rPr>
              <w:t>序号</w:t>
            </w:r>
          </w:p>
        </w:tc>
        <w:tc>
          <w:tcPr>
            <w:tcW w:w="1466" w:type="dxa"/>
            <w:tcBorders>
              <w:top w:val="single" w:color="000000" w:sz="4" w:space="0"/>
              <w:left w:val="single" w:color="000000" w:sz="4" w:space="0"/>
              <w:bottom w:val="single" w:color="auto" w:sz="4" w:space="0"/>
              <w:right w:val="single" w:color="000000" w:sz="4" w:space="0"/>
            </w:tcBorders>
            <w:shd w:val="clear" w:color="auto" w:fill="E7E6E6"/>
            <w:tcMar>
              <w:top w:w="15" w:type="dxa"/>
              <w:left w:w="108" w:type="dxa"/>
              <w:bottom w:w="15" w:type="dxa"/>
              <w:right w:w="108" w:type="dxa"/>
            </w:tcMar>
            <w:vAlign w:val="center"/>
          </w:tcPr>
          <w:p>
            <w:pPr>
              <w:widowControl/>
              <w:spacing w:line="360" w:lineRule="auto"/>
              <w:jc w:val="center"/>
              <w:rPr>
                <w:rFonts w:ascii="仿宋" w:hAnsi="仿宋" w:eastAsia="仿宋" w:cs="仿宋"/>
                <w:b/>
                <w:bCs/>
                <w:sz w:val="22"/>
              </w:rPr>
            </w:pPr>
            <w:r>
              <w:rPr>
                <w:rFonts w:hint="eastAsia" w:ascii="仿宋" w:hAnsi="仿宋" w:eastAsia="仿宋" w:cs="仿宋"/>
                <w:b/>
                <w:bCs/>
                <w:kern w:val="0"/>
                <w:sz w:val="22"/>
              </w:rPr>
              <w:t>评分项</w:t>
            </w:r>
          </w:p>
        </w:tc>
        <w:tc>
          <w:tcPr>
            <w:tcW w:w="902" w:type="dxa"/>
            <w:tcBorders>
              <w:top w:val="single" w:color="000000" w:sz="4" w:space="0"/>
              <w:left w:val="single" w:color="000000" w:sz="4" w:space="0"/>
              <w:bottom w:val="single" w:color="000000" w:sz="4" w:space="0"/>
              <w:right w:val="single" w:color="000000" w:sz="4" w:space="0"/>
            </w:tcBorders>
            <w:shd w:val="clear" w:color="auto" w:fill="E7E6E6"/>
            <w:tcMar>
              <w:top w:w="15" w:type="dxa"/>
              <w:left w:w="108" w:type="dxa"/>
              <w:bottom w:w="15" w:type="dxa"/>
              <w:right w:w="108" w:type="dxa"/>
            </w:tcMar>
            <w:vAlign w:val="center"/>
          </w:tcPr>
          <w:p>
            <w:pPr>
              <w:widowControl/>
              <w:spacing w:line="360" w:lineRule="auto"/>
              <w:jc w:val="center"/>
              <w:rPr>
                <w:rFonts w:ascii="仿宋" w:hAnsi="仿宋" w:eastAsia="仿宋" w:cs="仿宋"/>
                <w:b/>
                <w:bCs/>
                <w:sz w:val="22"/>
              </w:rPr>
            </w:pPr>
            <w:r>
              <w:rPr>
                <w:rFonts w:hint="eastAsia" w:ascii="仿宋" w:hAnsi="仿宋" w:eastAsia="仿宋" w:cs="仿宋"/>
                <w:b/>
                <w:bCs/>
                <w:kern w:val="0"/>
                <w:sz w:val="22"/>
              </w:rPr>
              <w:t>分值</w:t>
            </w:r>
          </w:p>
        </w:tc>
        <w:tc>
          <w:tcPr>
            <w:tcW w:w="6194" w:type="dxa"/>
            <w:tcBorders>
              <w:top w:val="single" w:color="000000" w:sz="4" w:space="0"/>
              <w:left w:val="single" w:color="000000" w:sz="4" w:space="0"/>
              <w:bottom w:val="single" w:color="000000" w:sz="4" w:space="0"/>
              <w:right w:val="single" w:color="000000" w:sz="4" w:space="0"/>
            </w:tcBorders>
            <w:shd w:val="clear" w:color="auto" w:fill="E7E6E6"/>
            <w:tcMar>
              <w:top w:w="15" w:type="dxa"/>
              <w:left w:w="108" w:type="dxa"/>
              <w:bottom w:w="15" w:type="dxa"/>
              <w:right w:w="108" w:type="dxa"/>
            </w:tcMar>
            <w:vAlign w:val="center"/>
          </w:tcPr>
          <w:p>
            <w:pPr>
              <w:widowControl/>
              <w:spacing w:line="360" w:lineRule="auto"/>
              <w:jc w:val="center"/>
              <w:rPr>
                <w:rFonts w:ascii="仿宋" w:hAnsi="仿宋" w:eastAsia="仿宋" w:cs="仿宋"/>
                <w:b/>
                <w:bCs/>
                <w:sz w:val="22"/>
              </w:rPr>
            </w:pPr>
            <w:r>
              <w:rPr>
                <w:rFonts w:hint="eastAsia" w:ascii="仿宋" w:hAnsi="仿宋" w:eastAsia="仿宋" w:cs="仿宋"/>
                <w:b/>
                <w:bCs/>
                <w:kern w:val="0"/>
                <w:sz w:val="22"/>
              </w:rPr>
              <w:t>评分细则</w:t>
            </w:r>
          </w:p>
        </w:tc>
      </w:tr>
      <w:tr>
        <w:trPr>
          <w:trHeight w:val="893" w:hRule="atLeast"/>
        </w:trPr>
        <w:tc>
          <w:tcPr>
            <w:tcW w:w="654" w:type="dxa"/>
            <w:tcBorders>
              <w:top w:val="single" w:color="auto" w:sz="4" w:space="0"/>
              <w:left w:val="single" w:color="auto" w:sz="4" w:space="0"/>
              <w:bottom w:val="single" w:color="auto" w:sz="4" w:space="0"/>
              <w:right w:val="single" w:color="auto" w:sz="4" w:space="0"/>
            </w:tcBorders>
            <w:tcMar>
              <w:top w:w="15" w:type="dxa"/>
              <w:left w:w="108" w:type="dxa"/>
              <w:bottom w:w="15" w:type="dxa"/>
              <w:right w:w="108" w:type="dxa"/>
            </w:tcMar>
            <w:vAlign w:val="center"/>
          </w:tcPr>
          <w:p>
            <w:pPr>
              <w:widowControl/>
              <w:spacing w:line="360" w:lineRule="auto"/>
              <w:jc w:val="center"/>
              <w:rPr>
                <w:rFonts w:ascii="仿宋" w:hAnsi="仿宋" w:eastAsia="仿宋" w:cs="仿宋"/>
                <w:sz w:val="24"/>
                <w:szCs w:val="24"/>
              </w:rPr>
            </w:pPr>
            <w:r>
              <w:rPr>
                <w:rFonts w:hint="eastAsia" w:ascii="仿宋" w:hAnsi="仿宋" w:eastAsia="仿宋" w:cs="仿宋"/>
                <w:kern w:val="0"/>
                <w:sz w:val="24"/>
                <w:szCs w:val="24"/>
              </w:rPr>
              <w:t>1</w:t>
            </w:r>
          </w:p>
        </w:tc>
        <w:tc>
          <w:tcPr>
            <w:tcW w:w="1466" w:type="dxa"/>
            <w:tcBorders>
              <w:top w:val="single" w:color="auto" w:sz="4" w:space="0"/>
              <w:left w:val="single" w:color="auto" w:sz="4" w:space="0"/>
              <w:bottom w:val="single" w:color="auto" w:sz="4" w:space="0"/>
              <w:right w:val="single" w:color="auto" w:sz="4" w:space="0"/>
            </w:tcBorders>
            <w:tcMar>
              <w:top w:w="15" w:type="dxa"/>
              <w:left w:w="108" w:type="dxa"/>
              <w:bottom w:w="15" w:type="dxa"/>
              <w:right w:w="108" w:type="dxa"/>
            </w:tcMar>
            <w:vAlign w:val="center"/>
          </w:tcPr>
          <w:p>
            <w:pPr>
              <w:widowControl/>
              <w:spacing w:line="360" w:lineRule="auto"/>
              <w:jc w:val="center"/>
              <w:rPr>
                <w:rFonts w:ascii="仿宋" w:hAnsi="仿宋" w:eastAsia="仿宋" w:cs="仿宋"/>
                <w:sz w:val="24"/>
                <w:szCs w:val="24"/>
              </w:rPr>
            </w:pPr>
            <w:r>
              <w:rPr>
                <w:rFonts w:hint="eastAsia" w:ascii="仿宋" w:hAnsi="仿宋" w:eastAsia="仿宋" w:cs="仿宋"/>
                <w:kern w:val="0"/>
                <w:sz w:val="24"/>
                <w:szCs w:val="24"/>
              </w:rPr>
              <w:t>综合实力</w:t>
            </w:r>
          </w:p>
          <w:p>
            <w:pPr>
              <w:widowControl/>
              <w:spacing w:line="360" w:lineRule="auto"/>
              <w:jc w:val="center"/>
              <w:rPr>
                <w:rFonts w:ascii="仿宋" w:hAnsi="仿宋" w:eastAsia="仿宋" w:cs="仿宋"/>
                <w:sz w:val="24"/>
                <w:szCs w:val="24"/>
              </w:rPr>
            </w:pPr>
            <w:r>
              <w:rPr>
                <w:rFonts w:hint="eastAsia" w:ascii="仿宋" w:hAnsi="仿宋" w:eastAsia="仿宋" w:cs="仿宋"/>
                <w:kern w:val="0"/>
                <w:sz w:val="24"/>
                <w:szCs w:val="24"/>
              </w:rPr>
              <w:t>10%</w:t>
            </w:r>
          </w:p>
        </w:tc>
        <w:tc>
          <w:tcPr>
            <w:tcW w:w="902" w:type="dxa"/>
            <w:tcBorders>
              <w:top w:val="single" w:color="000000" w:sz="4" w:space="0"/>
              <w:left w:val="single" w:color="auto" w:sz="4" w:space="0"/>
              <w:bottom w:val="single" w:color="000000" w:sz="4" w:space="0"/>
              <w:right w:val="single" w:color="000000" w:sz="4" w:space="0"/>
            </w:tcBorders>
            <w:shd w:val="clear" w:color="auto" w:fill="FFFFFF"/>
            <w:tcMar>
              <w:top w:w="15" w:type="dxa"/>
              <w:left w:w="108" w:type="dxa"/>
              <w:bottom w:w="15" w:type="dxa"/>
              <w:right w:w="108" w:type="dxa"/>
            </w:tcMar>
            <w:vAlign w:val="center"/>
          </w:tcPr>
          <w:p>
            <w:pPr>
              <w:widowControl/>
              <w:spacing w:line="360" w:lineRule="auto"/>
              <w:jc w:val="center"/>
              <w:rPr>
                <w:rFonts w:ascii="仿宋" w:hAnsi="仿宋" w:eastAsia="仿宋" w:cs="仿宋"/>
                <w:sz w:val="24"/>
                <w:szCs w:val="24"/>
              </w:rPr>
            </w:pPr>
            <w:r>
              <w:rPr>
                <w:rFonts w:hint="eastAsia" w:ascii="仿宋" w:hAnsi="仿宋" w:eastAsia="仿宋" w:cs="仿宋"/>
                <w:kern w:val="0"/>
                <w:sz w:val="24"/>
                <w:szCs w:val="24"/>
              </w:rPr>
              <w:t>10</w:t>
            </w:r>
          </w:p>
        </w:tc>
        <w:tc>
          <w:tcPr>
            <w:tcW w:w="619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08" w:type="dxa"/>
              <w:bottom w:w="15" w:type="dxa"/>
              <w:right w:w="108" w:type="dxa"/>
            </w:tcMar>
            <w:vAlign w:val="center"/>
          </w:tcPr>
          <w:p>
            <w:pPr>
              <w:widowControl/>
              <w:spacing w:line="360" w:lineRule="auto"/>
              <w:rPr>
                <w:rFonts w:ascii="仿宋" w:hAnsi="仿宋" w:eastAsia="仿宋" w:cs="仿宋"/>
                <w:sz w:val="24"/>
                <w:szCs w:val="24"/>
              </w:rPr>
            </w:pPr>
            <w:r>
              <w:rPr>
                <w:rFonts w:hint="eastAsia" w:ascii="仿宋" w:hAnsi="仿宋" w:eastAsia="仿宋" w:cs="仿宋"/>
                <w:sz w:val="24"/>
                <w:szCs w:val="24"/>
              </w:rPr>
              <w:t>1、综合实力（10分）</w:t>
            </w:r>
          </w:p>
          <w:p>
            <w:pPr>
              <w:widowControl/>
              <w:spacing w:line="360" w:lineRule="auto"/>
              <w:rPr>
                <w:rFonts w:ascii="仿宋" w:hAnsi="仿宋" w:eastAsia="仿宋" w:cs="仿宋"/>
                <w:sz w:val="24"/>
                <w:szCs w:val="24"/>
              </w:rPr>
            </w:pPr>
            <w:r>
              <w:rPr>
                <w:rFonts w:hint="eastAsia" w:ascii="仿宋" w:hAnsi="仿宋" w:eastAsia="仿宋" w:cs="仿宋"/>
                <w:sz w:val="24"/>
                <w:szCs w:val="24"/>
              </w:rPr>
              <w:t>比选人具有有效的行政登记证书、营业执照注册资本1</w:t>
            </w:r>
            <w:r>
              <w:rPr>
                <w:rFonts w:ascii="仿宋" w:hAnsi="仿宋" w:eastAsia="仿宋" w:cs="仿宋"/>
                <w:sz w:val="24"/>
                <w:szCs w:val="24"/>
              </w:rPr>
              <w:t>00</w:t>
            </w:r>
            <w:r>
              <w:rPr>
                <w:rFonts w:hint="eastAsia" w:ascii="仿宋" w:hAnsi="仿宋" w:eastAsia="仿宋" w:cs="仿宋"/>
                <w:sz w:val="24"/>
                <w:szCs w:val="24"/>
              </w:rPr>
              <w:t>万以上（含1</w:t>
            </w:r>
            <w:r>
              <w:rPr>
                <w:rFonts w:ascii="仿宋" w:hAnsi="仿宋" w:eastAsia="仿宋" w:cs="仿宋"/>
                <w:sz w:val="24"/>
                <w:szCs w:val="24"/>
              </w:rPr>
              <w:t>00</w:t>
            </w:r>
            <w:r>
              <w:rPr>
                <w:rFonts w:hint="eastAsia" w:ascii="仿宋" w:hAnsi="仿宋" w:eastAsia="仿宋" w:cs="仿宋"/>
                <w:sz w:val="24"/>
                <w:szCs w:val="24"/>
              </w:rPr>
              <w:t>万）得10分，缺少任何一项不得分。</w:t>
            </w:r>
          </w:p>
          <w:p>
            <w:pPr>
              <w:widowControl/>
              <w:spacing w:line="360" w:lineRule="auto"/>
              <w:rPr>
                <w:rFonts w:ascii="仿宋" w:hAnsi="仿宋" w:eastAsia="仿宋" w:cs="仿宋"/>
                <w:sz w:val="24"/>
                <w:szCs w:val="24"/>
                <w:highlight w:val="yellow"/>
              </w:rPr>
            </w:pPr>
            <w:r>
              <w:rPr>
                <w:rFonts w:hint="eastAsia" w:ascii="仿宋" w:hAnsi="仿宋" w:eastAsia="仿宋" w:cs="仿宋"/>
                <w:sz w:val="24"/>
                <w:szCs w:val="24"/>
              </w:rPr>
              <w:t>注:以上证明材料均需加盖比选申请人公章。</w:t>
            </w:r>
          </w:p>
        </w:tc>
      </w:tr>
      <w:tr>
        <w:trPr>
          <w:trHeight w:val="893" w:hRule="atLeast"/>
        </w:trPr>
        <w:tc>
          <w:tcPr>
            <w:tcW w:w="654" w:type="dxa"/>
            <w:tcBorders>
              <w:top w:val="single" w:color="auto" w:sz="4" w:space="0"/>
              <w:left w:val="single" w:color="auto" w:sz="4" w:space="0"/>
              <w:bottom w:val="single" w:color="auto" w:sz="4" w:space="0"/>
              <w:right w:val="single" w:color="auto" w:sz="4" w:space="0"/>
            </w:tcBorders>
            <w:tcMar>
              <w:top w:w="15" w:type="dxa"/>
              <w:left w:w="108" w:type="dxa"/>
              <w:bottom w:w="15" w:type="dxa"/>
              <w:right w:w="108" w:type="dxa"/>
            </w:tcMar>
            <w:vAlign w:val="center"/>
          </w:tcPr>
          <w:p>
            <w:pPr>
              <w:widowControl/>
              <w:spacing w:line="360" w:lineRule="auto"/>
              <w:jc w:val="center"/>
              <w:rPr>
                <w:rFonts w:ascii="仿宋" w:hAnsi="仿宋" w:eastAsia="仿宋" w:cs="仿宋"/>
                <w:sz w:val="24"/>
                <w:szCs w:val="24"/>
              </w:rPr>
            </w:pPr>
            <w:r>
              <w:rPr>
                <w:rFonts w:hint="eastAsia" w:ascii="仿宋" w:hAnsi="仿宋" w:eastAsia="仿宋" w:cs="仿宋"/>
                <w:kern w:val="0"/>
                <w:sz w:val="24"/>
                <w:szCs w:val="24"/>
              </w:rPr>
              <w:t>2</w:t>
            </w:r>
          </w:p>
        </w:tc>
        <w:tc>
          <w:tcPr>
            <w:tcW w:w="1466" w:type="dxa"/>
            <w:tcBorders>
              <w:top w:val="single" w:color="auto" w:sz="4" w:space="0"/>
              <w:left w:val="single" w:color="auto" w:sz="4" w:space="0"/>
              <w:bottom w:val="single" w:color="auto" w:sz="4" w:space="0"/>
              <w:right w:val="single" w:color="auto" w:sz="4" w:space="0"/>
            </w:tcBorders>
            <w:tcMar>
              <w:top w:w="15" w:type="dxa"/>
              <w:left w:w="108" w:type="dxa"/>
              <w:bottom w:w="15" w:type="dxa"/>
              <w:right w:w="108" w:type="dxa"/>
            </w:tcMar>
            <w:vAlign w:val="center"/>
          </w:tcPr>
          <w:p>
            <w:pPr>
              <w:widowControl/>
              <w:spacing w:line="360" w:lineRule="auto"/>
              <w:jc w:val="center"/>
              <w:rPr>
                <w:rFonts w:ascii="仿宋" w:hAnsi="仿宋" w:eastAsia="仿宋" w:cs="仿宋"/>
                <w:sz w:val="24"/>
                <w:szCs w:val="24"/>
              </w:rPr>
            </w:pPr>
            <w:r>
              <w:rPr>
                <w:rFonts w:hint="eastAsia" w:ascii="仿宋" w:hAnsi="仿宋" w:eastAsia="仿宋" w:cs="仿宋"/>
                <w:kern w:val="0"/>
                <w:sz w:val="24"/>
                <w:szCs w:val="24"/>
              </w:rPr>
              <w:t>拟配备人员</w:t>
            </w:r>
          </w:p>
          <w:p>
            <w:pPr>
              <w:widowControl/>
              <w:spacing w:line="360" w:lineRule="auto"/>
              <w:jc w:val="center"/>
              <w:rPr>
                <w:rFonts w:ascii="仿宋" w:hAnsi="仿宋" w:eastAsia="仿宋" w:cs="仿宋"/>
                <w:sz w:val="24"/>
                <w:szCs w:val="24"/>
              </w:rPr>
            </w:pPr>
            <w:r>
              <w:rPr>
                <w:rFonts w:ascii="仿宋" w:hAnsi="仿宋" w:eastAsia="仿宋" w:cs="仿宋"/>
                <w:kern w:val="0"/>
                <w:sz w:val="24"/>
                <w:szCs w:val="24"/>
              </w:rPr>
              <w:t>15</w:t>
            </w:r>
            <w:r>
              <w:rPr>
                <w:rFonts w:hint="eastAsia" w:ascii="仿宋" w:hAnsi="仿宋" w:eastAsia="仿宋" w:cs="仿宋"/>
                <w:kern w:val="0"/>
                <w:sz w:val="24"/>
                <w:szCs w:val="24"/>
              </w:rPr>
              <w:t>%</w:t>
            </w:r>
          </w:p>
        </w:tc>
        <w:tc>
          <w:tcPr>
            <w:tcW w:w="902" w:type="dxa"/>
            <w:tcBorders>
              <w:top w:val="single" w:color="000000" w:sz="4" w:space="0"/>
              <w:left w:val="single" w:color="auto" w:sz="4" w:space="0"/>
              <w:bottom w:val="single" w:color="000000" w:sz="4" w:space="0"/>
              <w:right w:val="single" w:color="000000" w:sz="4" w:space="0"/>
            </w:tcBorders>
            <w:shd w:val="clear" w:color="auto" w:fill="FFFFFF"/>
            <w:tcMar>
              <w:top w:w="15" w:type="dxa"/>
              <w:left w:w="108" w:type="dxa"/>
              <w:bottom w:w="15" w:type="dxa"/>
              <w:right w:w="108" w:type="dxa"/>
            </w:tcMar>
            <w:vAlign w:val="center"/>
          </w:tcPr>
          <w:p>
            <w:pPr>
              <w:widowControl/>
              <w:spacing w:line="360" w:lineRule="auto"/>
              <w:jc w:val="center"/>
              <w:rPr>
                <w:rFonts w:ascii="仿宋" w:hAnsi="仿宋" w:eastAsia="仿宋" w:cs="仿宋"/>
                <w:sz w:val="24"/>
                <w:szCs w:val="24"/>
              </w:rPr>
            </w:pPr>
            <w:r>
              <w:rPr>
                <w:rFonts w:ascii="仿宋" w:hAnsi="仿宋" w:eastAsia="仿宋" w:cs="仿宋"/>
                <w:sz w:val="24"/>
                <w:szCs w:val="24"/>
              </w:rPr>
              <w:t>1</w:t>
            </w:r>
            <w:r>
              <w:rPr>
                <w:rFonts w:hint="eastAsia" w:ascii="仿宋" w:hAnsi="仿宋" w:eastAsia="仿宋" w:cs="仿宋"/>
                <w:sz w:val="24"/>
                <w:szCs w:val="24"/>
              </w:rPr>
              <w:t>5</w:t>
            </w:r>
          </w:p>
        </w:tc>
        <w:tc>
          <w:tcPr>
            <w:tcW w:w="619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08" w:type="dxa"/>
              <w:bottom w:w="15" w:type="dxa"/>
              <w:right w:w="108" w:type="dxa"/>
            </w:tcMar>
            <w:vAlign w:val="center"/>
          </w:tcPr>
          <w:p>
            <w:pPr>
              <w:widowControl/>
              <w:spacing w:line="360" w:lineRule="auto"/>
              <w:rPr>
                <w:rFonts w:ascii="仿宋" w:hAnsi="仿宋" w:eastAsia="仿宋" w:cs="仿宋"/>
                <w:sz w:val="24"/>
                <w:szCs w:val="24"/>
              </w:rPr>
            </w:pPr>
            <w:r>
              <w:rPr>
                <w:rFonts w:hint="eastAsia" w:ascii="仿宋" w:hAnsi="仿宋" w:eastAsia="仿宋" w:cs="仿宋"/>
                <w:sz w:val="24"/>
                <w:szCs w:val="24"/>
              </w:rPr>
              <w:t>1、拟派本项目的项目负责人（</w:t>
            </w:r>
            <w:r>
              <w:rPr>
                <w:rFonts w:ascii="仿宋" w:hAnsi="仿宋" w:eastAsia="仿宋" w:cs="仿宋"/>
                <w:sz w:val="24"/>
                <w:szCs w:val="24"/>
              </w:rPr>
              <w:t>6</w:t>
            </w:r>
            <w:r>
              <w:rPr>
                <w:rFonts w:hint="eastAsia" w:ascii="仿宋" w:hAnsi="仿宋" w:eastAsia="仿宋" w:cs="仿宋"/>
                <w:sz w:val="24"/>
                <w:szCs w:val="24"/>
              </w:rPr>
              <w:t>分）:</w:t>
            </w:r>
            <w:r>
              <w:rPr>
                <w:rFonts w:ascii="仿宋" w:hAnsi="仿宋" w:eastAsia="仿宋" w:cs="仿宋"/>
                <w:sz w:val="24"/>
                <w:szCs w:val="24"/>
              </w:rPr>
              <w:t>具有</w:t>
            </w:r>
            <w:r>
              <w:rPr>
                <w:rFonts w:hint="eastAsia" w:ascii="仿宋" w:hAnsi="仿宋" w:eastAsia="仿宋" w:cs="仿宋"/>
                <w:sz w:val="24"/>
                <w:szCs w:val="24"/>
              </w:rPr>
              <w:t>注册会计师和税务师</w:t>
            </w:r>
            <w:r>
              <w:rPr>
                <w:rFonts w:ascii="仿宋" w:hAnsi="仿宋" w:eastAsia="仿宋" w:cs="仿宋"/>
                <w:sz w:val="24"/>
                <w:szCs w:val="24"/>
              </w:rPr>
              <w:t>以上职称</w:t>
            </w:r>
            <w:r>
              <w:rPr>
                <w:rFonts w:hint="eastAsia" w:ascii="仿宋" w:hAnsi="仿宋" w:eastAsia="仿宋" w:cs="仿宋"/>
                <w:sz w:val="24"/>
                <w:szCs w:val="24"/>
              </w:rPr>
              <w:t>得</w:t>
            </w:r>
            <w:r>
              <w:rPr>
                <w:rFonts w:ascii="仿宋" w:hAnsi="仿宋" w:eastAsia="仿宋" w:cs="仿宋"/>
                <w:sz w:val="24"/>
                <w:szCs w:val="24"/>
              </w:rPr>
              <w:t>6分</w:t>
            </w:r>
            <w:r>
              <w:rPr>
                <w:rFonts w:hint="eastAsia" w:ascii="仿宋" w:hAnsi="仿宋" w:eastAsia="仿宋" w:cs="仿宋"/>
                <w:sz w:val="24"/>
                <w:szCs w:val="24"/>
              </w:rPr>
              <w:t>，本项最高得</w:t>
            </w:r>
            <w:r>
              <w:rPr>
                <w:rFonts w:ascii="仿宋" w:hAnsi="仿宋" w:eastAsia="仿宋" w:cs="仿宋"/>
                <w:sz w:val="24"/>
                <w:szCs w:val="24"/>
              </w:rPr>
              <w:t>6</w:t>
            </w:r>
            <w:r>
              <w:rPr>
                <w:rFonts w:hint="eastAsia" w:ascii="仿宋" w:hAnsi="仿宋" w:eastAsia="仿宋" w:cs="仿宋"/>
                <w:sz w:val="24"/>
                <w:szCs w:val="24"/>
              </w:rPr>
              <w:t>分。</w:t>
            </w:r>
          </w:p>
          <w:p>
            <w:pPr>
              <w:widowControl/>
              <w:spacing w:line="360" w:lineRule="auto"/>
              <w:rPr>
                <w:rFonts w:ascii="仿宋" w:hAnsi="仿宋" w:eastAsia="仿宋" w:cs="仿宋"/>
                <w:sz w:val="24"/>
                <w:szCs w:val="24"/>
              </w:rPr>
            </w:pPr>
            <w:r>
              <w:rPr>
                <w:rFonts w:hint="eastAsia" w:ascii="仿宋" w:hAnsi="仿宋" w:eastAsia="仿宋" w:cs="仿宋"/>
                <w:sz w:val="24"/>
                <w:szCs w:val="24"/>
              </w:rPr>
              <w:t>2、项目组主要人员（</w:t>
            </w:r>
            <w:r>
              <w:rPr>
                <w:rFonts w:ascii="仿宋" w:hAnsi="仿宋" w:eastAsia="仿宋" w:cs="仿宋"/>
                <w:sz w:val="24"/>
                <w:szCs w:val="24"/>
              </w:rPr>
              <w:t>15</w:t>
            </w:r>
            <w:r>
              <w:rPr>
                <w:rFonts w:hint="eastAsia" w:ascii="仿宋" w:hAnsi="仿宋" w:eastAsia="仿宋" w:cs="仿宋"/>
                <w:sz w:val="24"/>
                <w:szCs w:val="24"/>
              </w:rPr>
              <w:t>分）</w:t>
            </w:r>
          </w:p>
          <w:p>
            <w:pPr>
              <w:widowControl/>
              <w:spacing w:line="360" w:lineRule="auto"/>
              <w:rPr>
                <w:rFonts w:ascii="仿宋" w:hAnsi="仿宋" w:eastAsia="仿宋" w:cs="仿宋"/>
                <w:sz w:val="24"/>
                <w:szCs w:val="24"/>
              </w:rPr>
            </w:pPr>
            <w:r>
              <w:rPr>
                <w:rFonts w:hint="eastAsia" w:ascii="仿宋" w:hAnsi="仿宋" w:eastAsia="仿宋" w:cs="仿宋"/>
                <w:sz w:val="24"/>
                <w:szCs w:val="24"/>
              </w:rPr>
              <w:t>相关服务人员（</w:t>
            </w:r>
            <w:r>
              <w:rPr>
                <w:rFonts w:ascii="仿宋" w:hAnsi="仿宋" w:eastAsia="仿宋" w:cs="仿宋"/>
                <w:sz w:val="24"/>
                <w:szCs w:val="24"/>
              </w:rPr>
              <w:t>9</w:t>
            </w:r>
            <w:r>
              <w:rPr>
                <w:rFonts w:hint="eastAsia" w:ascii="仿宋" w:hAnsi="仿宋" w:eastAsia="仿宋" w:cs="仿宋"/>
                <w:sz w:val="24"/>
                <w:szCs w:val="24"/>
              </w:rPr>
              <w:t>分）: 拟派往本项目的专职人员中每有1个具备注册会计师或税务师职称的得</w:t>
            </w:r>
            <w:r>
              <w:rPr>
                <w:rFonts w:ascii="仿宋" w:hAnsi="仿宋" w:eastAsia="仿宋" w:cs="仿宋"/>
                <w:sz w:val="24"/>
                <w:szCs w:val="24"/>
              </w:rPr>
              <w:t>3</w:t>
            </w:r>
            <w:r>
              <w:rPr>
                <w:rFonts w:hint="eastAsia" w:ascii="仿宋" w:hAnsi="仿宋" w:eastAsia="仿宋" w:cs="仿宋"/>
                <w:sz w:val="24"/>
                <w:szCs w:val="24"/>
              </w:rPr>
              <w:t>分，本项最高得</w:t>
            </w:r>
            <w:r>
              <w:rPr>
                <w:rFonts w:ascii="仿宋" w:hAnsi="仿宋" w:eastAsia="仿宋" w:cs="仿宋"/>
                <w:sz w:val="24"/>
                <w:szCs w:val="24"/>
              </w:rPr>
              <w:t>9</w:t>
            </w:r>
            <w:r>
              <w:rPr>
                <w:rFonts w:hint="eastAsia" w:ascii="仿宋" w:hAnsi="仿宋" w:eastAsia="仿宋" w:cs="仿宋"/>
                <w:sz w:val="24"/>
                <w:szCs w:val="24"/>
              </w:rPr>
              <w:t>分。</w:t>
            </w:r>
          </w:p>
        </w:tc>
      </w:tr>
      <w:tr>
        <w:trPr>
          <w:trHeight w:val="893" w:hRule="atLeast"/>
        </w:trPr>
        <w:tc>
          <w:tcPr>
            <w:tcW w:w="654" w:type="dxa"/>
            <w:tcBorders>
              <w:top w:val="single" w:color="auto" w:sz="4" w:space="0"/>
              <w:left w:val="single" w:color="auto" w:sz="4" w:space="0"/>
              <w:bottom w:val="single" w:color="auto" w:sz="4" w:space="0"/>
              <w:right w:val="single" w:color="auto" w:sz="4" w:space="0"/>
            </w:tcBorders>
            <w:tcMar>
              <w:top w:w="15" w:type="dxa"/>
              <w:left w:w="108" w:type="dxa"/>
              <w:bottom w:w="15" w:type="dxa"/>
              <w:right w:w="108" w:type="dxa"/>
            </w:tcMar>
            <w:vAlign w:val="center"/>
          </w:tcPr>
          <w:p>
            <w:pPr>
              <w:widowControl/>
              <w:spacing w:line="360" w:lineRule="auto"/>
              <w:jc w:val="center"/>
              <w:rPr>
                <w:rFonts w:ascii="仿宋" w:hAnsi="仿宋" w:eastAsia="仿宋" w:cs="仿宋"/>
                <w:sz w:val="24"/>
                <w:szCs w:val="24"/>
              </w:rPr>
            </w:pPr>
            <w:r>
              <w:rPr>
                <w:rFonts w:hint="eastAsia" w:ascii="仿宋" w:hAnsi="仿宋" w:eastAsia="仿宋" w:cs="仿宋"/>
                <w:kern w:val="0"/>
                <w:sz w:val="24"/>
                <w:szCs w:val="24"/>
              </w:rPr>
              <w:t>3</w:t>
            </w:r>
          </w:p>
        </w:tc>
        <w:tc>
          <w:tcPr>
            <w:tcW w:w="1466" w:type="dxa"/>
            <w:tcBorders>
              <w:top w:val="single" w:color="auto" w:sz="4" w:space="0"/>
              <w:left w:val="single" w:color="auto" w:sz="4" w:space="0"/>
              <w:bottom w:val="single" w:color="auto" w:sz="4" w:space="0"/>
              <w:right w:val="single" w:color="auto" w:sz="4" w:space="0"/>
            </w:tcBorders>
            <w:tcMar>
              <w:top w:w="15" w:type="dxa"/>
              <w:left w:w="108" w:type="dxa"/>
              <w:bottom w:w="15" w:type="dxa"/>
              <w:right w:w="108" w:type="dxa"/>
            </w:tcMar>
            <w:vAlign w:val="center"/>
          </w:tcPr>
          <w:p>
            <w:pPr>
              <w:widowControl/>
              <w:spacing w:line="360" w:lineRule="auto"/>
              <w:jc w:val="center"/>
              <w:rPr>
                <w:rFonts w:ascii="仿宋" w:hAnsi="仿宋" w:eastAsia="仿宋" w:cs="仿宋"/>
                <w:sz w:val="24"/>
                <w:szCs w:val="24"/>
              </w:rPr>
            </w:pPr>
            <w:r>
              <w:rPr>
                <w:rFonts w:hint="eastAsia" w:ascii="仿宋" w:hAnsi="仿宋" w:eastAsia="仿宋" w:cs="仿宋"/>
                <w:kern w:val="0"/>
                <w:sz w:val="24"/>
                <w:szCs w:val="24"/>
              </w:rPr>
              <w:t>业绩</w:t>
            </w:r>
          </w:p>
          <w:p>
            <w:pPr>
              <w:widowControl/>
              <w:spacing w:line="360" w:lineRule="auto"/>
              <w:jc w:val="center"/>
              <w:rPr>
                <w:rFonts w:ascii="仿宋" w:hAnsi="仿宋" w:eastAsia="仿宋" w:cs="仿宋"/>
                <w:sz w:val="24"/>
                <w:szCs w:val="24"/>
              </w:rPr>
            </w:pPr>
            <w:r>
              <w:rPr>
                <w:rFonts w:hint="eastAsia" w:ascii="仿宋" w:hAnsi="仿宋" w:eastAsia="仿宋" w:cs="仿宋"/>
                <w:kern w:val="0"/>
                <w:sz w:val="24"/>
                <w:szCs w:val="24"/>
              </w:rPr>
              <w:t>15%</w:t>
            </w:r>
          </w:p>
        </w:tc>
        <w:tc>
          <w:tcPr>
            <w:tcW w:w="902" w:type="dxa"/>
            <w:tcBorders>
              <w:top w:val="single" w:color="000000" w:sz="4" w:space="0"/>
              <w:left w:val="single" w:color="auto" w:sz="4" w:space="0"/>
              <w:bottom w:val="single" w:color="000000" w:sz="4" w:space="0"/>
              <w:right w:val="single" w:color="000000" w:sz="4" w:space="0"/>
            </w:tcBorders>
            <w:shd w:val="clear" w:color="auto" w:fill="FFFFFF"/>
            <w:tcMar>
              <w:top w:w="15" w:type="dxa"/>
              <w:left w:w="108" w:type="dxa"/>
              <w:bottom w:w="15" w:type="dxa"/>
              <w:right w:w="108" w:type="dxa"/>
            </w:tcMar>
            <w:vAlign w:val="center"/>
          </w:tcPr>
          <w:p>
            <w:pPr>
              <w:widowControl/>
              <w:spacing w:line="360" w:lineRule="auto"/>
              <w:jc w:val="center"/>
              <w:rPr>
                <w:rFonts w:ascii="仿宋" w:hAnsi="仿宋" w:eastAsia="仿宋" w:cs="仿宋"/>
                <w:sz w:val="24"/>
                <w:szCs w:val="24"/>
              </w:rPr>
            </w:pPr>
            <w:r>
              <w:rPr>
                <w:rFonts w:hint="eastAsia" w:ascii="仿宋" w:hAnsi="仿宋" w:eastAsia="仿宋" w:cs="仿宋"/>
                <w:sz w:val="24"/>
                <w:szCs w:val="24"/>
              </w:rPr>
              <w:t>15</w:t>
            </w:r>
          </w:p>
        </w:tc>
        <w:tc>
          <w:tcPr>
            <w:tcW w:w="619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08" w:type="dxa"/>
              <w:bottom w:w="15" w:type="dxa"/>
              <w:right w:w="108" w:type="dxa"/>
            </w:tcMar>
            <w:vAlign w:val="center"/>
          </w:tcPr>
          <w:p>
            <w:pPr>
              <w:widowControl/>
              <w:spacing w:line="360" w:lineRule="auto"/>
              <w:rPr>
                <w:rFonts w:ascii="仿宋" w:hAnsi="仿宋" w:eastAsia="仿宋" w:cs="仿宋"/>
                <w:sz w:val="24"/>
                <w:szCs w:val="24"/>
              </w:rPr>
            </w:pPr>
            <w:r>
              <w:rPr>
                <w:rFonts w:hint="eastAsia" w:ascii="仿宋" w:hAnsi="仿宋" w:eastAsia="仿宋" w:cs="仿宋"/>
                <w:sz w:val="24"/>
                <w:szCs w:val="24"/>
              </w:rPr>
              <w:t>1、每提供1个类似土地增值税清算业绩的，得</w:t>
            </w:r>
            <w:r>
              <w:rPr>
                <w:rFonts w:ascii="仿宋" w:hAnsi="仿宋" w:eastAsia="仿宋" w:cs="仿宋"/>
                <w:sz w:val="24"/>
                <w:szCs w:val="24"/>
              </w:rPr>
              <w:t>5</w:t>
            </w:r>
            <w:r>
              <w:rPr>
                <w:rFonts w:hint="eastAsia" w:ascii="仿宋" w:hAnsi="仿宋" w:eastAsia="仿宋" w:cs="仿宋"/>
                <w:sz w:val="24"/>
                <w:szCs w:val="24"/>
              </w:rPr>
              <w:t xml:space="preserve"> 分；本项最高得</w:t>
            </w:r>
            <w:r>
              <w:rPr>
                <w:rFonts w:ascii="仿宋" w:hAnsi="仿宋" w:eastAsia="仿宋" w:cs="仿宋"/>
                <w:sz w:val="24"/>
                <w:szCs w:val="24"/>
              </w:rPr>
              <w:t>15</w:t>
            </w:r>
            <w:r>
              <w:rPr>
                <w:rFonts w:hint="eastAsia" w:ascii="仿宋" w:hAnsi="仿宋" w:eastAsia="仿宋" w:cs="仿宋"/>
                <w:sz w:val="24"/>
                <w:szCs w:val="24"/>
              </w:rPr>
              <w:t>分。</w:t>
            </w:r>
          </w:p>
          <w:p>
            <w:pPr>
              <w:widowControl/>
              <w:spacing w:line="360" w:lineRule="auto"/>
              <w:rPr>
                <w:rFonts w:ascii="仿宋" w:hAnsi="仿宋" w:eastAsia="仿宋" w:cs="仿宋"/>
                <w:sz w:val="24"/>
                <w:szCs w:val="24"/>
                <w:lang w:bidi="ar"/>
              </w:rPr>
            </w:pPr>
            <w:r>
              <w:rPr>
                <w:rFonts w:hint="eastAsia" w:ascii="仿宋" w:hAnsi="仿宋" w:eastAsia="仿宋" w:cs="仿宋"/>
                <w:sz w:val="24"/>
                <w:szCs w:val="24"/>
              </w:rPr>
              <w:t>注：提供合同复印件。</w:t>
            </w:r>
          </w:p>
        </w:tc>
      </w:tr>
      <w:tr>
        <w:trPr>
          <w:trHeight w:val="893" w:hRule="atLeast"/>
        </w:trPr>
        <w:tc>
          <w:tcPr>
            <w:tcW w:w="654" w:type="dxa"/>
            <w:tcBorders>
              <w:top w:val="single" w:color="auto" w:sz="4" w:space="0"/>
              <w:left w:val="single" w:color="auto" w:sz="4" w:space="0"/>
              <w:bottom w:val="single" w:color="auto" w:sz="4" w:space="0"/>
              <w:right w:val="single" w:color="auto" w:sz="4" w:space="0"/>
            </w:tcBorders>
            <w:tcMar>
              <w:top w:w="15" w:type="dxa"/>
              <w:left w:w="108" w:type="dxa"/>
              <w:bottom w:w="15" w:type="dxa"/>
              <w:right w:w="108" w:type="dxa"/>
            </w:tcMar>
            <w:vAlign w:val="center"/>
          </w:tcPr>
          <w:p>
            <w:pPr>
              <w:widowControl/>
              <w:spacing w:line="360" w:lineRule="auto"/>
              <w:jc w:val="center"/>
              <w:rPr>
                <w:rFonts w:ascii="仿宋" w:hAnsi="仿宋" w:eastAsia="仿宋" w:cs="仿宋"/>
                <w:sz w:val="24"/>
                <w:szCs w:val="24"/>
              </w:rPr>
            </w:pPr>
            <w:r>
              <w:rPr>
                <w:rFonts w:hint="eastAsia" w:ascii="仿宋" w:hAnsi="仿宋" w:eastAsia="仿宋" w:cs="仿宋"/>
                <w:kern w:val="0"/>
                <w:sz w:val="24"/>
                <w:szCs w:val="24"/>
              </w:rPr>
              <w:t>4</w:t>
            </w:r>
          </w:p>
        </w:tc>
        <w:tc>
          <w:tcPr>
            <w:tcW w:w="1466" w:type="dxa"/>
            <w:tcBorders>
              <w:top w:val="single" w:color="auto" w:sz="4" w:space="0"/>
              <w:left w:val="single" w:color="auto" w:sz="4" w:space="0"/>
              <w:bottom w:val="single" w:color="auto" w:sz="4" w:space="0"/>
              <w:right w:val="single" w:color="auto" w:sz="4" w:space="0"/>
            </w:tcBorders>
            <w:tcMar>
              <w:top w:w="15" w:type="dxa"/>
              <w:left w:w="108" w:type="dxa"/>
              <w:bottom w:w="15" w:type="dxa"/>
              <w:right w:w="108" w:type="dxa"/>
            </w:tcMar>
            <w:vAlign w:val="center"/>
          </w:tcPr>
          <w:p>
            <w:pPr>
              <w:widowControl/>
              <w:spacing w:line="360" w:lineRule="auto"/>
              <w:jc w:val="center"/>
              <w:rPr>
                <w:rFonts w:ascii="仿宋" w:hAnsi="仿宋" w:eastAsia="仿宋" w:cs="仿宋"/>
                <w:sz w:val="24"/>
                <w:szCs w:val="24"/>
              </w:rPr>
            </w:pPr>
            <w:r>
              <w:rPr>
                <w:rFonts w:hint="eastAsia" w:ascii="仿宋" w:hAnsi="仿宋" w:eastAsia="仿宋" w:cs="仿宋"/>
                <w:kern w:val="0"/>
                <w:sz w:val="24"/>
                <w:szCs w:val="24"/>
              </w:rPr>
              <w:t>方案</w:t>
            </w:r>
          </w:p>
          <w:p>
            <w:pPr>
              <w:widowControl/>
              <w:spacing w:line="360" w:lineRule="auto"/>
              <w:jc w:val="center"/>
              <w:rPr>
                <w:rFonts w:ascii="仿宋" w:hAnsi="仿宋" w:eastAsia="仿宋" w:cs="仿宋"/>
                <w:sz w:val="24"/>
                <w:szCs w:val="24"/>
              </w:rPr>
            </w:pPr>
            <w:r>
              <w:rPr>
                <w:rFonts w:ascii="仿宋" w:hAnsi="仿宋" w:eastAsia="仿宋" w:cs="仿宋"/>
                <w:kern w:val="0"/>
                <w:sz w:val="24"/>
                <w:szCs w:val="24"/>
              </w:rPr>
              <w:t>50</w:t>
            </w:r>
            <w:r>
              <w:rPr>
                <w:rFonts w:hint="eastAsia" w:ascii="仿宋" w:hAnsi="仿宋" w:eastAsia="仿宋" w:cs="仿宋"/>
                <w:kern w:val="0"/>
                <w:sz w:val="24"/>
                <w:szCs w:val="24"/>
              </w:rPr>
              <w:t>%</w:t>
            </w:r>
          </w:p>
        </w:tc>
        <w:tc>
          <w:tcPr>
            <w:tcW w:w="902" w:type="dxa"/>
            <w:tcBorders>
              <w:top w:val="single" w:color="000000" w:sz="4" w:space="0"/>
              <w:left w:val="single" w:color="auto" w:sz="4" w:space="0"/>
              <w:bottom w:val="single" w:color="000000" w:sz="4" w:space="0"/>
              <w:right w:val="single" w:color="000000" w:sz="4" w:space="0"/>
            </w:tcBorders>
            <w:shd w:val="clear" w:color="auto" w:fill="FFFFFF"/>
            <w:tcMar>
              <w:top w:w="15" w:type="dxa"/>
              <w:left w:w="108" w:type="dxa"/>
              <w:bottom w:w="15" w:type="dxa"/>
              <w:right w:w="108" w:type="dxa"/>
            </w:tcMar>
            <w:vAlign w:val="center"/>
          </w:tcPr>
          <w:p>
            <w:pPr>
              <w:widowControl/>
              <w:spacing w:line="360" w:lineRule="auto"/>
              <w:jc w:val="center"/>
              <w:rPr>
                <w:rFonts w:ascii="仿宋" w:hAnsi="仿宋" w:eastAsia="仿宋" w:cs="仿宋"/>
                <w:sz w:val="24"/>
                <w:szCs w:val="24"/>
              </w:rPr>
            </w:pPr>
            <w:r>
              <w:rPr>
                <w:rFonts w:ascii="仿宋" w:hAnsi="仿宋" w:eastAsia="仿宋" w:cs="仿宋"/>
                <w:sz w:val="24"/>
                <w:szCs w:val="24"/>
              </w:rPr>
              <w:t>50</w:t>
            </w:r>
          </w:p>
        </w:tc>
        <w:tc>
          <w:tcPr>
            <w:tcW w:w="619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08" w:type="dxa"/>
              <w:bottom w:w="15" w:type="dxa"/>
              <w:right w:w="108" w:type="dxa"/>
            </w:tcMar>
            <w:vAlign w:val="center"/>
          </w:tcPr>
          <w:p>
            <w:pPr>
              <w:widowControl/>
              <w:spacing w:line="360" w:lineRule="auto"/>
              <w:jc w:val="left"/>
              <w:rPr>
                <w:rFonts w:ascii="仿宋" w:hAnsi="仿宋" w:eastAsia="仿宋" w:cs="仿宋"/>
                <w:sz w:val="24"/>
                <w:szCs w:val="24"/>
              </w:rPr>
            </w:pPr>
            <w:r>
              <w:rPr>
                <w:rFonts w:hint="eastAsia" w:ascii="仿宋" w:hAnsi="仿宋" w:eastAsia="仿宋" w:cs="仿宋"/>
                <w:sz w:val="24"/>
                <w:szCs w:val="24"/>
              </w:rPr>
              <w:t>服务方案要点全面，与项目需求吻合度高（</w:t>
            </w:r>
            <w:r>
              <w:rPr>
                <w:rFonts w:ascii="仿宋" w:hAnsi="仿宋" w:eastAsia="仿宋" w:cs="仿宋"/>
                <w:sz w:val="24"/>
                <w:szCs w:val="24"/>
              </w:rPr>
              <w:t>40-50分）；</w:t>
            </w:r>
          </w:p>
          <w:p>
            <w:pPr>
              <w:widowControl/>
              <w:spacing w:line="360" w:lineRule="auto"/>
              <w:jc w:val="left"/>
              <w:rPr>
                <w:rFonts w:ascii="仿宋" w:hAnsi="仿宋" w:eastAsia="仿宋" w:cs="仿宋"/>
                <w:sz w:val="24"/>
                <w:szCs w:val="24"/>
              </w:rPr>
            </w:pPr>
            <w:r>
              <w:rPr>
                <w:rFonts w:hint="eastAsia" w:ascii="仿宋" w:hAnsi="仿宋" w:eastAsia="仿宋" w:cs="仿宋"/>
                <w:sz w:val="24"/>
                <w:szCs w:val="24"/>
              </w:rPr>
              <w:t>服务方案要点不全面，与项目需求吻合度一般（</w:t>
            </w:r>
            <w:r>
              <w:rPr>
                <w:rFonts w:ascii="仿宋" w:hAnsi="仿宋" w:eastAsia="仿宋" w:cs="仿宋"/>
                <w:sz w:val="24"/>
                <w:szCs w:val="24"/>
              </w:rPr>
              <w:t>20-40分）；</w:t>
            </w:r>
          </w:p>
          <w:p>
            <w:pPr>
              <w:widowControl/>
              <w:spacing w:line="360" w:lineRule="auto"/>
              <w:jc w:val="left"/>
              <w:rPr>
                <w:rFonts w:ascii="仿宋" w:hAnsi="仿宋" w:eastAsia="仿宋" w:cs="仿宋"/>
                <w:sz w:val="24"/>
                <w:szCs w:val="24"/>
              </w:rPr>
            </w:pPr>
            <w:r>
              <w:rPr>
                <w:rFonts w:hint="eastAsia" w:ascii="仿宋" w:hAnsi="仿宋" w:eastAsia="仿宋" w:cs="仿宋"/>
                <w:sz w:val="24"/>
                <w:szCs w:val="24"/>
              </w:rPr>
              <w:t>服务解决方案针对性差（0</w:t>
            </w:r>
            <w:r>
              <w:rPr>
                <w:rFonts w:ascii="仿宋" w:hAnsi="仿宋" w:eastAsia="仿宋" w:cs="仿宋"/>
                <w:sz w:val="24"/>
                <w:szCs w:val="24"/>
              </w:rPr>
              <w:t>-20分）</w:t>
            </w:r>
          </w:p>
        </w:tc>
      </w:tr>
      <w:tr>
        <w:trPr>
          <w:trHeight w:val="893" w:hRule="atLeast"/>
        </w:trPr>
        <w:tc>
          <w:tcPr>
            <w:tcW w:w="654" w:type="dxa"/>
            <w:tcBorders>
              <w:top w:val="single" w:color="auto" w:sz="4" w:space="0"/>
              <w:left w:val="single" w:color="auto" w:sz="4" w:space="0"/>
              <w:bottom w:val="single" w:color="auto" w:sz="4" w:space="0"/>
              <w:right w:val="single" w:color="auto" w:sz="4" w:space="0"/>
            </w:tcBorders>
            <w:tcMar>
              <w:top w:w="15" w:type="dxa"/>
              <w:left w:w="108" w:type="dxa"/>
              <w:bottom w:w="15" w:type="dxa"/>
              <w:right w:w="108" w:type="dxa"/>
            </w:tcMar>
            <w:vAlign w:val="center"/>
          </w:tcPr>
          <w:p>
            <w:pPr>
              <w:widowControl/>
              <w:spacing w:line="360" w:lineRule="auto"/>
              <w:jc w:val="center"/>
              <w:rPr>
                <w:rFonts w:ascii="仿宋" w:hAnsi="仿宋" w:eastAsia="仿宋" w:cs="仿宋"/>
                <w:sz w:val="24"/>
                <w:szCs w:val="24"/>
              </w:rPr>
            </w:pPr>
            <w:r>
              <w:rPr>
                <w:rFonts w:hint="eastAsia" w:ascii="仿宋" w:hAnsi="仿宋" w:eastAsia="仿宋" w:cs="仿宋"/>
                <w:kern w:val="0"/>
                <w:sz w:val="24"/>
                <w:szCs w:val="24"/>
              </w:rPr>
              <w:t>5</w:t>
            </w:r>
          </w:p>
        </w:tc>
        <w:tc>
          <w:tcPr>
            <w:tcW w:w="1466" w:type="dxa"/>
            <w:tcBorders>
              <w:top w:val="single" w:color="auto" w:sz="4" w:space="0"/>
              <w:left w:val="single" w:color="auto" w:sz="4" w:space="0"/>
              <w:bottom w:val="single" w:color="auto" w:sz="4" w:space="0"/>
              <w:right w:val="single" w:color="auto" w:sz="4" w:space="0"/>
            </w:tcBorders>
            <w:tcMar>
              <w:top w:w="15" w:type="dxa"/>
              <w:left w:w="108" w:type="dxa"/>
              <w:bottom w:w="15" w:type="dxa"/>
              <w:right w:w="108" w:type="dxa"/>
            </w:tcMar>
            <w:vAlign w:val="center"/>
          </w:tcPr>
          <w:p>
            <w:pPr>
              <w:widowControl/>
              <w:spacing w:line="360" w:lineRule="auto"/>
              <w:jc w:val="center"/>
              <w:rPr>
                <w:rFonts w:ascii="仿宋" w:hAnsi="仿宋" w:eastAsia="仿宋" w:cs="仿宋"/>
                <w:sz w:val="24"/>
                <w:szCs w:val="24"/>
              </w:rPr>
            </w:pPr>
            <w:r>
              <w:rPr>
                <w:rFonts w:hint="eastAsia" w:ascii="仿宋" w:hAnsi="仿宋" w:eastAsia="仿宋" w:cs="仿宋"/>
                <w:kern w:val="0"/>
                <w:sz w:val="24"/>
                <w:szCs w:val="24"/>
              </w:rPr>
              <w:t>报价</w:t>
            </w:r>
          </w:p>
          <w:p>
            <w:pPr>
              <w:widowControl/>
              <w:spacing w:line="360" w:lineRule="auto"/>
              <w:jc w:val="center"/>
              <w:rPr>
                <w:rFonts w:ascii="仿宋" w:hAnsi="仿宋" w:eastAsia="仿宋" w:cs="仿宋"/>
                <w:sz w:val="24"/>
                <w:szCs w:val="24"/>
              </w:rPr>
            </w:pPr>
            <w:r>
              <w:rPr>
                <w:rFonts w:ascii="仿宋" w:hAnsi="仿宋" w:eastAsia="仿宋" w:cs="仿宋"/>
                <w:kern w:val="0"/>
                <w:sz w:val="24"/>
                <w:szCs w:val="24"/>
              </w:rPr>
              <w:t>10</w:t>
            </w:r>
            <w:r>
              <w:rPr>
                <w:rFonts w:hint="eastAsia" w:ascii="仿宋" w:hAnsi="仿宋" w:eastAsia="仿宋" w:cs="仿宋"/>
                <w:kern w:val="0"/>
                <w:sz w:val="24"/>
                <w:szCs w:val="24"/>
              </w:rPr>
              <w:t>%</w:t>
            </w:r>
          </w:p>
        </w:tc>
        <w:tc>
          <w:tcPr>
            <w:tcW w:w="902" w:type="dxa"/>
            <w:tcBorders>
              <w:top w:val="single" w:color="000000" w:sz="4" w:space="0"/>
              <w:left w:val="single" w:color="auto" w:sz="4" w:space="0"/>
              <w:bottom w:val="single" w:color="000000" w:sz="4" w:space="0"/>
              <w:right w:val="single" w:color="000000" w:sz="4" w:space="0"/>
            </w:tcBorders>
            <w:shd w:val="clear" w:color="auto" w:fill="FFFFFF"/>
            <w:tcMar>
              <w:top w:w="15" w:type="dxa"/>
              <w:left w:w="108" w:type="dxa"/>
              <w:bottom w:w="15" w:type="dxa"/>
              <w:right w:w="108" w:type="dxa"/>
            </w:tcMar>
            <w:vAlign w:val="center"/>
          </w:tcPr>
          <w:p>
            <w:pPr>
              <w:widowControl/>
              <w:spacing w:line="360" w:lineRule="auto"/>
              <w:jc w:val="center"/>
              <w:rPr>
                <w:rFonts w:ascii="仿宋" w:hAnsi="仿宋" w:eastAsia="仿宋" w:cs="仿宋"/>
                <w:sz w:val="24"/>
                <w:szCs w:val="24"/>
              </w:rPr>
            </w:pPr>
            <w:r>
              <w:rPr>
                <w:rFonts w:ascii="仿宋" w:hAnsi="仿宋" w:eastAsia="仿宋" w:cs="仿宋"/>
                <w:sz w:val="24"/>
                <w:szCs w:val="24"/>
              </w:rPr>
              <w:t>10</w:t>
            </w:r>
          </w:p>
        </w:tc>
        <w:tc>
          <w:tcPr>
            <w:tcW w:w="6194" w:type="dxa"/>
            <w:tcBorders>
              <w:top w:val="single" w:color="000000" w:sz="4" w:space="0"/>
              <w:left w:val="single" w:color="000000" w:sz="4" w:space="0"/>
              <w:bottom w:val="single" w:color="000000" w:sz="4" w:space="0"/>
              <w:right w:val="single" w:color="000000" w:sz="4" w:space="0"/>
            </w:tcBorders>
            <w:shd w:val="clear" w:color="auto" w:fill="FFFFFF"/>
            <w:tcMar>
              <w:top w:w="15" w:type="dxa"/>
              <w:left w:w="108" w:type="dxa"/>
              <w:bottom w:w="15" w:type="dxa"/>
              <w:right w:w="108" w:type="dxa"/>
            </w:tcMar>
            <w:vAlign w:val="center"/>
          </w:tcPr>
          <w:p>
            <w:pPr>
              <w:widowControl/>
              <w:spacing w:line="360" w:lineRule="auto"/>
              <w:rPr>
                <w:rFonts w:ascii="仿宋" w:hAnsi="仿宋" w:eastAsia="仿宋" w:cs="仿宋"/>
                <w:sz w:val="24"/>
                <w:szCs w:val="24"/>
              </w:rPr>
            </w:pPr>
            <w:r>
              <w:rPr>
                <w:rFonts w:hint="eastAsia" w:ascii="仿宋" w:hAnsi="仿宋" w:eastAsia="仿宋" w:cs="仿宋"/>
                <w:sz w:val="24"/>
                <w:szCs w:val="24"/>
              </w:rPr>
              <w:t>1</w:t>
            </w:r>
            <w:r>
              <w:rPr>
                <w:rFonts w:ascii="仿宋" w:hAnsi="仿宋" w:eastAsia="仿宋" w:cs="仿宋"/>
                <w:sz w:val="24"/>
                <w:szCs w:val="24"/>
              </w:rPr>
              <w:t xml:space="preserve">   </w:t>
            </w:r>
            <w:r>
              <w:rPr>
                <w:rFonts w:hint="eastAsia" w:ascii="仿宋" w:hAnsi="仿宋" w:eastAsia="仿宋" w:cs="仿宋"/>
                <w:sz w:val="24"/>
                <w:szCs w:val="24"/>
              </w:rPr>
              <w:t>参选单位中固定报价最低（</w:t>
            </w:r>
            <w:r>
              <w:rPr>
                <w:rFonts w:ascii="仿宋" w:hAnsi="仿宋" w:eastAsia="仿宋" w:cs="仿宋"/>
                <w:sz w:val="24"/>
                <w:szCs w:val="24"/>
              </w:rPr>
              <w:t>5分）；</w:t>
            </w:r>
          </w:p>
          <w:p>
            <w:pPr>
              <w:widowControl/>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参选单位中固定报价次低（</w:t>
            </w:r>
            <w:r>
              <w:rPr>
                <w:rFonts w:ascii="仿宋" w:hAnsi="仿宋" w:eastAsia="仿宋" w:cs="仿宋"/>
                <w:sz w:val="24"/>
                <w:szCs w:val="24"/>
              </w:rPr>
              <w:t>3分）；</w:t>
            </w:r>
          </w:p>
          <w:p>
            <w:pPr>
              <w:widowControl/>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参选单位中固定报价最高（</w:t>
            </w:r>
            <w:r>
              <w:rPr>
                <w:rFonts w:ascii="仿宋" w:hAnsi="仿宋" w:eastAsia="仿宋" w:cs="仿宋"/>
                <w:sz w:val="24"/>
                <w:szCs w:val="24"/>
              </w:rPr>
              <w:t>1分）</w:t>
            </w:r>
            <w:r>
              <w:rPr>
                <w:rFonts w:hint="eastAsia" w:ascii="仿宋" w:hAnsi="仿宋" w:eastAsia="仿宋" w:cs="仿宋"/>
                <w:sz w:val="24"/>
                <w:szCs w:val="24"/>
              </w:rPr>
              <w:t>。</w:t>
            </w:r>
          </w:p>
          <w:p>
            <w:pPr>
              <w:widowControl/>
              <w:spacing w:line="360" w:lineRule="auto"/>
              <w:rPr>
                <w:rFonts w:ascii="仿宋" w:hAnsi="仿宋" w:eastAsia="仿宋" w:cs="仿宋"/>
                <w:sz w:val="24"/>
                <w:szCs w:val="24"/>
              </w:rPr>
            </w:pPr>
            <w:r>
              <w:rPr>
                <w:rFonts w:hint="eastAsia" w:ascii="仿宋" w:hAnsi="仿宋" w:eastAsia="仿宋" w:cs="仿宋"/>
                <w:sz w:val="24"/>
                <w:szCs w:val="24"/>
              </w:rPr>
              <w:t>2、参选单位中浮动报价比例最低（</w:t>
            </w:r>
            <w:r>
              <w:rPr>
                <w:rFonts w:ascii="仿宋" w:hAnsi="仿宋" w:eastAsia="仿宋" w:cs="仿宋"/>
                <w:sz w:val="24"/>
                <w:szCs w:val="24"/>
              </w:rPr>
              <w:t>5分）；</w:t>
            </w:r>
          </w:p>
          <w:p>
            <w:pPr>
              <w:widowControl/>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参选单位中浮动报价比例次低（</w:t>
            </w:r>
            <w:r>
              <w:rPr>
                <w:rFonts w:ascii="仿宋" w:hAnsi="仿宋" w:eastAsia="仿宋" w:cs="仿宋"/>
                <w:sz w:val="24"/>
                <w:szCs w:val="24"/>
              </w:rPr>
              <w:t>3分）；</w:t>
            </w:r>
          </w:p>
          <w:p>
            <w:pPr>
              <w:widowControl/>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参选单位中浮动报价比例最高（</w:t>
            </w:r>
            <w:r>
              <w:rPr>
                <w:rFonts w:ascii="仿宋" w:hAnsi="仿宋" w:eastAsia="仿宋" w:cs="仿宋"/>
                <w:sz w:val="24"/>
                <w:szCs w:val="24"/>
              </w:rPr>
              <w:t>1分）</w:t>
            </w:r>
            <w:r>
              <w:rPr>
                <w:rFonts w:hint="eastAsia" w:ascii="仿宋" w:hAnsi="仿宋" w:eastAsia="仿宋" w:cs="仿宋"/>
                <w:sz w:val="24"/>
                <w:szCs w:val="24"/>
              </w:rPr>
              <w:t>。</w:t>
            </w:r>
          </w:p>
        </w:tc>
      </w:tr>
    </w:tbl>
    <w:p>
      <w:pPr>
        <w:snapToGrid w:val="0"/>
        <w:spacing w:line="520" w:lineRule="exact"/>
        <w:rPr>
          <w:rFonts w:ascii="宋体" w:hAnsi="宋体"/>
          <w:sz w:val="24"/>
        </w:rPr>
      </w:pPr>
    </w:p>
    <w:p>
      <w:pPr>
        <w:snapToGrid w:val="0"/>
        <w:spacing w:line="520" w:lineRule="exact"/>
        <w:rPr>
          <w:rFonts w:hint="eastAsia" w:ascii="仿宋" w:hAnsi="仿宋" w:eastAsia="仿宋"/>
          <w:sz w:val="24"/>
        </w:rPr>
      </w:pPr>
    </w:p>
    <w:p>
      <w:pPr>
        <w:snapToGrid w:val="0"/>
        <w:spacing w:line="520" w:lineRule="exact"/>
        <w:rPr>
          <w:rFonts w:hint="eastAsia" w:ascii="仿宋" w:hAnsi="仿宋" w:eastAsia="仿宋"/>
          <w:sz w:val="24"/>
        </w:rPr>
      </w:pPr>
    </w:p>
    <w:p>
      <w:pPr>
        <w:snapToGrid w:val="0"/>
        <w:spacing w:line="520" w:lineRule="exact"/>
        <w:rPr>
          <w:rFonts w:hint="eastAsia" w:ascii="仿宋" w:hAnsi="仿宋" w:eastAsia="仿宋"/>
          <w:sz w:val="24"/>
        </w:rPr>
      </w:pPr>
    </w:p>
    <w:p>
      <w:pPr>
        <w:snapToGrid w:val="0"/>
        <w:spacing w:line="520" w:lineRule="exact"/>
        <w:rPr>
          <w:rFonts w:hint="eastAsia" w:ascii="仿宋" w:hAnsi="仿宋" w:eastAsia="仿宋"/>
          <w:sz w:val="24"/>
        </w:rPr>
      </w:pPr>
    </w:p>
    <w:p>
      <w:pPr>
        <w:snapToGrid w:val="0"/>
        <w:spacing w:line="520" w:lineRule="exact"/>
        <w:rPr>
          <w:rFonts w:hint="eastAsia" w:ascii="仿宋" w:hAnsi="仿宋" w:eastAsia="仿宋"/>
          <w:sz w:val="24"/>
        </w:rPr>
      </w:pPr>
    </w:p>
    <w:p>
      <w:pPr>
        <w:snapToGrid w:val="0"/>
        <w:spacing w:line="520" w:lineRule="exact"/>
        <w:rPr>
          <w:rFonts w:hint="eastAsia" w:ascii="仿宋" w:hAnsi="仿宋" w:eastAsia="仿宋"/>
          <w:sz w:val="24"/>
        </w:rPr>
      </w:pPr>
    </w:p>
    <w:p>
      <w:pPr>
        <w:snapToGrid w:val="0"/>
        <w:spacing w:line="520" w:lineRule="exact"/>
        <w:rPr>
          <w:rFonts w:hint="eastAsia" w:ascii="仿宋" w:hAnsi="仿宋" w:eastAsia="仿宋"/>
          <w:sz w:val="24"/>
        </w:rPr>
      </w:pPr>
    </w:p>
    <w:p>
      <w:pPr>
        <w:snapToGrid w:val="0"/>
        <w:spacing w:line="520" w:lineRule="exact"/>
        <w:rPr>
          <w:rFonts w:hint="eastAsia" w:ascii="仿宋" w:hAnsi="仿宋" w:eastAsia="仿宋"/>
          <w:sz w:val="24"/>
        </w:rPr>
      </w:pPr>
    </w:p>
    <w:p>
      <w:pPr>
        <w:snapToGrid w:val="0"/>
        <w:spacing w:line="520" w:lineRule="exact"/>
        <w:rPr>
          <w:rFonts w:hint="eastAsia" w:ascii="仿宋" w:hAnsi="仿宋" w:eastAsia="仿宋"/>
          <w:sz w:val="24"/>
        </w:rPr>
      </w:pPr>
    </w:p>
    <w:p>
      <w:pPr>
        <w:snapToGrid w:val="0"/>
        <w:spacing w:line="520" w:lineRule="exact"/>
        <w:rPr>
          <w:rFonts w:ascii="仿宋" w:hAnsi="仿宋" w:eastAsia="仿宋"/>
          <w:sz w:val="24"/>
        </w:rPr>
      </w:pPr>
      <w:r>
        <w:rPr>
          <w:rFonts w:hint="eastAsia" w:ascii="仿宋" w:hAnsi="仿宋" w:eastAsia="仿宋"/>
          <w:sz w:val="24"/>
        </w:rPr>
        <w:t>附件3：</w:t>
      </w:r>
    </w:p>
    <w:p>
      <w:pPr>
        <w:snapToGrid w:val="0"/>
        <w:spacing w:line="520" w:lineRule="exact"/>
        <w:jc w:val="center"/>
        <w:rPr>
          <w:rFonts w:ascii="仿宋" w:hAnsi="仿宋" w:eastAsia="仿宋" w:cs="仿宋"/>
          <w:sz w:val="28"/>
          <w:szCs w:val="28"/>
        </w:rPr>
      </w:pPr>
      <w:r>
        <w:rPr>
          <w:rFonts w:hint="eastAsia" w:ascii="仿宋" w:hAnsi="仿宋" w:eastAsia="仿宋" w:cs="仿宋"/>
          <w:sz w:val="28"/>
          <w:szCs w:val="28"/>
        </w:rPr>
        <w:t>单项服务固定收费标准报价单</w:t>
      </w:r>
    </w:p>
    <w:tbl>
      <w:tblPr>
        <w:tblStyle w:val="7"/>
        <w:tblW w:w="538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84"/>
        <w:gridCol w:w="4596"/>
        <w:gridCol w:w="26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081" w:type="pct"/>
          </w:tcPr>
          <w:p>
            <w:pPr>
              <w:snapToGrid w:val="0"/>
              <w:spacing w:line="520" w:lineRule="exact"/>
              <w:jc w:val="center"/>
              <w:rPr>
                <w:rFonts w:ascii="仿宋" w:hAnsi="仿宋" w:eastAsia="仿宋"/>
                <w:sz w:val="24"/>
              </w:rPr>
            </w:pPr>
            <w:r>
              <w:rPr>
                <w:rFonts w:hint="eastAsia" w:ascii="仿宋" w:hAnsi="仿宋" w:eastAsia="仿宋"/>
                <w:sz w:val="24"/>
              </w:rPr>
              <w:t>序号</w:t>
            </w:r>
          </w:p>
        </w:tc>
        <w:tc>
          <w:tcPr>
            <w:tcW w:w="2503" w:type="pct"/>
          </w:tcPr>
          <w:p>
            <w:pPr>
              <w:snapToGrid w:val="0"/>
              <w:spacing w:line="520" w:lineRule="exact"/>
              <w:jc w:val="center"/>
              <w:rPr>
                <w:rFonts w:ascii="仿宋" w:hAnsi="仿宋" w:eastAsia="仿宋"/>
                <w:sz w:val="24"/>
              </w:rPr>
            </w:pPr>
            <w:r>
              <w:rPr>
                <w:rFonts w:hint="eastAsia" w:ascii="仿宋" w:hAnsi="仿宋" w:eastAsia="仿宋"/>
                <w:sz w:val="24"/>
              </w:rPr>
              <w:t>服务项目</w:t>
            </w:r>
          </w:p>
        </w:tc>
        <w:tc>
          <w:tcPr>
            <w:tcW w:w="1416" w:type="pct"/>
          </w:tcPr>
          <w:p>
            <w:pPr>
              <w:snapToGrid w:val="0"/>
              <w:spacing w:line="520" w:lineRule="exact"/>
              <w:jc w:val="center"/>
              <w:rPr>
                <w:rFonts w:ascii="仿宋" w:hAnsi="仿宋" w:eastAsia="仿宋"/>
                <w:sz w:val="24"/>
              </w:rPr>
            </w:pPr>
            <w:r>
              <w:rPr>
                <w:rFonts w:hint="eastAsia" w:ascii="仿宋" w:hAnsi="仿宋" w:eastAsia="仿宋"/>
                <w:sz w:val="24"/>
              </w:rPr>
              <w:t>单项固定金额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081" w:type="pct"/>
            <w:vAlign w:val="center"/>
          </w:tcPr>
          <w:p>
            <w:pPr>
              <w:snapToGrid w:val="0"/>
              <w:spacing w:line="520" w:lineRule="exact"/>
              <w:jc w:val="center"/>
              <w:rPr>
                <w:rFonts w:ascii="仿宋" w:hAnsi="仿宋" w:eastAsia="仿宋"/>
                <w:sz w:val="24"/>
              </w:rPr>
            </w:pPr>
            <w:r>
              <w:rPr>
                <w:rFonts w:hint="eastAsia" w:ascii="仿宋" w:hAnsi="仿宋" w:eastAsia="仿宋"/>
                <w:sz w:val="24"/>
              </w:rPr>
              <w:t>1</w:t>
            </w:r>
          </w:p>
        </w:tc>
        <w:tc>
          <w:tcPr>
            <w:tcW w:w="2503" w:type="pct"/>
          </w:tcPr>
          <w:p>
            <w:pPr>
              <w:snapToGrid w:val="0"/>
              <w:spacing w:line="520" w:lineRule="exact"/>
              <w:jc w:val="center"/>
              <w:rPr>
                <w:rFonts w:ascii="仿宋" w:hAnsi="仿宋" w:eastAsia="仿宋"/>
                <w:sz w:val="24"/>
              </w:rPr>
            </w:pPr>
          </w:p>
        </w:tc>
        <w:tc>
          <w:tcPr>
            <w:tcW w:w="1416" w:type="pct"/>
          </w:tcPr>
          <w:p>
            <w:pPr>
              <w:snapToGrid w:val="0"/>
              <w:spacing w:line="520" w:lineRule="exact"/>
              <w:jc w:val="center"/>
              <w:rPr>
                <w:rFonts w:ascii="仿宋" w:hAnsi="仿宋" w:eastAsia="仿宋"/>
                <w:sz w:val="24"/>
              </w:rPr>
            </w:pPr>
          </w:p>
        </w:tc>
      </w:tr>
    </w:tbl>
    <w:p>
      <w:pPr>
        <w:snapToGrid w:val="0"/>
        <w:spacing w:line="520" w:lineRule="exact"/>
        <w:rPr>
          <w:rFonts w:ascii="仿宋" w:hAnsi="仿宋" w:eastAsia="仿宋" w:cs="仿宋"/>
          <w:sz w:val="28"/>
          <w:szCs w:val="28"/>
        </w:rPr>
      </w:pPr>
      <w:r>
        <w:rPr>
          <w:rFonts w:hint="eastAsia" w:ascii="仿宋" w:hAnsi="仿宋" w:eastAsia="仿宋" w:cs="仿宋"/>
          <w:sz w:val="28"/>
          <w:szCs w:val="28"/>
        </w:rPr>
        <w:t>注：单项固定金额不得超过5</w:t>
      </w:r>
      <w:r>
        <w:rPr>
          <w:rFonts w:ascii="仿宋" w:hAnsi="仿宋" w:eastAsia="仿宋" w:cs="仿宋"/>
          <w:sz w:val="28"/>
          <w:szCs w:val="28"/>
        </w:rPr>
        <w:t>0</w:t>
      </w:r>
      <w:r>
        <w:rPr>
          <w:rFonts w:hint="eastAsia" w:ascii="仿宋" w:hAnsi="仿宋" w:eastAsia="仿宋" w:cs="仿宋"/>
          <w:sz w:val="28"/>
          <w:szCs w:val="28"/>
        </w:rPr>
        <w:t>万，金额以万元为单位填写。</w:t>
      </w:r>
    </w:p>
    <w:p>
      <w:pPr>
        <w:snapToGrid w:val="0"/>
        <w:spacing w:line="520" w:lineRule="exact"/>
        <w:jc w:val="center"/>
        <w:rPr>
          <w:rFonts w:ascii="仿宋" w:hAnsi="仿宋" w:eastAsia="仿宋" w:cs="仿宋"/>
          <w:sz w:val="28"/>
          <w:szCs w:val="28"/>
        </w:rPr>
      </w:pPr>
    </w:p>
    <w:p>
      <w:pPr>
        <w:snapToGrid w:val="0"/>
        <w:spacing w:line="520" w:lineRule="exact"/>
        <w:jc w:val="center"/>
        <w:rPr>
          <w:rFonts w:ascii="仿宋" w:hAnsi="仿宋" w:eastAsia="仿宋" w:cs="仿宋"/>
          <w:sz w:val="28"/>
          <w:szCs w:val="28"/>
        </w:rPr>
      </w:pPr>
      <w:r>
        <w:rPr>
          <w:rFonts w:hint="eastAsia" w:ascii="仿宋" w:hAnsi="仿宋" w:eastAsia="仿宋" w:cs="仿宋"/>
          <w:sz w:val="28"/>
          <w:szCs w:val="28"/>
        </w:rPr>
        <w:t>税务审核浮动收费标准</w:t>
      </w:r>
    </w:p>
    <w:tbl>
      <w:tblPr>
        <w:tblStyle w:val="7"/>
        <w:tblW w:w="538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75"/>
        <w:gridCol w:w="3261"/>
        <w:gridCol w:w="2413"/>
        <w:gridCol w:w="283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0" w:hRule="atLeast"/>
        </w:trPr>
        <w:tc>
          <w:tcPr>
            <w:tcW w:w="368" w:type="pct"/>
            <w:vAlign w:val="center"/>
          </w:tcPr>
          <w:p>
            <w:pPr>
              <w:snapToGrid w:val="0"/>
              <w:spacing w:line="520" w:lineRule="exact"/>
              <w:jc w:val="center"/>
              <w:rPr>
                <w:rFonts w:ascii="仿宋" w:hAnsi="仿宋" w:eastAsia="仿宋" w:cs="仿宋"/>
                <w:sz w:val="28"/>
                <w:szCs w:val="28"/>
              </w:rPr>
            </w:pPr>
            <w:r>
              <w:rPr>
                <w:rFonts w:hint="eastAsia" w:ascii="仿宋" w:hAnsi="仿宋" w:eastAsia="仿宋" w:cs="仿宋"/>
                <w:sz w:val="28"/>
                <w:szCs w:val="28"/>
              </w:rPr>
              <w:t>序号</w:t>
            </w:r>
          </w:p>
        </w:tc>
        <w:tc>
          <w:tcPr>
            <w:tcW w:w="1776" w:type="pct"/>
            <w:vAlign w:val="center"/>
          </w:tcPr>
          <w:p>
            <w:pPr>
              <w:snapToGrid w:val="0"/>
              <w:spacing w:line="520" w:lineRule="exact"/>
              <w:jc w:val="center"/>
              <w:rPr>
                <w:rFonts w:ascii="仿宋" w:hAnsi="仿宋" w:eastAsia="仿宋" w:cs="仿宋"/>
                <w:sz w:val="28"/>
                <w:szCs w:val="28"/>
              </w:rPr>
            </w:pPr>
            <w:r>
              <w:rPr>
                <w:rFonts w:hint="eastAsia" w:ascii="仿宋" w:hAnsi="仿宋" w:eastAsia="仿宋" w:cs="仿宋"/>
                <w:sz w:val="28"/>
                <w:szCs w:val="28"/>
              </w:rPr>
              <w:t>计算基数</w:t>
            </w:r>
          </w:p>
        </w:tc>
        <w:tc>
          <w:tcPr>
            <w:tcW w:w="1314" w:type="pct"/>
            <w:vAlign w:val="center"/>
          </w:tcPr>
          <w:p>
            <w:pPr>
              <w:snapToGrid w:val="0"/>
              <w:spacing w:line="520" w:lineRule="exact"/>
              <w:jc w:val="center"/>
              <w:rPr>
                <w:rFonts w:ascii="仿宋" w:hAnsi="仿宋" w:eastAsia="仿宋" w:cs="仿宋"/>
                <w:sz w:val="28"/>
                <w:szCs w:val="28"/>
              </w:rPr>
            </w:pPr>
            <w:r>
              <w:rPr>
                <w:rFonts w:hint="eastAsia" w:ascii="仿宋" w:hAnsi="仿宋" w:eastAsia="仿宋" w:cs="仿宋"/>
                <w:sz w:val="28"/>
                <w:szCs w:val="28"/>
              </w:rPr>
              <w:t>节省金额</w:t>
            </w:r>
          </w:p>
        </w:tc>
        <w:tc>
          <w:tcPr>
            <w:tcW w:w="1542" w:type="pct"/>
            <w:tcBorders>
              <w:right w:val="single" w:color="auto" w:sz="4" w:space="0"/>
            </w:tcBorders>
            <w:vAlign w:val="center"/>
          </w:tcPr>
          <w:p>
            <w:pPr>
              <w:snapToGrid w:val="0"/>
              <w:spacing w:line="520" w:lineRule="exact"/>
              <w:jc w:val="center"/>
              <w:rPr>
                <w:rFonts w:ascii="仿宋" w:hAnsi="仿宋" w:eastAsia="仿宋" w:cs="仿宋"/>
                <w:sz w:val="28"/>
                <w:szCs w:val="28"/>
              </w:rPr>
            </w:pPr>
            <w:r>
              <w:rPr>
                <w:rFonts w:hint="eastAsia" w:ascii="仿宋" w:hAnsi="仿宋" w:eastAsia="仿宋" w:cs="仿宋"/>
                <w:sz w:val="28"/>
                <w:szCs w:val="28"/>
              </w:rPr>
              <w:t>单一收费比例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368" w:type="pct"/>
            <w:vAlign w:val="center"/>
          </w:tcPr>
          <w:p>
            <w:pPr>
              <w:snapToGrid w:val="0"/>
              <w:spacing w:line="520" w:lineRule="exact"/>
              <w:jc w:val="center"/>
              <w:rPr>
                <w:rFonts w:ascii="仿宋" w:hAnsi="仿宋" w:eastAsia="仿宋" w:cs="仿宋"/>
                <w:sz w:val="28"/>
                <w:szCs w:val="28"/>
              </w:rPr>
            </w:pPr>
            <w:r>
              <w:rPr>
                <w:rFonts w:hint="eastAsia" w:ascii="仿宋" w:hAnsi="仿宋" w:eastAsia="仿宋" w:cs="仿宋"/>
                <w:sz w:val="28"/>
                <w:szCs w:val="28"/>
              </w:rPr>
              <w:t>1</w:t>
            </w:r>
          </w:p>
        </w:tc>
        <w:tc>
          <w:tcPr>
            <w:tcW w:w="1776" w:type="pct"/>
            <w:vAlign w:val="center"/>
          </w:tcPr>
          <w:p>
            <w:pPr>
              <w:snapToGrid w:val="0"/>
              <w:spacing w:line="520" w:lineRule="exact"/>
              <w:rPr>
                <w:rFonts w:ascii="仿宋" w:hAnsi="仿宋" w:eastAsia="仿宋" w:cs="仿宋"/>
                <w:sz w:val="28"/>
                <w:szCs w:val="28"/>
              </w:rPr>
            </w:pPr>
            <w:r>
              <w:rPr>
                <w:rFonts w:hint="eastAsia" w:ascii="仿宋" w:hAnsi="仿宋" w:eastAsia="仿宋" w:cs="仿宋"/>
                <w:sz w:val="28"/>
                <w:szCs w:val="28"/>
              </w:rPr>
              <w:t>国家税务总局资阳市雁江区税务局债权申报金额5</w:t>
            </w:r>
            <w:r>
              <w:rPr>
                <w:rFonts w:ascii="仿宋" w:hAnsi="仿宋" w:eastAsia="仿宋" w:cs="仿宋"/>
                <w:sz w:val="28"/>
                <w:szCs w:val="28"/>
              </w:rPr>
              <w:t>37,116,774.23</w:t>
            </w:r>
            <w:r>
              <w:rPr>
                <w:rFonts w:hint="eastAsia" w:ascii="仿宋" w:hAnsi="仿宋" w:eastAsia="仿宋" w:cs="仿宋"/>
                <w:sz w:val="28"/>
                <w:szCs w:val="28"/>
              </w:rPr>
              <w:t>元</w:t>
            </w:r>
          </w:p>
        </w:tc>
        <w:tc>
          <w:tcPr>
            <w:tcW w:w="1314" w:type="pct"/>
            <w:vAlign w:val="center"/>
          </w:tcPr>
          <w:p>
            <w:pPr>
              <w:snapToGrid w:val="0"/>
              <w:spacing w:line="520" w:lineRule="exact"/>
              <w:jc w:val="center"/>
              <w:rPr>
                <w:rFonts w:ascii="仿宋" w:hAnsi="仿宋" w:eastAsia="仿宋" w:cs="仿宋"/>
                <w:sz w:val="28"/>
                <w:szCs w:val="28"/>
              </w:rPr>
            </w:pPr>
          </w:p>
        </w:tc>
        <w:tc>
          <w:tcPr>
            <w:tcW w:w="1542" w:type="pct"/>
            <w:tcBorders>
              <w:right w:val="single" w:color="auto" w:sz="4" w:space="0"/>
            </w:tcBorders>
            <w:vAlign w:val="center"/>
          </w:tcPr>
          <w:p>
            <w:pPr>
              <w:snapToGrid w:val="0"/>
              <w:spacing w:line="520" w:lineRule="exact"/>
              <w:jc w:val="center"/>
              <w:rPr>
                <w:rFonts w:ascii="仿宋" w:hAnsi="仿宋" w:eastAsia="仿宋" w:cs="仿宋"/>
                <w:sz w:val="28"/>
                <w:szCs w:val="28"/>
              </w:rPr>
            </w:pPr>
          </w:p>
        </w:tc>
      </w:tr>
    </w:tbl>
    <w:p>
      <w:pPr>
        <w:snapToGrid w:val="0"/>
        <w:spacing w:line="520" w:lineRule="exact"/>
        <w:jc w:val="left"/>
        <w:rPr>
          <w:rFonts w:ascii="仿宋" w:hAnsi="仿宋" w:eastAsia="仿宋" w:cs="仿宋"/>
          <w:sz w:val="28"/>
          <w:szCs w:val="28"/>
        </w:rPr>
      </w:pPr>
      <w:r>
        <w:rPr>
          <w:rFonts w:hint="eastAsia" w:ascii="仿宋" w:hAnsi="仿宋" w:eastAsia="仿宋" w:cs="仿宋"/>
          <w:sz w:val="28"/>
          <w:szCs w:val="28"/>
          <w:lang w:eastAsia="zh-Hans"/>
        </w:rPr>
        <w:t>注：按照节省金额的比例进行收费，单一收费比例不得超过</w:t>
      </w:r>
      <w:r>
        <w:rPr>
          <w:rFonts w:hint="eastAsia" w:ascii="仿宋" w:hAnsi="仿宋" w:eastAsia="仿宋" w:cs="仿宋"/>
          <w:sz w:val="28"/>
          <w:szCs w:val="28"/>
        </w:rPr>
        <w:t>5%。</w:t>
      </w:r>
    </w:p>
    <w:p>
      <w:pPr>
        <w:snapToGrid w:val="0"/>
        <w:spacing w:line="520" w:lineRule="exact"/>
        <w:ind w:firstLine="840" w:firstLineChars="300"/>
        <w:rPr>
          <w:rFonts w:ascii="仿宋" w:hAnsi="仿宋" w:eastAsia="仿宋" w:cs="仿宋"/>
          <w:sz w:val="28"/>
          <w:szCs w:val="28"/>
          <w:lang w:eastAsia="zh-Han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00000000" w:usb1="00000000" w:usb2="00000000" w:usb3="00000000" w:csb0="00160000"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00000000" w:usb1="00000000" w:usb2="00000000" w:usb3="00000000" w:csb0="00000000" w:csb1="00000000"/>
  </w:font>
  <w:font w:name="楷体_GB2312">
    <w:altName w:val="汉仪楷体简"/>
    <w:panose1 w:val="00000000000000000000"/>
    <w:charset w:val="86"/>
    <w:family w:val="modern"/>
    <w:pitch w:val="default"/>
    <w:sig w:usb0="00000000" w:usb1="00000000" w:usb2="00000000" w:usb3="00000000" w:csb0="00040000" w:csb1="00000000"/>
  </w:font>
  <w:font w:name="汉仪楷体简">
    <w:panose1 w:val="02010600000101010101"/>
    <w:charset w:val="86"/>
    <w:family w:val="auto"/>
    <w:pitch w:val="default"/>
    <w:sig w:usb0="00000000" w:usb1="00000000" w:usb2="00000000" w:usb3="00000000" w:csb0="00060000" w:csb1="00000000"/>
  </w:font>
  <w:font w:name="方正仿宋简体">
    <w:altName w:val="方正仿宋_GBK"/>
    <w:panose1 w:val="00000000000000000000"/>
    <w:charset w:val="86"/>
    <w:family w:val="script"/>
    <w:pitch w:val="default"/>
    <w:sig w:usb0="00000000" w:usb1="00000000" w:usb2="00000000" w:usb3="00000000" w:csb0="00040000" w:csb1="00000000"/>
  </w:font>
  <w:font w:name="方正仿宋_GBK">
    <w:panose1 w:val="02000000000000000000"/>
    <w:charset w:val="86"/>
    <w:family w:val="auto"/>
    <w:pitch w:val="default"/>
    <w:sig w:usb0="00000000" w:usb1="00000000" w:usb2="00000000" w:usb3="00000000" w:csb0="00160000" w:csb1="00000000"/>
  </w:font>
  <w:font w:name="仿宋">
    <w:altName w:val="方正仿宋_GBK"/>
    <w:panose1 w:val="02010609060101010101"/>
    <w:charset w:val="86"/>
    <w:family w:val="modern"/>
    <w:pitch w:val="default"/>
    <w:sig w:usb0="00000000" w:usb1="00000000" w:usb2="00000016" w:usb3="00000000" w:csb0="00040001" w:csb1="00000000"/>
  </w:font>
  <w:font w:name="PMingLiU">
    <w:altName w:val="宋体-繁"/>
    <w:panose1 w:val="02010601000101010101"/>
    <w:charset w:val="88"/>
    <w:family w:val="roman"/>
    <w:pitch w:val="default"/>
    <w:sig w:usb0="00000000" w:usb1="00000000" w:usb2="00000016" w:usb3="00000000" w:csb0="00100001" w:csb1="00000000"/>
  </w:font>
  <w:font w:name="宋体-繁">
    <w:panose1 w:val="02010600040101010101"/>
    <w:charset w:val="86"/>
    <w:family w:val="auto"/>
    <w:pitch w:val="default"/>
    <w:sig w:usb0="00000000" w:usb1="00000000" w:usb2="00000000" w:usb3="00000000" w:csb0="00160000" w:csb1="00000000"/>
  </w:font>
  <w:font w:name="冬青黑体简体中文">
    <w:panose1 w:val="020B0300000000000000"/>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7327273"/>
    </w:sdtPr>
    <w:sdtContent>
      <w:p>
        <w:pPr>
          <w:pStyle w:val="4"/>
          <w:jc w:val="center"/>
        </w:pPr>
        <w:r>
          <w:rPr>
            <w:rFonts w:hint="eastAsia"/>
          </w:rPr>
          <w:t>第</w:t>
        </w:r>
        <w:r>
          <w:fldChar w:fldCharType="begin"/>
        </w:r>
        <w:r>
          <w:instrText xml:space="preserve"> PAGE   \* MERGEFORMAT </w:instrText>
        </w:r>
        <w:r>
          <w:fldChar w:fldCharType="separate"/>
        </w:r>
        <w:r>
          <w:rPr>
            <w:lang w:val="zh-CN"/>
          </w:rPr>
          <w:t>8</w:t>
        </w:r>
        <w:r>
          <w:rPr>
            <w:lang w:val="zh-CN"/>
          </w:rPr>
          <w:fldChar w:fldCharType="end"/>
        </w:r>
        <w:r>
          <w:rPr>
            <w:rFonts w:hint="eastAsia"/>
          </w:rPr>
          <w:t>页，共</w:t>
        </w:r>
        <w:r>
          <w:t>7</w:t>
        </w:r>
        <w:r>
          <w:rPr>
            <w:rFonts w:hint="eastAsia"/>
          </w:rPr>
          <w:t>页</w:t>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2FCE6E1"/>
    <w:multiLevelType w:val="singleLevel"/>
    <w:tmpl w:val="62FCE6E1"/>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RhZDYxNTZkNzE2MTRmNmM3Y2U0NDBmZjU5YmQ2YjAifQ=="/>
  </w:docVars>
  <w:rsids>
    <w:rsidRoot w:val="00597BB6"/>
    <w:rsid w:val="0000430C"/>
    <w:rsid w:val="00031CFC"/>
    <w:rsid w:val="00035A74"/>
    <w:rsid w:val="00041270"/>
    <w:rsid w:val="000421B5"/>
    <w:rsid w:val="000569A9"/>
    <w:rsid w:val="00060E30"/>
    <w:rsid w:val="000912CE"/>
    <w:rsid w:val="00092C36"/>
    <w:rsid w:val="000A7327"/>
    <w:rsid w:val="000B37ED"/>
    <w:rsid w:val="000C20A6"/>
    <w:rsid w:val="000C2226"/>
    <w:rsid w:val="000C27B7"/>
    <w:rsid w:val="000D200E"/>
    <w:rsid w:val="000D41BC"/>
    <w:rsid w:val="000D5071"/>
    <w:rsid w:val="000E581E"/>
    <w:rsid w:val="000F4F64"/>
    <w:rsid w:val="00100768"/>
    <w:rsid w:val="00115AF4"/>
    <w:rsid w:val="001173EC"/>
    <w:rsid w:val="001311D2"/>
    <w:rsid w:val="00131643"/>
    <w:rsid w:val="00171E94"/>
    <w:rsid w:val="00175B2E"/>
    <w:rsid w:val="00194F3E"/>
    <w:rsid w:val="001B6EED"/>
    <w:rsid w:val="001C3A46"/>
    <w:rsid w:val="001D639B"/>
    <w:rsid w:val="001D6D7B"/>
    <w:rsid w:val="001F7354"/>
    <w:rsid w:val="00223CDD"/>
    <w:rsid w:val="00223E3F"/>
    <w:rsid w:val="00235B4F"/>
    <w:rsid w:val="0024387A"/>
    <w:rsid w:val="00247ABE"/>
    <w:rsid w:val="0025175A"/>
    <w:rsid w:val="0026540E"/>
    <w:rsid w:val="00272FB7"/>
    <w:rsid w:val="00275A90"/>
    <w:rsid w:val="00276343"/>
    <w:rsid w:val="002803AB"/>
    <w:rsid w:val="00284B52"/>
    <w:rsid w:val="00284C6E"/>
    <w:rsid w:val="0029262C"/>
    <w:rsid w:val="00297242"/>
    <w:rsid w:val="002A522F"/>
    <w:rsid w:val="002A689E"/>
    <w:rsid w:val="002B7A57"/>
    <w:rsid w:val="002C0777"/>
    <w:rsid w:val="002D5E4D"/>
    <w:rsid w:val="002F03E0"/>
    <w:rsid w:val="002F189F"/>
    <w:rsid w:val="002F5C89"/>
    <w:rsid w:val="00301E5C"/>
    <w:rsid w:val="003225EA"/>
    <w:rsid w:val="00360CE4"/>
    <w:rsid w:val="00372DA6"/>
    <w:rsid w:val="00382E75"/>
    <w:rsid w:val="003918E7"/>
    <w:rsid w:val="003A264C"/>
    <w:rsid w:val="003A2998"/>
    <w:rsid w:val="003A653B"/>
    <w:rsid w:val="003C1188"/>
    <w:rsid w:val="003C1A61"/>
    <w:rsid w:val="003D46FC"/>
    <w:rsid w:val="003E2EAD"/>
    <w:rsid w:val="003F2619"/>
    <w:rsid w:val="00402F0E"/>
    <w:rsid w:val="0042212E"/>
    <w:rsid w:val="004303C5"/>
    <w:rsid w:val="004305F5"/>
    <w:rsid w:val="00436B79"/>
    <w:rsid w:val="0045028C"/>
    <w:rsid w:val="0045190E"/>
    <w:rsid w:val="0049655F"/>
    <w:rsid w:val="004A417F"/>
    <w:rsid w:val="004D3234"/>
    <w:rsid w:val="004E1868"/>
    <w:rsid w:val="004F1FB3"/>
    <w:rsid w:val="004F5F19"/>
    <w:rsid w:val="0051755A"/>
    <w:rsid w:val="00522459"/>
    <w:rsid w:val="00550B11"/>
    <w:rsid w:val="00560007"/>
    <w:rsid w:val="005606D1"/>
    <w:rsid w:val="00560ACC"/>
    <w:rsid w:val="00572692"/>
    <w:rsid w:val="00572798"/>
    <w:rsid w:val="00572B70"/>
    <w:rsid w:val="00591ADC"/>
    <w:rsid w:val="00597BB6"/>
    <w:rsid w:val="005A1A54"/>
    <w:rsid w:val="005A3ECD"/>
    <w:rsid w:val="005C3E95"/>
    <w:rsid w:val="005D489D"/>
    <w:rsid w:val="005D79AC"/>
    <w:rsid w:val="005E4036"/>
    <w:rsid w:val="005E65A4"/>
    <w:rsid w:val="005F0DAA"/>
    <w:rsid w:val="0061160D"/>
    <w:rsid w:val="006177A7"/>
    <w:rsid w:val="00625301"/>
    <w:rsid w:val="00625D77"/>
    <w:rsid w:val="00636EE2"/>
    <w:rsid w:val="00644D81"/>
    <w:rsid w:val="006520BA"/>
    <w:rsid w:val="00663099"/>
    <w:rsid w:val="00665332"/>
    <w:rsid w:val="00672AC5"/>
    <w:rsid w:val="006757E2"/>
    <w:rsid w:val="00680BCA"/>
    <w:rsid w:val="00687F2C"/>
    <w:rsid w:val="006B103B"/>
    <w:rsid w:val="006D0009"/>
    <w:rsid w:val="006D221B"/>
    <w:rsid w:val="006D41D1"/>
    <w:rsid w:val="006E326D"/>
    <w:rsid w:val="006F30D9"/>
    <w:rsid w:val="007126C6"/>
    <w:rsid w:val="00721FBF"/>
    <w:rsid w:val="00723890"/>
    <w:rsid w:val="00724632"/>
    <w:rsid w:val="007302CC"/>
    <w:rsid w:val="00730EB1"/>
    <w:rsid w:val="00735F42"/>
    <w:rsid w:val="00744B64"/>
    <w:rsid w:val="00752E45"/>
    <w:rsid w:val="00770065"/>
    <w:rsid w:val="007956EE"/>
    <w:rsid w:val="007A30F9"/>
    <w:rsid w:val="007A39D6"/>
    <w:rsid w:val="007B3A9B"/>
    <w:rsid w:val="007B7625"/>
    <w:rsid w:val="007C18DC"/>
    <w:rsid w:val="007D47D9"/>
    <w:rsid w:val="007E6A72"/>
    <w:rsid w:val="00815279"/>
    <w:rsid w:val="00816EEE"/>
    <w:rsid w:val="00824D97"/>
    <w:rsid w:val="00832C28"/>
    <w:rsid w:val="00833FD9"/>
    <w:rsid w:val="00857502"/>
    <w:rsid w:val="00885E63"/>
    <w:rsid w:val="008B1083"/>
    <w:rsid w:val="008B22A6"/>
    <w:rsid w:val="008B23CF"/>
    <w:rsid w:val="008B45B6"/>
    <w:rsid w:val="008B56F6"/>
    <w:rsid w:val="008C0692"/>
    <w:rsid w:val="008D0D8D"/>
    <w:rsid w:val="008D4F36"/>
    <w:rsid w:val="008E39CC"/>
    <w:rsid w:val="008E6427"/>
    <w:rsid w:val="008E7CA8"/>
    <w:rsid w:val="009064B4"/>
    <w:rsid w:val="009414B3"/>
    <w:rsid w:val="00952D3A"/>
    <w:rsid w:val="0096762B"/>
    <w:rsid w:val="00973ECA"/>
    <w:rsid w:val="00984449"/>
    <w:rsid w:val="00995988"/>
    <w:rsid w:val="00997A20"/>
    <w:rsid w:val="009A16CC"/>
    <w:rsid w:val="009B29A1"/>
    <w:rsid w:val="009B5E93"/>
    <w:rsid w:val="009C3300"/>
    <w:rsid w:val="009F23D6"/>
    <w:rsid w:val="009F3580"/>
    <w:rsid w:val="00A11F66"/>
    <w:rsid w:val="00A13F07"/>
    <w:rsid w:val="00A3038B"/>
    <w:rsid w:val="00A50B42"/>
    <w:rsid w:val="00A75574"/>
    <w:rsid w:val="00A8157A"/>
    <w:rsid w:val="00A81C9D"/>
    <w:rsid w:val="00AA18B6"/>
    <w:rsid w:val="00AB2DD2"/>
    <w:rsid w:val="00AB4767"/>
    <w:rsid w:val="00AC1A84"/>
    <w:rsid w:val="00AC204D"/>
    <w:rsid w:val="00B208CA"/>
    <w:rsid w:val="00B23390"/>
    <w:rsid w:val="00B309C1"/>
    <w:rsid w:val="00B32472"/>
    <w:rsid w:val="00B358BA"/>
    <w:rsid w:val="00B41D10"/>
    <w:rsid w:val="00B439CA"/>
    <w:rsid w:val="00B43C3A"/>
    <w:rsid w:val="00B43E03"/>
    <w:rsid w:val="00B45D13"/>
    <w:rsid w:val="00B652CF"/>
    <w:rsid w:val="00B7339A"/>
    <w:rsid w:val="00B74A81"/>
    <w:rsid w:val="00BB7928"/>
    <w:rsid w:val="00BC68B9"/>
    <w:rsid w:val="00BD573C"/>
    <w:rsid w:val="00C02CD6"/>
    <w:rsid w:val="00C040AB"/>
    <w:rsid w:val="00C11B95"/>
    <w:rsid w:val="00C13896"/>
    <w:rsid w:val="00C167BB"/>
    <w:rsid w:val="00C25526"/>
    <w:rsid w:val="00C43B5A"/>
    <w:rsid w:val="00C455B4"/>
    <w:rsid w:val="00C64E06"/>
    <w:rsid w:val="00C82463"/>
    <w:rsid w:val="00C879B1"/>
    <w:rsid w:val="00CA7146"/>
    <w:rsid w:val="00CB0B9D"/>
    <w:rsid w:val="00CB5A80"/>
    <w:rsid w:val="00CC4B0F"/>
    <w:rsid w:val="00CD0CDC"/>
    <w:rsid w:val="00CD1F58"/>
    <w:rsid w:val="00CD5165"/>
    <w:rsid w:val="00CD68B1"/>
    <w:rsid w:val="00CE0991"/>
    <w:rsid w:val="00CE241E"/>
    <w:rsid w:val="00CE2783"/>
    <w:rsid w:val="00CE6269"/>
    <w:rsid w:val="00CF0620"/>
    <w:rsid w:val="00CF1455"/>
    <w:rsid w:val="00CF6D0F"/>
    <w:rsid w:val="00D002B8"/>
    <w:rsid w:val="00D2067A"/>
    <w:rsid w:val="00D23B44"/>
    <w:rsid w:val="00D33FBC"/>
    <w:rsid w:val="00D37706"/>
    <w:rsid w:val="00D51176"/>
    <w:rsid w:val="00D545D7"/>
    <w:rsid w:val="00D72895"/>
    <w:rsid w:val="00D82942"/>
    <w:rsid w:val="00D87A13"/>
    <w:rsid w:val="00D95A1C"/>
    <w:rsid w:val="00D97758"/>
    <w:rsid w:val="00DA5971"/>
    <w:rsid w:val="00DB387D"/>
    <w:rsid w:val="00DB3969"/>
    <w:rsid w:val="00DB701E"/>
    <w:rsid w:val="00DC12D3"/>
    <w:rsid w:val="00DE291B"/>
    <w:rsid w:val="00DE4ABE"/>
    <w:rsid w:val="00DF5C9C"/>
    <w:rsid w:val="00E11423"/>
    <w:rsid w:val="00E27FB6"/>
    <w:rsid w:val="00E35636"/>
    <w:rsid w:val="00E475DD"/>
    <w:rsid w:val="00E60763"/>
    <w:rsid w:val="00E8116A"/>
    <w:rsid w:val="00E8385B"/>
    <w:rsid w:val="00E86292"/>
    <w:rsid w:val="00EA6054"/>
    <w:rsid w:val="00EC4D7B"/>
    <w:rsid w:val="00ED5A6C"/>
    <w:rsid w:val="00EE6B9A"/>
    <w:rsid w:val="00EE70BD"/>
    <w:rsid w:val="00EF08D4"/>
    <w:rsid w:val="00F00A6D"/>
    <w:rsid w:val="00F14ADB"/>
    <w:rsid w:val="00F34A64"/>
    <w:rsid w:val="00F44F02"/>
    <w:rsid w:val="00F51105"/>
    <w:rsid w:val="00F52F7F"/>
    <w:rsid w:val="00F80A36"/>
    <w:rsid w:val="00FA1078"/>
    <w:rsid w:val="00FB0E35"/>
    <w:rsid w:val="00FB4345"/>
    <w:rsid w:val="00FD7443"/>
    <w:rsid w:val="00FF5C6E"/>
    <w:rsid w:val="036C334D"/>
    <w:rsid w:val="09582094"/>
    <w:rsid w:val="0B984D60"/>
    <w:rsid w:val="10F15E25"/>
    <w:rsid w:val="13124D16"/>
    <w:rsid w:val="14A50309"/>
    <w:rsid w:val="1FE230BF"/>
    <w:rsid w:val="249D06BB"/>
    <w:rsid w:val="2FB25651"/>
    <w:rsid w:val="32B653FC"/>
    <w:rsid w:val="347472C6"/>
    <w:rsid w:val="352B1D94"/>
    <w:rsid w:val="40F167F2"/>
    <w:rsid w:val="4F652159"/>
    <w:rsid w:val="52FC46A9"/>
    <w:rsid w:val="55EB3BDC"/>
    <w:rsid w:val="5AFD8C51"/>
    <w:rsid w:val="5CF06938"/>
    <w:rsid w:val="5FB62BC7"/>
    <w:rsid w:val="659B206D"/>
    <w:rsid w:val="67CA1969"/>
    <w:rsid w:val="69E94088"/>
    <w:rsid w:val="69FC1E52"/>
    <w:rsid w:val="6F9458B3"/>
    <w:rsid w:val="70E75A48"/>
    <w:rsid w:val="71334899"/>
    <w:rsid w:val="73890FDE"/>
    <w:rsid w:val="74B9247B"/>
    <w:rsid w:val="7F796B63"/>
    <w:rsid w:val="7FF71679"/>
    <w:rsid w:val="9CAF14C9"/>
    <w:rsid w:val="9FFE19B4"/>
    <w:rsid w:val="E3BEF18F"/>
    <w:rsid w:val="F737D29B"/>
    <w:rsid w:val="FEDB22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unhideWhenUsed/>
    <w:qFormat/>
    <w:uiPriority w:val="99"/>
    <w:pPr>
      <w:ind w:left="100" w:leftChars="2500"/>
    </w:pPr>
  </w:style>
  <w:style w:type="paragraph" w:styleId="3">
    <w:name w:val="Balloon Text"/>
    <w:basedOn w:val="1"/>
    <w:link w:val="19"/>
    <w:unhideWhenUsed/>
    <w:qFormat/>
    <w:uiPriority w:val="99"/>
    <w:rPr>
      <w:sz w:val="18"/>
      <w:szCs w:val="18"/>
    </w:rPr>
  </w:style>
  <w:style w:type="paragraph" w:styleId="4">
    <w:name w:val="footer"/>
    <w:basedOn w:val="1"/>
    <w:link w:val="11"/>
    <w:unhideWhenUsed/>
    <w:qFormat/>
    <w:uiPriority w:val="0"/>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rPr>
      <w:rFonts w:ascii="Times New Roman" w:hAnsi="Times New Roman" w:cs="Times New Roman"/>
      <w:sz w:val="24"/>
      <w:szCs w:val="24"/>
    </w:rPr>
  </w:style>
  <w:style w:type="character" w:styleId="9">
    <w:name w:val="Hyperlink"/>
    <w:basedOn w:val="8"/>
    <w:unhideWhenUsed/>
    <w:qFormat/>
    <w:uiPriority w:val="99"/>
    <w:rPr>
      <w:color w:val="0563C1" w:themeColor="hyperlink"/>
      <w:u w:val="single"/>
      <w14:textFill>
        <w14:solidFill>
          <w14:schemeClr w14:val="hlink"/>
        </w14:solidFill>
      </w14:textFill>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0"/>
    <w:rPr>
      <w:sz w:val="18"/>
      <w:szCs w:val="18"/>
    </w:rPr>
  </w:style>
  <w:style w:type="paragraph" w:customStyle="1" w:styleId="12">
    <w:name w:val="列表段落1"/>
    <w:basedOn w:val="1"/>
    <w:qFormat/>
    <w:uiPriority w:val="34"/>
    <w:pPr>
      <w:ind w:firstLine="420" w:firstLineChars="200"/>
    </w:pPr>
  </w:style>
  <w:style w:type="character" w:customStyle="1" w:styleId="13">
    <w:name w:val="未处理的提及1"/>
    <w:basedOn w:val="8"/>
    <w:unhideWhenUsed/>
    <w:qFormat/>
    <w:uiPriority w:val="99"/>
    <w:rPr>
      <w:color w:val="605E5C"/>
      <w:shd w:val="clear" w:color="auto" w:fill="E1DFDD"/>
    </w:rPr>
  </w:style>
  <w:style w:type="character" w:customStyle="1" w:styleId="14">
    <w:name w:val="日期 字符"/>
    <w:basedOn w:val="8"/>
    <w:link w:val="2"/>
    <w:semiHidden/>
    <w:qFormat/>
    <w:uiPriority w:val="99"/>
  </w:style>
  <w:style w:type="paragraph" w:customStyle="1" w:styleId="15">
    <w:name w:val="Body text|1"/>
    <w:basedOn w:val="1"/>
    <w:qFormat/>
    <w:uiPriority w:val="0"/>
    <w:pPr>
      <w:spacing w:line="432" w:lineRule="auto"/>
      <w:ind w:firstLine="400"/>
      <w:jc w:val="left"/>
    </w:pPr>
    <w:rPr>
      <w:rFonts w:ascii="宋体" w:hAnsi="宋体" w:eastAsia="宋体" w:cs="宋体"/>
      <w:color w:val="000000"/>
      <w:kern w:val="0"/>
      <w:sz w:val="22"/>
      <w:lang w:val="zh-TW" w:eastAsia="zh-TW" w:bidi="zh-TW"/>
    </w:rPr>
  </w:style>
  <w:style w:type="paragraph" w:customStyle="1" w:styleId="16">
    <w:name w:val="列出段落1"/>
    <w:basedOn w:val="1"/>
    <w:qFormat/>
    <w:uiPriority w:val="0"/>
    <w:pPr>
      <w:ind w:left="981" w:firstLine="420" w:firstLineChars="200"/>
      <w:jc w:val="left"/>
    </w:pPr>
    <w:rPr>
      <w:rFonts w:ascii="Arial" w:hAnsi="Arial" w:eastAsia="楷体_GB2312" w:cs="Arial"/>
      <w:color w:val="000000"/>
      <w:kern w:val="0"/>
      <w:sz w:val="24"/>
      <w:lang w:eastAsia="en-US" w:bidi="en-US"/>
    </w:rPr>
  </w:style>
  <w:style w:type="paragraph" w:customStyle="1" w:styleId="17">
    <w:name w:val="常用样式（方正仿宋简）"/>
    <w:basedOn w:val="1"/>
    <w:qFormat/>
    <w:uiPriority w:val="0"/>
    <w:pPr>
      <w:spacing w:line="560" w:lineRule="exact"/>
      <w:ind w:firstLine="640" w:firstLineChars="200"/>
      <w:jc w:val="left"/>
    </w:pPr>
    <w:rPr>
      <w:rFonts w:ascii="Times New Roman" w:hAnsi="Times New Roman" w:eastAsia="方正仿宋简体" w:cs="Times New Roman"/>
      <w:color w:val="000000"/>
      <w:kern w:val="0"/>
      <w:sz w:val="32"/>
      <w:szCs w:val="24"/>
      <w:lang w:eastAsia="en-US" w:bidi="en-US"/>
    </w:rPr>
  </w:style>
  <w:style w:type="paragraph" w:customStyle="1" w:styleId="18">
    <w:name w:val="K&amp;W Body text"/>
    <w:basedOn w:val="1"/>
    <w:qFormat/>
    <w:uiPriority w:val="0"/>
    <w:pPr>
      <w:widowControl/>
      <w:adjustRightInd w:val="0"/>
      <w:spacing w:after="280" w:line="240" w:lineRule="atLeast"/>
      <w:jc w:val="left"/>
    </w:pPr>
    <w:rPr>
      <w:rFonts w:ascii="Arial" w:hAnsi="Arial" w:eastAsia="楷体_GB2312" w:cs="Times New Roman"/>
      <w:color w:val="000000"/>
      <w:kern w:val="0"/>
      <w:sz w:val="20"/>
      <w:szCs w:val="20"/>
      <w:lang w:eastAsia="en-US" w:bidi="en-US"/>
    </w:rPr>
  </w:style>
  <w:style w:type="character" w:customStyle="1" w:styleId="19">
    <w:name w:val="批注框文本 字符"/>
    <w:basedOn w:val="8"/>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452</Words>
  <Characters>2579</Characters>
  <Lines>21</Lines>
  <Paragraphs>6</Paragraphs>
  <TotalTime>7</TotalTime>
  <ScaleCrop>false</ScaleCrop>
  <LinksUpToDate>false</LinksUpToDate>
  <CharactersWithSpaces>3025</CharactersWithSpaces>
  <Application>WPS Office_5.1.1.7676_F1E327BC-269C-435d-A152-05C5408002CA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2022-10-15T18:09:00Z</dcterms:created>
  <dc:creator>悦 悦</dc:creator>
  <cp:lastModifiedBy>Fairy♡</cp:lastModifiedBy>
  <cp:lastPrinted>2023-04-18T15:04:00Z</cp:lastPrinted>
  <dcterms:modified xsi:type="dcterms:W3CDTF">2023-04-23T19:45:04Z</dcterms:modified>
  <cp:revision>235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2052-5.1.1.7676</vt:lpwstr>
  </property>
  <property fmtid="{D5CDD505-2E9C-101B-9397-08002B2CF9AE}" pid="3" name="ICV">
    <vt:lpwstr>45EBE8F45B40FB42401A456454FA92F8</vt:lpwstr>
  </property>
</Properties>
</file>