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Pr>
        <w:keepNext w:val="0"/>
        <w:keepLines w:val="0"/>
        <w:pageBreakBefore w:val="0"/>
        <w:widowControl w:val="0"/>
        <w:numPr>
          <w:ilvl w:val="0"/>
          <w:numId w:val="0"/>
        </w:numPr>
        <w:tabs>
          <w:tab w:val="left" w:pos="6682"/>
        </w:tabs>
        <w:kinsoku/>
        <w:wordWrap/>
        <w:overflowPunct/>
        <w:topLinePunct w:val="0"/>
        <w:autoSpaceDE/>
        <w:autoSpaceDN/>
        <w:bidi w:val="0"/>
        <w:adjustRightInd/>
        <w:snapToGrid/>
        <w:spacing w:line="500" w:lineRule="exact"/>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numPr>
          <w:ilvl w:val="0"/>
          <w:numId w:val="0"/>
        </w:numPr>
        <w:tabs>
          <w:tab w:val="left" w:pos="6682"/>
        </w:tabs>
        <w:kinsoku/>
        <w:wordWrap/>
        <w:overflowPunct/>
        <w:topLinePunct w:val="0"/>
        <w:autoSpaceDE/>
        <w:autoSpaceDN/>
        <w:bidi w:val="0"/>
        <w:adjustRightInd/>
        <w:snapToGrid/>
        <w:spacing w:line="500" w:lineRule="exact"/>
        <w:ind w:firstLine="1920" w:firstLineChars="6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（2022）晋泰破管第35号</w:t>
      </w:r>
    </w:p>
    <w:p>
      <w:pPr>
        <w:keepNext w:val="0"/>
        <w:keepLines w:val="0"/>
        <w:pageBreakBefore w:val="0"/>
        <w:widowControl w:val="0"/>
        <w:numPr>
          <w:ilvl w:val="0"/>
          <w:numId w:val="0"/>
        </w:numPr>
        <w:tabs>
          <w:tab w:val="left" w:pos="6682"/>
        </w:tabs>
        <w:kinsoku/>
        <w:wordWrap/>
        <w:overflowPunct/>
        <w:topLinePunct w:val="0"/>
        <w:autoSpaceDE/>
        <w:autoSpaceDN/>
        <w:bidi w:val="0"/>
        <w:adjustRightInd/>
        <w:snapToGrid/>
        <w:spacing w:line="500" w:lineRule="exact"/>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tabs>
          <w:tab w:val="left" w:pos="6682"/>
        </w:tabs>
        <w:kinsoku/>
        <w:wordWrap/>
        <w:overflowPunct/>
        <w:topLinePunct w:val="0"/>
        <w:autoSpaceDE/>
        <w:autoSpaceDN/>
        <w:bidi w:val="0"/>
        <w:adjustRightInd/>
        <w:snapToGrid/>
        <w:spacing w:line="500" w:lineRule="exact"/>
        <w:ind w:firstLine="2160" w:firstLineChars="600"/>
        <w:jc w:val="both"/>
        <w:textAlignment w:val="auto"/>
        <w:outlineLvl w:val="9"/>
        <w:rPr>
          <w:rFonts w:hint="eastAsia" w:ascii="仿宋" w:hAnsi="仿宋" w:eastAsia="仿宋" w:cs="仿宋"/>
          <w:sz w:val="36"/>
          <w:szCs w:val="36"/>
          <w:lang w:eastAsia="zh-CN"/>
        </w:rPr>
      </w:pPr>
      <w:r>
        <w:rPr>
          <w:rFonts w:hint="eastAsia" w:ascii="仿宋" w:hAnsi="仿宋" w:eastAsia="仿宋" w:cs="仿宋"/>
          <w:sz w:val="36"/>
          <w:szCs w:val="36"/>
          <w:lang w:eastAsia="zh-CN"/>
        </w:rPr>
        <w:t>山西泰达矿业有限公司</w:t>
      </w:r>
      <w:r>
        <w:rPr>
          <w:rFonts w:hint="eastAsia" w:ascii="仿宋" w:hAnsi="仿宋" w:eastAsia="仿宋" w:cs="仿宋"/>
          <w:sz w:val="36"/>
          <w:szCs w:val="36"/>
          <w:lang w:eastAsia="zh-CN"/>
        </w:rPr>
        <w:tab/>
      </w:r>
    </w:p>
    <w:p>
      <w:pPr>
        <w:keepNext w:val="0"/>
        <w:keepLines w:val="0"/>
        <w:pageBreakBefore w:val="0"/>
        <w:widowControl w:val="0"/>
        <w:shd w:val="clear" w:fill="FFFFFF" w:themeFill="background1"/>
        <w:kinsoku/>
        <w:wordWrap/>
        <w:overflowPunct/>
        <w:topLinePunct w:val="0"/>
        <w:autoSpaceDE/>
        <w:autoSpaceDN/>
        <w:bidi w:val="0"/>
        <w:adjustRightInd/>
        <w:snapToGrid/>
        <w:spacing w:line="500" w:lineRule="exact"/>
        <w:ind w:firstLine="1800" w:firstLineChars="500"/>
        <w:jc w:val="both"/>
        <w:textAlignment w:val="auto"/>
        <w:outlineLvl w:val="9"/>
        <w:rPr>
          <w:rFonts w:hint="eastAsia" w:ascii="仿宋" w:hAnsi="仿宋" w:eastAsia="仿宋" w:cs="仿宋"/>
          <w:sz w:val="36"/>
          <w:szCs w:val="36"/>
        </w:rPr>
      </w:pPr>
      <w:r>
        <w:rPr>
          <w:rFonts w:hint="eastAsia" w:ascii="仿宋" w:hAnsi="仿宋" w:eastAsia="仿宋" w:cs="仿宋"/>
          <w:sz w:val="36"/>
          <w:szCs w:val="36"/>
        </w:rPr>
        <w:t>重整投资人</w:t>
      </w:r>
      <w:r>
        <w:rPr>
          <w:rFonts w:hint="eastAsia" w:ascii="仿宋" w:hAnsi="仿宋" w:eastAsia="仿宋" w:cs="仿宋"/>
          <w:sz w:val="36"/>
          <w:szCs w:val="36"/>
          <w:lang w:val="en-US" w:eastAsia="zh-CN"/>
        </w:rPr>
        <w:t>第二次</w:t>
      </w:r>
      <w:r>
        <w:rPr>
          <w:rFonts w:hint="eastAsia" w:ascii="仿宋" w:hAnsi="仿宋" w:eastAsia="仿宋" w:cs="仿宋"/>
          <w:sz w:val="36"/>
          <w:szCs w:val="36"/>
        </w:rPr>
        <w:t>招募公告</w:t>
      </w:r>
    </w:p>
    <w:p>
      <w:pPr>
        <w:keepNext w:val="0"/>
        <w:keepLines w:val="0"/>
        <w:pageBreakBefore w:val="0"/>
        <w:widowControl w:val="0"/>
        <w:shd w:val="clear" w:fill="FFFFFF" w:themeFill="background1"/>
        <w:kinsoku/>
        <w:wordWrap/>
        <w:overflowPunct/>
        <w:topLinePunct w:val="0"/>
        <w:autoSpaceDE/>
        <w:autoSpaceDN/>
        <w:bidi w:val="0"/>
        <w:adjustRightInd/>
        <w:snapToGrid/>
        <w:spacing w:line="500" w:lineRule="exact"/>
        <w:ind w:firstLine="1800" w:firstLineChars="500"/>
        <w:jc w:val="both"/>
        <w:textAlignment w:val="auto"/>
        <w:outlineLvl w:val="9"/>
        <w:rPr>
          <w:rFonts w:hint="eastAsia" w:ascii="仿宋" w:hAnsi="仿宋" w:eastAsia="仿宋" w:cs="仿宋"/>
          <w:sz w:val="36"/>
          <w:szCs w:val="36"/>
        </w:rPr>
      </w:pP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山西泰达矿业有限公司</w:t>
      </w:r>
      <w:r>
        <w:rPr>
          <w:rFonts w:hint="eastAsia" w:ascii="仿宋" w:hAnsi="仿宋" w:eastAsia="仿宋" w:cs="仿宋"/>
          <w:sz w:val="32"/>
          <w:szCs w:val="32"/>
        </w:rPr>
        <w:t>因不能清偿到期债务</w:t>
      </w:r>
      <w:r>
        <w:rPr>
          <w:rFonts w:hint="eastAsia" w:ascii="仿宋" w:hAnsi="仿宋" w:eastAsia="仿宋" w:cs="仿宋"/>
          <w:sz w:val="32"/>
          <w:szCs w:val="32"/>
          <w:lang w:eastAsia="zh-CN"/>
        </w:rPr>
        <w:t>，且明显缺乏清偿能力。</w:t>
      </w:r>
      <w:r>
        <w:rPr>
          <w:rFonts w:hint="eastAsia" w:ascii="仿宋" w:hAnsi="仿宋" w:eastAsia="仿宋" w:cs="仿宋"/>
          <w:sz w:val="32"/>
          <w:szCs w:val="32"/>
          <w:lang w:val="en-US" w:eastAsia="zh-CN"/>
        </w:rPr>
        <w:t>2</w:t>
      </w:r>
      <w:r>
        <w:rPr>
          <w:rFonts w:hint="eastAsia" w:ascii="仿宋" w:hAnsi="仿宋" w:eastAsia="仿宋" w:cs="仿宋"/>
          <w:sz w:val="32"/>
          <w:szCs w:val="32"/>
        </w:rPr>
        <w:t>0</w:t>
      </w:r>
      <w:r>
        <w:rPr>
          <w:rFonts w:hint="eastAsia" w:ascii="仿宋" w:hAnsi="仿宋" w:eastAsia="仿宋" w:cs="仿宋"/>
          <w:sz w:val="32"/>
          <w:szCs w:val="32"/>
          <w:lang w:val="en-US" w:eastAsia="zh-CN"/>
        </w:rPr>
        <w:t>22</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神池</w:t>
      </w:r>
      <w:r>
        <w:rPr>
          <w:rFonts w:hint="eastAsia" w:ascii="仿宋" w:hAnsi="仿宋" w:eastAsia="仿宋" w:cs="仿宋"/>
          <w:sz w:val="32"/>
          <w:szCs w:val="32"/>
          <w:lang w:eastAsia="zh-CN"/>
        </w:rPr>
        <w:t>县人民法院</w:t>
      </w:r>
      <w:r>
        <w:rPr>
          <w:rFonts w:hint="eastAsia" w:ascii="仿宋" w:hAnsi="仿宋" w:eastAsia="仿宋" w:cs="仿宋"/>
          <w:sz w:val="32"/>
          <w:szCs w:val="32"/>
        </w:rPr>
        <w:t>作出（20</w:t>
      </w:r>
      <w:r>
        <w:rPr>
          <w:rFonts w:hint="eastAsia" w:ascii="仿宋" w:hAnsi="仿宋" w:eastAsia="仿宋" w:cs="仿宋"/>
          <w:sz w:val="32"/>
          <w:szCs w:val="32"/>
          <w:lang w:val="en-US" w:eastAsia="zh-CN"/>
        </w:rPr>
        <w:t>22</w:t>
      </w:r>
      <w:r>
        <w:rPr>
          <w:rFonts w:hint="eastAsia" w:ascii="仿宋" w:hAnsi="仿宋" w:eastAsia="仿宋" w:cs="仿宋"/>
          <w:sz w:val="32"/>
          <w:szCs w:val="32"/>
        </w:rPr>
        <w:t>）</w:t>
      </w:r>
      <w:r>
        <w:rPr>
          <w:rFonts w:hint="eastAsia" w:ascii="仿宋" w:hAnsi="仿宋" w:eastAsia="仿宋" w:cs="仿宋"/>
          <w:sz w:val="32"/>
          <w:szCs w:val="32"/>
          <w:lang w:eastAsia="zh-CN"/>
        </w:rPr>
        <w:t>晋</w:t>
      </w:r>
      <w:r>
        <w:rPr>
          <w:rFonts w:hint="eastAsia" w:ascii="仿宋" w:hAnsi="仿宋" w:eastAsia="仿宋" w:cs="仿宋"/>
          <w:sz w:val="32"/>
          <w:szCs w:val="32"/>
          <w:lang w:val="en-US" w:eastAsia="zh-CN"/>
        </w:rPr>
        <w:t>0927</w:t>
      </w:r>
      <w:r>
        <w:rPr>
          <w:rFonts w:hint="eastAsia" w:ascii="仿宋" w:hAnsi="仿宋" w:eastAsia="仿宋" w:cs="仿宋"/>
          <w:sz w:val="32"/>
          <w:szCs w:val="32"/>
          <w:lang w:eastAsia="zh-CN"/>
        </w:rPr>
        <w:t>破申</w:t>
      </w:r>
      <w:r>
        <w:rPr>
          <w:rFonts w:hint="eastAsia" w:ascii="仿宋" w:hAnsi="仿宋" w:eastAsia="仿宋" w:cs="仿宋"/>
          <w:sz w:val="32"/>
          <w:szCs w:val="32"/>
          <w:lang w:val="en-US" w:eastAsia="zh-CN"/>
        </w:rPr>
        <w:t>1号</w:t>
      </w:r>
      <w:r>
        <w:rPr>
          <w:rFonts w:hint="eastAsia" w:ascii="仿宋" w:hAnsi="仿宋" w:eastAsia="仿宋" w:cs="仿宋"/>
          <w:sz w:val="32"/>
          <w:szCs w:val="32"/>
        </w:rPr>
        <w:t>《民事裁定书》，裁定</w:t>
      </w:r>
      <w:r>
        <w:rPr>
          <w:rFonts w:hint="eastAsia" w:ascii="仿宋" w:hAnsi="仿宋" w:eastAsia="仿宋" w:cs="仿宋"/>
          <w:sz w:val="32"/>
          <w:szCs w:val="32"/>
          <w:lang w:val="en-US" w:eastAsia="zh-CN"/>
        </w:rPr>
        <w:t>受理</w:t>
      </w:r>
      <w:r>
        <w:rPr>
          <w:rFonts w:hint="eastAsia" w:ascii="仿宋" w:hAnsi="仿宋" w:eastAsia="仿宋" w:cs="仿宋"/>
          <w:sz w:val="32"/>
          <w:szCs w:val="32"/>
          <w:lang w:eastAsia="zh-CN"/>
        </w:rPr>
        <w:t>山西泰达矿业有限公司</w:t>
      </w:r>
      <w:r>
        <w:rPr>
          <w:rFonts w:hint="eastAsia" w:ascii="仿宋" w:hAnsi="仿宋" w:eastAsia="仿宋" w:cs="仿宋"/>
          <w:sz w:val="32"/>
          <w:szCs w:val="32"/>
          <w:lang w:val="en-US" w:eastAsia="zh-CN"/>
        </w:rPr>
        <w:t>破产</w:t>
      </w:r>
      <w:r>
        <w:rPr>
          <w:rFonts w:hint="eastAsia" w:ascii="仿宋" w:hAnsi="仿宋" w:eastAsia="仿宋" w:cs="仿宋"/>
          <w:sz w:val="32"/>
          <w:szCs w:val="32"/>
        </w:rPr>
        <w:t>重整</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同日</w:t>
      </w:r>
      <w:r>
        <w:rPr>
          <w:rFonts w:hint="eastAsia" w:ascii="仿宋" w:hAnsi="仿宋" w:eastAsia="仿宋" w:cs="仿宋"/>
          <w:sz w:val="32"/>
          <w:szCs w:val="32"/>
        </w:rPr>
        <w:t>指定</w:t>
      </w:r>
      <w:r>
        <w:rPr>
          <w:rFonts w:hint="eastAsia" w:ascii="仿宋" w:hAnsi="仿宋" w:eastAsia="仿宋" w:cs="仿宋"/>
          <w:sz w:val="32"/>
          <w:szCs w:val="32"/>
          <w:lang w:eastAsia="zh-CN"/>
        </w:rPr>
        <w:t>山西天秀律师事务所</w:t>
      </w:r>
      <w:r>
        <w:rPr>
          <w:rFonts w:hint="eastAsia" w:ascii="仿宋" w:hAnsi="仿宋" w:eastAsia="仿宋" w:cs="仿宋"/>
          <w:sz w:val="32"/>
          <w:szCs w:val="32"/>
          <w:lang w:val="en-US" w:eastAsia="zh-CN"/>
        </w:rPr>
        <w:t>担</w:t>
      </w:r>
      <w:bookmarkStart w:id="0" w:name="_GoBack"/>
      <w:bookmarkEnd w:id="0"/>
      <w:r>
        <w:rPr>
          <w:rFonts w:hint="eastAsia" w:ascii="仿宋" w:hAnsi="仿宋" w:eastAsia="仿宋" w:cs="仿宋"/>
          <w:sz w:val="32"/>
          <w:szCs w:val="32"/>
          <w:lang w:val="en-US" w:eastAsia="zh-CN"/>
        </w:rPr>
        <w:t>任</w:t>
      </w:r>
      <w:r>
        <w:rPr>
          <w:rFonts w:hint="eastAsia" w:ascii="仿宋" w:hAnsi="仿宋" w:eastAsia="仿宋" w:cs="仿宋"/>
          <w:sz w:val="32"/>
          <w:szCs w:val="32"/>
        </w:rPr>
        <w:t>管理人。</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为尽快推进破产重整顺利进行，最大限度</w:t>
      </w:r>
      <w:r>
        <w:rPr>
          <w:rFonts w:hint="eastAsia" w:ascii="仿宋" w:hAnsi="仿宋" w:eastAsia="仿宋" w:cs="仿宋"/>
          <w:sz w:val="32"/>
          <w:szCs w:val="32"/>
        </w:rPr>
        <w:t>维护债权</w:t>
      </w:r>
      <w:r>
        <w:rPr>
          <w:rFonts w:hint="eastAsia" w:ascii="仿宋" w:hAnsi="仿宋" w:eastAsia="仿宋" w:cs="仿宋"/>
          <w:sz w:val="32"/>
          <w:szCs w:val="32"/>
          <w:lang w:val="en-US" w:eastAsia="zh-CN"/>
        </w:rPr>
        <w:t>人</w:t>
      </w:r>
      <w:r>
        <w:rPr>
          <w:rFonts w:hint="eastAsia" w:ascii="仿宋" w:hAnsi="仿宋" w:eastAsia="仿宋" w:cs="仿宋"/>
          <w:sz w:val="32"/>
          <w:szCs w:val="32"/>
        </w:rPr>
        <w:t>合法权益，亟需引入重整投资人，推动和保障</w:t>
      </w:r>
      <w:r>
        <w:rPr>
          <w:rFonts w:hint="eastAsia" w:ascii="仿宋" w:hAnsi="仿宋" w:eastAsia="仿宋" w:cs="仿宋"/>
          <w:sz w:val="32"/>
          <w:szCs w:val="32"/>
          <w:lang w:val="en-US" w:eastAsia="zh-CN"/>
        </w:rPr>
        <w:t>泰达公司</w:t>
      </w:r>
      <w:r>
        <w:rPr>
          <w:rFonts w:hint="eastAsia" w:ascii="仿宋" w:hAnsi="仿宋" w:eastAsia="仿宋" w:cs="仿宋"/>
          <w:sz w:val="32"/>
          <w:szCs w:val="32"/>
        </w:rPr>
        <w:t>完成重整</w:t>
      </w:r>
      <w:r>
        <w:rPr>
          <w:rFonts w:hint="eastAsia" w:ascii="仿宋" w:hAnsi="仿宋" w:eastAsia="仿宋" w:cs="仿宋"/>
          <w:sz w:val="32"/>
          <w:szCs w:val="32"/>
          <w:lang w:eastAsia="zh-CN"/>
        </w:rPr>
        <w:t>，</w:t>
      </w:r>
      <w:r>
        <w:rPr>
          <w:rFonts w:hint="eastAsia" w:ascii="仿宋" w:hAnsi="仿宋" w:eastAsia="仿宋" w:cs="仿宋"/>
          <w:sz w:val="32"/>
          <w:szCs w:val="32"/>
        </w:rPr>
        <w:t>实现资源有效整合</w:t>
      </w:r>
      <w:r>
        <w:rPr>
          <w:rFonts w:hint="eastAsia" w:ascii="仿宋" w:hAnsi="仿宋" w:eastAsia="仿宋" w:cs="仿宋"/>
          <w:sz w:val="32"/>
          <w:szCs w:val="32"/>
          <w:lang w:eastAsia="zh-CN"/>
        </w:rPr>
        <w:t>。</w:t>
      </w:r>
      <w:r>
        <w:rPr>
          <w:rFonts w:hint="eastAsia" w:ascii="仿宋" w:hAnsi="仿宋" w:eastAsia="仿宋" w:cs="仿宋"/>
          <w:sz w:val="32"/>
          <w:szCs w:val="32"/>
        </w:rPr>
        <w:t>管理人现公开招募</w:t>
      </w:r>
      <w:r>
        <w:rPr>
          <w:rFonts w:hint="eastAsia" w:ascii="仿宋" w:hAnsi="仿宋" w:eastAsia="仿宋" w:cs="仿宋"/>
          <w:sz w:val="32"/>
          <w:szCs w:val="32"/>
          <w:lang w:eastAsia="zh-CN"/>
        </w:rPr>
        <w:t>山西泰达矿业有限公司</w:t>
      </w:r>
      <w:r>
        <w:rPr>
          <w:rFonts w:hint="eastAsia" w:ascii="仿宋" w:hAnsi="仿宋" w:eastAsia="仿宋" w:cs="仿宋"/>
          <w:sz w:val="32"/>
          <w:szCs w:val="32"/>
        </w:rPr>
        <w:t>重整投资人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现</w:t>
      </w:r>
      <w:r>
        <w:rPr>
          <w:rFonts w:hint="eastAsia" w:ascii="仿宋" w:hAnsi="仿宋" w:eastAsia="仿宋" w:cs="仿宋"/>
          <w:sz w:val="32"/>
          <w:szCs w:val="32"/>
        </w:rPr>
        <w:t>发布重整投资人招募公告如下：</w:t>
      </w:r>
    </w:p>
    <w:p>
      <w:pPr>
        <w:keepNext w:val="0"/>
        <w:keepLines w:val="0"/>
        <w:pageBreakBefore w:val="0"/>
        <w:widowControl w:val="0"/>
        <w:numPr>
          <w:ilvl w:val="0"/>
          <w:numId w:val="1"/>
        </w:numPr>
        <w:kinsoku/>
        <w:wordWrap/>
        <w:overflowPunct/>
        <w:topLinePunct w:val="0"/>
        <w:autoSpaceDE/>
        <w:autoSpaceDN/>
        <w:bidi w:val="0"/>
        <w:adjustRightInd/>
        <w:snapToGrid/>
        <w:spacing w:line="530" w:lineRule="exact"/>
        <w:ind w:firstLine="643" w:firstLineChars="200"/>
        <w:textAlignment w:val="auto"/>
        <w:outlineLvl w:val="9"/>
        <w:rPr>
          <w:rFonts w:hint="eastAsia" w:ascii="仿宋" w:hAnsi="仿宋" w:eastAsia="仿宋" w:cs="仿宋"/>
          <w:b/>
          <w:bCs/>
          <w:sz w:val="32"/>
          <w:szCs w:val="32"/>
        </w:rPr>
      </w:pPr>
      <w:r>
        <w:rPr>
          <w:rFonts w:hint="eastAsia" w:ascii="仿宋" w:hAnsi="仿宋" w:eastAsia="仿宋" w:cs="仿宋"/>
          <w:b/>
          <w:bCs/>
          <w:sz w:val="32"/>
          <w:szCs w:val="32"/>
          <w:lang w:eastAsia="zh-CN"/>
        </w:rPr>
        <w:t>招募须知：</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320" w:firstLineChars="1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本次招募</w:t>
      </w:r>
      <w:r>
        <w:rPr>
          <w:rFonts w:hint="eastAsia" w:ascii="仿宋" w:hAnsi="仿宋" w:eastAsia="仿宋" w:cs="仿宋"/>
          <w:sz w:val="32"/>
          <w:szCs w:val="32"/>
          <w:lang w:eastAsia="zh-CN"/>
        </w:rPr>
        <w:t>重整</w:t>
      </w:r>
      <w:r>
        <w:rPr>
          <w:rFonts w:hint="eastAsia" w:ascii="仿宋" w:hAnsi="仿宋" w:eastAsia="仿宋" w:cs="仿宋"/>
          <w:sz w:val="32"/>
          <w:szCs w:val="32"/>
        </w:rPr>
        <w:t>投资</w:t>
      </w:r>
      <w:r>
        <w:rPr>
          <w:rFonts w:hint="eastAsia" w:ascii="仿宋" w:hAnsi="仿宋" w:eastAsia="仿宋" w:cs="仿宋"/>
          <w:sz w:val="32"/>
          <w:szCs w:val="32"/>
          <w:lang w:val="en-US" w:eastAsia="zh-CN"/>
        </w:rPr>
        <w:t>人</w:t>
      </w:r>
      <w:r>
        <w:rPr>
          <w:rFonts w:hint="eastAsia" w:ascii="仿宋" w:hAnsi="仿宋" w:eastAsia="仿宋" w:cs="仿宋"/>
          <w:sz w:val="32"/>
          <w:szCs w:val="32"/>
        </w:rPr>
        <w:t>的目的在于借助</w:t>
      </w:r>
      <w:r>
        <w:rPr>
          <w:rFonts w:hint="eastAsia" w:ascii="仿宋" w:hAnsi="仿宋" w:eastAsia="仿宋" w:cs="仿宋"/>
          <w:sz w:val="32"/>
          <w:szCs w:val="32"/>
          <w:lang w:eastAsia="zh-CN"/>
        </w:rPr>
        <w:t>重整</w:t>
      </w:r>
      <w:r>
        <w:rPr>
          <w:rFonts w:hint="eastAsia" w:ascii="仿宋" w:hAnsi="仿宋" w:eastAsia="仿宋" w:cs="仿宋"/>
          <w:sz w:val="32"/>
          <w:szCs w:val="32"/>
        </w:rPr>
        <w:t>投资者在经营管理、资金、信用等方面的优势，整合债务人的资源，释放债务人核心资产的价值，依法保护债权人合法权益，促进多方共赢。</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320" w:firstLineChars="1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（二）本次招募重整投资人以公开方式进行，本招募公告之内容对全体意向投资人平等适用，具有同等效力。</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320" w:firstLineChars="1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（三）本招募公告由管理人负责解释。</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b/>
          <w:bCs/>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w:t>
      </w:r>
      <w:r>
        <w:rPr>
          <w:rFonts w:hint="eastAsia" w:ascii="仿宋" w:hAnsi="仿宋" w:eastAsia="仿宋" w:cs="仿宋"/>
          <w:b/>
          <w:bCs/>
          <w:sz w:val="32"/>
          <w:szCs w:val="32"/>
        </w:rPr>
        <w:t>企业名称：</w:t>
      </w:r>
      <w:r>
        <w:rPr>
          <w:rFonts w:hint="eastAsia" w:ascii="仿宋" w:hAnsi="仿宋" w:eastAsia="仿宋" w:cs="仿宋"/>
          <w:b/>
          <w:bCs/>
          <w:sz w:val="32"/>
          <w:szCs w:val="32"/>
          <w:lang w:eastAsia="zh-CN"/>
        </w:rPr>
        <w:t>山西泰达矿业有限公司</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统一信用代码：91140927792233215R</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公司成立时间：</w:t>
      </w:r>
      <w:r>
        <w:rPr>
          <w:rFonts w:hint="eastAsia" w:ascii="仿宋" w:hAnsi="仿宋" w:eastAsia="仿宋" w:cs="仿宋"/>
          <w:sz w:val="32"/>
          <w:szCs w:val="32"/>
          <w:lang w:val="en-US" w:eastAsia="zh-CN"/>
        </w:rPr>
        <w:t>2006年9月6日</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注册资本：</w:t>
      </w:r>
      <w:r>
        <w:rPr>
          <w:rFonts w:hint="eastAsia" w:ascii="仿宋" w:hAnsi="仿宋" w:eastAsia="仿宋" w:cs="仿宋"/>
          <w:sz w:val="32"/>
          <w:szCs w:val="32"/>
          <w:lang w:val="en-US" w:eastAsia="zh-CN"/>
        </w:rPr>
        <w:t>贰亿元</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rPr>
      </w:pPr>
      <w:r>
        <w:rPr>
          <w:rFonts w:hint="eastAsia" w:ascii="仿宋" w:hAnsi="仿宋" w:eastAsia="仿宋" w:cs="仿宋"/>
          <w:sz w:val="32"/>
          <w:szCs w:val="32"/>
          <w:lang w:val="en-US" w:eastAsia="zh-CN"/>
        </w:rPr>
        <w:t>法定代表人：户晓宽</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rPr>
      </w:pPr>
      <w:r>
        <w:rPr>
          <w:rFonts w:hint="eastAsia" w:ascii="仿宋" w:hAnsi="仿宋" w:eastAsia="仿宋" w:cs="仿宋"/>
          <w:sz w:val="32"/>
          <w:szCs w:val="32"/>
        </w:rPr>
        <w:t>公司所在地：</w:t>
      </w:r>
      <w:r>
        <w:rPr>
          <w:rFonts w:hint="eastAsia" w:ascii="仿宋" w:hAnsi="仿宋" w:eastAsia="仿宋" w:cs="仿宋"/>
          <w:sz w:val="32"/>
          <w:szCs w:val="32"/>
          <w:lang w:eastAsia="zh-CN"/>
        </w:rPr>
        <w:t>山西省</w:t>
      </w:r>
      <w:r>
        <w:rPr>
          <w:rFonts w:hint="eastAsia" w:ascii="仿宋" w:hAnsi="仿宋" w:eastAsia="仿宋" w:cs="仿宋"/>
          <w:sz w:val="32"/>
          <w:szCs w:val="32"/>
          <w:lang w:val="en-US" w:eastAsia="zh-CN"/>
        </w:rPr>
        <w:t>神池县东湖乡九姑村工业园</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sz w:val="32"/>
          <w:szCs w:val="32"/>
        </w:rPr>
        <w:t>三、</w:t>
      </w:r>
      <w:r>
        <w:rPr>
          <w:rFonts w:hint="eastAsia" w:ascii="仿宋" w:hAnsi="仿宋" w:eastAsia="仿宋" w:cs="仿宋"/>
          <w:b/>
          <w:bCs/>
          <w:sz w:val="32"/>
          <w:szCs w:val="32"/>
        </w:rPr>
        <w:t>报名</w:t>
      </w:r>
      <w:r>
        <w:rPr>
          <w:rFonts w:hint="eastAsia" w:ascii="仿宋" w:hAnsi="仿宋" w:eastAsia="仿宋" w:cs="仿宋"/>
          <w:b/>
          <w:bCs/>
          <w:sz w:val="32"/>
          <w:szCs w:val="32"/>
          <w:lang w:val="en-US" w:eastAsia="zh-CN"/>
        </w:rPr>
        <w:t>条件</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凡中华人民共和国合法成立的公司或者公民（包括所有债权人）均可报名参加。</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）重整</w:t>
      </w:r>
      <w:r>
        <w:rPr>
          <w:rFonts w:hint="eastAsia" w:ascii="仿宋" w:hAnsi="仿宋" w:eastAsia="仿宋" w:cs="仿宋"/>
          <w:sz w:val="32"/>
          <w:szCs w:val="32"/>
        </w:rPr>
        <w:t>投资者应拥有足够的资金实力进行重整投资，并能出具相应的资信证明或其他履约能力证明。两个或以上的意向投资人可组成联合体，以一个意向投资人的身份</w:t>
      </w:r>
      <w:r>
        <w:rPr>
          <w:rFonts w:hint="eastAsia" w:ascii="仿宋" w:hAnsi="仿宋" w:eastAsia="仿宋" w:cs="仿宋"/>
          <w:sz w:val="32"/>
          <w:szCs w:val="32"/>
          <w:lang w:val="en-US" w:eastAsia="zh-CN"/>
        </w:rPr>
        <w:t>报名</w:t>
      </w:r>
      <w:r>
        <w:rPr>
          <w:rFonts w:hint="eastAsia" w:ascii="仿宋" w:hAnsi="仿宋" w:eastAsia="仿宋" w:cs="仿宋"/>
          <w:sz w:val="32"/>
          <w:szCs w:val="32"/>
        </w:rPr>
        <w:t>参与遴选，其中至少有一个联合体成员应符合全部招募条件。联合体报名须提交联合体协议，各成员分别提供相关资料。</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b/>
          <w:bCs/>
          <w:sz w:val="32"/>
          <w:szCs w:val="32"/>
        </w:rPr>
      </w:pPr>
      <w:r>
        <w:rPr>
          <w:rFonts w:hint="eastAsia" w:ascii="仿宋" w:hAnsi="仿宋" w:eastAsia="仿宋" w:cs="仿宋"/>
          <w:sz w:val="32"/>
          <w:szCs w:val="32"/>
        </w:rPr>
        <w:t>四、</w:t>
      </w:r>
      <w:r>
        <w:rPr>
          <w:rFonts w:hint="eastAsia" w:ascii="仿宋" w:hAnsi="仿宋" w:eastAsia="仿宋" w:cs="仿宋"/>
          <w:b/>
          <w:bCs/>
          <w:sz w:val="32"/>
          <w:szCs w:val="32"/>
        </w:rPr>
        <w:t>招募流程</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（一）提交投资意向书和相关资料</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意向投资人应当在报名截止日前向管理人提交投资报名书和证明其符合招募条件的资料</w:t>
      </w:r>
      <w:r>
        <w:rPr>
          <w:rFonts w:hint="eastAsia" w:ascii="仿宋" w:hAnsi="仿宋" w:eastAsia="仿宋" w:cs="仿宋"/>
          <w:sz w:val="32"/>
          <w:szCs w:val="32"/>
          <w:lang w:eastAsia="zh-CN"/>
        </w:rPr>
        <w:t>。</w:t>
      </w:r>
      <w:r>
        <w:rPr>
          <w:rFonts w:hint="eastAsia" w:ascii="仿宋" w:hAnsi="仿宋" w:eastAsia="仿宋" w:cs="仿宋"/>
          <w:sz w:val="32"/>
          <w:szCs w:val="32"/>
        </w:rPr>
        <w:t>投资报名书应当包括意向投资人基本情况介绍、投资优势、资金实力和融资能力说明以及银行存款证明等内容。</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（二）尽职调查及保密保证金、履约保证金</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经管理人审查符合招募条件的，意向投资人可向管理人申请对债务人进行尽职调查。在与管理人签订保密协议及缴纳保密保证金后，意向投资人可进场调查，尽职调查时间不得超过</w:t>
      </w:r>
      <w:r>
        <w:rPr>
          <w:rFonts w:hint="eastAsia" w:ascii="仿宋" w:hAnsi="仿宋" w:eastAsia="仿宋" w:cs="仿宋"/>
          <w:sz w:val="32"/>
          <w:szCs w:val="32"/>
          <w:u w:val="none"/>
        </w:rPr>
        <w:t>15</w:t>
      </w:r>
      <w:r>
        <w:rPr>
          <w:rFonts w:hint="eastAsia" w:ascii="仿宋" w:hAnsi="仿宋" w:eastAsia="仿宋" w:cs="仿宋"/>
          <w:sz w:val="32"/>
          <w:szCs w:val="32"/>
        </w:rPr>
        <w:t>天。意向投资人未按规定交纳保密保证金的，管理人可拒绝其入场。</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意向重整投资人应在提交投资报名书和证明其符合招募条件的资料后三个工作日内向管理人缴纳保密保证金人民币20万元，用于作为保密协议履行的担保；</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）意向投资人在提交</w:t>
      </w:r>
      <w:r>
        <w:rPr>
          <w:rFonts w:hint="eastAsia" w:ascii="仿宋" w:hAnsi="仿宋" w:eastAsia="仿宋" w:cs="仿宋"/>
          <w:sz w:val="32"/>
          <w:szCs w:val="32"/>
          <w:lang w:val="en-US" w:eastAsia="zh-CN"/>
        </w:rPr>
        <w:t>重整</w:t>
      </w:r>
      <w:r>
        <w:rPr>
          <w:rFonts w:hint="eastAsia" w:ascii="仿宋" w:hAnsi="仿宋" w:eastAsia="仿宋" w:cs="仿宋"/>
          <w:sz w:val="32"/>
          <w:szCs w:val="32"/>
        </w:rPr>
        <w:t>投资</w:t>
      </w:r>
      <w:r>
        <w:rPr>
          <w:rFonts w:hint="eastAsia" w:ascii="仿宋" w:hAnsi="仿宋" w:eastAsia="仿宋" w:cs="仿宋"/>
          <w:sz w:val="32"/>
          <w:szCs w:val="32"/>
          <w:lang w:val="en-US" w:eastAsia="zh-CN"/>
        </w:rPr>
        <w:t>文件</w:t>
      </w:r>
      <w:r>
        <w:rPr>
          <w:rFonts w:hint="eastAsia" w:ascii="仿宋" w:hAnsi="仿宋" w:eastAsia="仿宋" w:cs="仿宋"/>
          <w:sz w:val="32"/>
          <w:szCs w:val="32"/>
        </w:rPr>
        <w:t>时应向管理人缴纳履约保证金</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rPr>
        <w:t>00</w:t>
      </w:r>
      <w:r>
        <w:rPr>
          <w:rFonts w:hint="eastAsia" w:ascii="仿宋" w:hAnsi="仿宋" w:eastAsia="仿宋" w:cs="仿宋"/>
          <w:sz w:val="32"/>
          <w:szCs w:val="32"/>
        </w:rPr>
        <w:t>万元，用于作为签署和履行重整投资协议的担保。</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意向投资人被遴选为</w:t>
      </w:r>
      <w:r>
        <w:rPr>
          <w:rFonts w:hint="eastAsia" w:ascii="仿宋" w:hAnsi="仿宋" w:eastAsia="仿宋" w:cs="仿宋"/>
          <w:sz w:val="32"/>
          <w:szCs w:val="32"/>
          <w:lang w:eastAsia="zh-CN"/>
        </w:rPr>
        <w:t>重整</w:t>
      </w:r>
      <w:r>
        <w:rPr>
          <w:rFonts w:hint="eastAsia" w:ascii="仿宋" w:hAnsi="仿宋" w:eastAsia="仿宋" w:cs="仿宋"/>
          <w:sz w:val="32"/>
          <w:szCs w:val="32"/>
        </w:rPr>
        <w:t>投资</w:t>
      </w:r>
      <w:r>
        <w:rPr>
          <w:rFonts w:hint="eastAsia" w:ascii="仿宋" w:hAnsi="仿宋" w:eastAsia="仿宋" w:cs="仿宋"/>
          <w:sz w:val="32"/>
          <w:szCs w:val="32"/>
          <w:lang w:val="en-US" w:eastAsia="zh-CN"/>
        </w:rPr>
        <w:t>人</w:t>
      </w:r>
      <w:r>
        <w:rPr>
          <w:rFonts w:hint="eastAsia" w:ascii="仿宋" w:hAnsi="仿宋" w:eastAsia="仿宋" w:cs="仿宋"/>
          <w:sz w:val="32"/>
          <w:szCs w:val="32"/>
        </w:rPr>
        <w:t>后，该保密保证金自转换为投资保证金或投资款项。</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意向投资人同时具备下列条件时，管理人在7个工作日内退还保密保证金（无息）：第一、未被遴选为</w:t>
      </w:r>
      <w:r>
        <w:rPr>
          <w:rFonts w:hint="eastAsia" w:ascii="仿宋" w:hAnsi="仿宋" w:eastAsia="仿宋" w:cs="仿宋"/>
          <w:sz w:val="32"/>
          <w:szCs w:val="32"/>
          <w:lang w:eastAsia="zh-CN"/>
        </w:rPr>
        <w:t>重整</w:t>
      </w:r>
      <w:r>
        <w:rPr>
          <w:rFonts w:hint="eastAsia" w:ascii="仿宋" w:hAnsi="仿宋" w:eastAsia="仿宋" w:cs="仿宋"/>
          <w:sz w:val="32"/>
          <w:szCs w:val="32"/>
        </w:rPr>
        <w:t>投资者或书面退出遴选；第二、未违反保密义务并承诺继续履行保密义务；第三、交还获取的债务人保密资料。</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）提交重整投资方案</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意向投资人应在尽职调查完成后</w:t>
      </w:r>
      <w:r>
        <w:rPr>
          <w:rFonts w:hint="eastAsia" w:ascii="仿宋" w:hAnsi="仿宋" w:eastAsia="仿宋" w:cs="仿宋"/>
          <w:sz w:val="32"/>
          <w:szCs w:val="32"/>
          <w:u w:val="none"/>
        </w:rPr>
        <w:t>15</w:t>
      </w:r>
      <w:r>
        <w:rPr>
          <w:rFonts w:hint="eastAsia" w:ascii="仿宋" w:hAnsi="仿宋" w:eastAsia="仿宋" w:cs="仿宋"/>
          <w:sz w:val="32"/>
          <w:szCs w:val="32"/>
          <w:u w:val="none"/>
          <w:lang w:val="en-US" w:eastAsia="zh-CN"/>
        </w:rPr>
        <w:t>日</w:t>
      </w:r>
      <w:r>
        <w:rPr>
          <w:rFonts w:hint="eastAsia" w:ascii="仿宋" w:hAnsi="仿宋" w:eastAsia="仿宋" w:cs="仿宋"/>
          <w:sz w:val="32"/>
          <w:szCs w:val="32"/>
        </w:rPr>
        <w:t>内向管理人提交不可撤销的《重整投资方案》，重整投资方案应当符合重整要求（具体要求由管理人在意向投资人提交投资报名书后书面通知）。</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六</w:t>
      </w:r>
      <w:r>
        <w:rPr>
          <w:rFonts w:hint="eastAsia" w:ascii="仿宋" w:hAnsi="仿宋" w:eastAsia="仿宋" w:cs="仿宋"/>
          <w:sz w:val="32"/>
          <w:szCs w:val="32"/>
        </w:rPr>
        <w:t>）入围</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在意向投资人提交重整投资方案后，管理人将进行初审，发出《入围通知书》。</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七</w:t>
      </w:r>
      <w:r>
        <w:rPr>
          <w:rFonts w:hint="eastAsia" w:ascii="仿宋" w:hAnsi="仿宋" w:eastAsia="仿宋" w:cs="仿宋"/>
          <w:sz w:val="32"/>
          <w:szCs w:val="32"/>
        </w:rPr>
        <w:t>）遴选</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在</w:t>
      </w:r>
      <w:r>
        <w:rPr>
          <w:rFonts w:hint="eastAsia" w:ascii="仿宋" w:hAnsi="仿宋" w:eastAsia="仿宋" w:cs="仿宋"/>
          <w:sz w:val="32"/>
          <w:szCs w:val="32"/>
          <w:lang w:val="en-US" w:eastAsia="zh-CN"/>
        </w:rPr>
        <w:t>神池</w:t>
      </w:r>
      <w:r>
        <w:rPr>
          <w:rFonts w:hint="eastAsia" w:ascii="仿宋" w:hAnsi="仿宋" w:eastAsia="仿宋" w:cs="仿宋"/>
          <w:sz w:val="32"/>
          <w:szCs w:val="32"/>
          <w:lang w:eastAsia="zh-CN"/>
        </w:rPr>
        <w:t>县</w:t>
      </w:r>
      <w:r>
        <w:rPr>
          <w:rFonts w:hint="eastAsia" w:ascii="仿宋" w:hAnsi="仿宋" w:eastAsia="仿宋" w:cs="仿宋"/>
          <w:sz w:val="32"/>
          <w:szCs w:val="32"/>
        </w:rPr>
        <w:t>人民法院的指导下，管理人将组织债权人委员会、有关专家等对入围投资人及其重整投资方案进行遴选。</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遴选原则：履约能力、履约保障资信状况、行业支持力度、投资计划、产业发展规划和运营方案等情况，依法对入围的《重整投资方案》进行</w:t>
      </w:r>
      <w:r>
        <w:rPr>
          <w:rFonts w:hint="eastAsia" w:ascii="仿宋" w:hAnsi="仿宋" w:eastAsia="仿宋" w:cs="仿宋"/>
          <w:sz w:val="32"/>
          <w:szCs w:val="32"/>
          <w:lang w:val="en-US" w:eastAsia="zh-CN"/>
        </w:rPr>
        <w:t>初步</w:t>
      </w:r>
      <w:r>
        <w:rPr>
          <w:rFonts w:hint="eastAsia" w:ascii="仿宋" w:hAnsi="仿宋" w:eastAsia="仿宋" w:cs="仿宋"/>
          <w:sz w:val="32"/>
          <w:szCs w:val="32"/>
        </w:rPr>
        <w:t>评审，</w:t>
      </w:r>
      <w:r>
        <w:rPr>
          <w:rFonts w:hint="eastAsia" w:ascii="仿宋" w:hAnsi="仿宋" w:eastAsia="仿宋" w:cs="仿宋"/>
          <w:sz w:val="32"/>
          <w:szCs w:val="32"/>
          <w:lang w:val="en-US" w:eastAsia="zh-CN"/>
        </w:rPr>
        <w:t>投资人为2名以上时，管理人组织进行投资人招募招标会议，通过招标会议</w:t>
      </w:r>
      <w:r>
        <w:rPr>
          <w:rFonts w:hint="eastAsia" w:ascii="仿宋" w:hAnsi="仿宋" w:eastAsia="仿宋" w:cs="仿宋"/>
          <w:sz w:val="32"/>
          <w:szCs w:val="32"/>
        </w:rPr>
        <w:t>确定重整投资人，管理人将向遴选确定的重整投资人发出书面确认文件。</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八</w:t>
      </w:r>
      <w:r>
        <w:rPr>
          <w:rFonts w:hint="eastAsia" w:ascii="仿宋" w:hAnsi="仿宋" w:eastAsia="仿宋" w:cs="仿宋"/>
          <w:sz w:val="32"/>
          <w:szCs w:val="32"/>
        </w:rPr>
        <w:t>）其他</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根据重整投资人的重整投资方案，管理人与其签署正式的重整投资协议，并根据重整投资协议，编制重整计划草案。</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上述各项工作的确切实施时间由管理人或债权人委员会根据实际情况具体确定或再行调整。</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五、</w:t>
      </w:r>
      <w:r>
        <w:rPr>
          <w:rFonts w:hint="eastAsia" w:ascii="仿宋" w:hAnsi="仿宋" w:eastAsia="仿宋" w:cs="仿宋"/>
          <w:b/>
          <w:bCs/>
          <w:sz w:val="32"/>
          <w:szCs w:val="32"/>
          <w:lang w:val="en-US" w:eastAsia="zh-CN"/>
        </w:rPr>
        <w:t>报名时间</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u w:val="none"/>
        </w:rPr>
      </w:pPr>
      <w:r>
        <w:rPr>
          <w:rFonts w:hint="eastAsia" w:ascii="仿宋" w:hAnsi="仿宋" w:eastAsia="仿宋" w:cs="仿宋"/>
          <w:sz w:val="32"/>
          <w:szCs w:val="32"/>
          <w:u w:val="none"/>
        </w:rPr>
        <w:t>报名截止时间：</w:t>
      </w:r>
      <w:r>
        <w:rPr>
          <w:rFonts w:hint="eastAsia" w:ascii="仿宋" w:hAnsi="仿宋" w:eastAsia="仿宋" w:cs="仿宋"/>
          <w:sz w:val="32"/>
          <w:szCs w:val="32"/>
          <w:u w:val="none"/>
          <w:lang w:eastAsia="zh-CN"/>
        </w:rPr>
        <w:t>为招募到适格重整投资人，目前为止，没有确定意向重整投资人的报名时间</w:t>
      </w:r>
      <w:r>
        <w:rPr>
          <w:rFonts w:hint="eastAsia" w:ascii="仿宋" w:hAnsi="仿宋" w:eastAsia="仿宋" w:cs="仿宋"/>
          <w:sz w:val="32"/>
          <w:szCs w:val="32"/>
          <w:u w:val="none"/>
        </w:rPr>
        <w:t>。</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b/>
          <w:bCs/>
          <w:sz w:val="32"/>
          <w:szCs w:val="32"/>
        </w:rPr>
      </w:pPr>
      <w:r>
        <w:rPr>
          <w:rFonts w:hint="eastAsia" w:ascii="仿宋" w:hAnsi="仿宋" w:eastAsia="仿宋" w:cs="仿宋"/>
          <w:sz w:val="32"/>
          <w:szCs w:val="32"/>
          <w:lang w:val="en-US" w:eastAsia="zh-CN"/>
        </w:rPr>
        <w:t>六、</w:t>
      </w:r>
      <w:r>
        <w:rPr>
          <w:rFonts w:hint="eastAsia" w:ascii="仿宋" w:hAnsi="仿宋" w:eastAsia="仿宋" w:cs="仿宋"/>
          <w:b/>
          <w:bCs/>
          <w:sz w:val="32"/>
          <w:szCs w:val="32"/>
        </w:rPr>
        <w:t>报名地点和联系人</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rPr>
        <w:t>报名地点：</w:t>
      </w:r>
      <w:r>
        <w:rPr>
          <w:rFonts w:hint="eastAsia" w:ascii="仿宋" w:hAnsi="仿宋" w:eastAsia="仿宋" w:cs="仿宋"/>
          <w:sz w:val="32"/>
          <w:szCs w:val="32"/>
          <w:lang w:eastAsia="zh-CN"/>
        </w:rPr>
        <w:t>山西省忻州市忻府区七一北路</w:t>
      </w:r>
      <w:r>
        <w:rPr>
          <w:rFonts w:hint="eastAsia" w:ascii="仿宋" w:hAnsi="仿宋" w:eastAsia="仿宋" w:cs="仿宋"/>
          <w:sz w:val="32"/>
          <w:szCs w:val="32"/>
          <w:lang w:val="en-US" w:eastAsia="zh-CN"/>
        </w:rPr>
        <w:t>76号</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邮编：</w:t>
      </w:r>
      <w:r>
        <w:rPr>
          <w:rFonts w:hint="eastAsia" w:ascii="仿宋" w:hAnsi="仿宋" w:eastAsia="仿宋" w:cs="仿宋"/>
          <w:sz w:val="32"/>
          <w:szCs w:val="32"/>
          <w:lang w:val="en-US" w:eastAsia="zh-CN"/>
        </w:rPr>
        <w:t>034200</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联系人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韩艾生13080309898   耿杰红13934436566</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b/>
          <w:bCs/>
          <w:sz w:val="32"/>
          <w:szCs w:val="32"/>
        </w:rPr>
      </w:pPr>
      <w:r>
        <w:rPr>
          <w:rFonts w:hint="eastAsia" w:ascii="仿宋" w:hAnsi="仿宋" w:eastAsia="仿宋" w:cs="仿宋"/>
          <w:sz w:val="32"/>
          <w:szCs w:val="32"/>
          <w:lang w:val="en-US" w:eastAsia="zh-CN"/>
        </w:rPr>
        <w:t>七、</w:t>
      </w:r>
      <w:r>
        <w:rPr>
          <w:rFonts w:hint="eastAsia" w:ascii="仿宋" w:hAnsi="仿宋" w:eastAsia="仿宋" w:cs="仿宋"/>
          <w:b/>
          <w:bCs/>
          <w:sz w:val="32"/>
          <w:szCs w:val="32"/>
        </w:rPr>
        <w:t>其他事项</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有关山西泰达矿业有限公司债权债务、资产价值等资料，意向投资人可向管理人索取。</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本公告、附件的最终解释权归管理人所有，管理人有权根据</w:t>
      </w:r>
      <w:r>
        <w:rPr>
          <w:rFonts w:hint="eastAsia" w:ascii="仿宋" w:hAnsi="仿宋" w:eastAsia="仿宋" w:cs="仿宋"/>
          <w:sz w:val="32"/>
          <w:szCs w:val="32"/>
          <w:lang w:eastAsia="zh-CN"/>
        </w:rPr>
        <w:t>重整</w:t>
      </w:r>
      <w:r>
        <w:rPr>
          <w:rFonts w:hint="eastAsia" w:ascii="仿宋" w:hAnsi="仿宋" w:eastAsia="仿宋" w:cs="仿宋"/>
          <w:sz w:val="32"/>
          <w:szCs w:val="32"/>
        </w:rPr>
        <w:t>投资者招募进程调整招募流程和有关条件。</w:t>
      </w:r>
    </w:p>
    <w:p>
      <w:pPr>
        <w:keepNext w:val="0"/>
        <w:keepLines w:val="0"/>
        <w:pageBreakBefore w:val="0"/>
        <w:widowControl w:val="0"/>
        <w:kinsoku/>
        <w:wordWrap/>
        <w:overflowPunct/>
        <w:topLinePunct w:val="0"/>
        <w:autoSpaceDE/>
        <w:autoSpaceDN/>
        <w:bidi w:val="0"/>
        <w:adjustRightInd/>
        <w:snapToGrid/>
        <w:spacing w:line="530" w:lineRule="exact"/>
        <w:ind w:firstLine="3520" w:firstLineChars="1100"/>
        <w:textAlignment w:val="auto"/>
        <w:outlineLvl w:val="9"/>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30" w:lineRule="exact"/>
        <w:ind w:firstLine="3520" w:firstLineChars="11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山西泰达矿业有限公司</w:t>
      </w:r>
      <w:r>
        <w:rPr>
          <w:rFonts w:hint="eastAsia" w:ascii="仿宋" w:hAnsi="仿宋" w:eastAsia="仿宋" w:cs="仿宋"/>
          <w:sz w:val="32"/>
          <w:szCs w:val="32"/>
        </w:rPr>
        <w:t>管理人</w:t>
      </w:r>
    </w:p>
    <w:p>
      <w:pPr>
        <w:keepNext w:val="0"/>
        <w:keepLines w:val="0"/>
        <w:pageBreakBefore w:val="0"/>
        <w:widowControl w:val="0"/>
        <w:kinsoku/>
        <w:wordWrap/>
        <w:overflowPunct/>
        <w:topLinePunct w:val="0"/>
        <w:autoSpaceDE/>
        <w:autoSpaceDN/>
        <w:bidi w:val="0"/>
        <w:adjustRightInd/>
        <w:snapToGrid/>
        <w:spacing w:line="530" w:lineRule="exact"/>
        <w:ind w:firstLine="4480" w:firstLineChars="1400"/>
        <w:textAlignment w:val="auto"/>
        <w:outlineLvl w:val="9"/>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4</w:t>
      </w:r>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A892E5"/>
    <w:multiLevelType w:val="singleLevel"/>
    <w:tmpl w:val="24A892E5"/>
    <w:lvl w:ilvl="0" w:tentative="0">
      <w:start w:val="1"/>
      <w:numFmt w:val="chineseCounting"/>
      <w:suff w:val="nothing"/>
      <w:lvlText w:val="%1、"/>
      <w:lvlJc w:val="left"/>
      <w:rPr>
        <w:rFonts w:hint="eastAsia" w:ascii="仿宋" w:hAnsi="仿宋" w:eastAsia="仿宋" w:cs="仿宋"/>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mMjdmNThkOWE2YmM5OWM0MjJlNGRmOWU2MWViOGIifQ=="/>
  </w:docVars>
  <w:rsids>
    <w:rsidRoot w:val="7FB34BC3"/>
    <w:rsid w:val="19FF492E"/>
    <w:rsid w:val="419D277C"/>
    <w:rsid w:val="5FDA45A9"/>
    <w:rsid w:val="65656ADE"/>
    <w:rsid w:val="74492B49"/>
    <w:rsid w:val="7FB34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1719</Words>
  <Characters>1789</Characters>
  <Lines>0</Lines>
  <Paragraphs>0</Paragraphs>
  <TotalTime>52</TotalTime>
  <ScaleCrop>false</ScaleCrop>
  <LinksUpToDate>false</LinksUpToDate>
  <CharactersWithSpaces>1797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2022-10-13T03:01:00Z</dcterms:created>
  <dc:creator>搞定了</dc:creator>
  <cp:lastModifiedBy>光明使者</cp:lastModifiedBy>
  <cp:lastPrinted>2023-04-02T01:34:04Z</cp:lastPrinted>
  <dcterms:modified xsi:type="dcterms:W3CDTF">2023-04-02T01:43:25Z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69E82E5B45E14E978C96F1B1FD5734CA</vt:lpwstr>
  </property>
</Properties>
</file>