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ascii="Times New Roman" w:hAnsi="Times New Roman" w:eastAsia="楷体" w:cs="Times New Roman"/>
          <w:b/>
          <w:sz w:val="32"/>
          <w:szCs w:val="32"/>
        </w:rPr>
      </w:pPr>
      <w:r>
        <w:rPr>
          <w:rFonts w:ascii="Times New Roman" w:hAnsi="Times New Roman" w:eastAsia="楷体" w:cs="Times New Roman"/>
          <w:b/>
          <w:sz w:val="32"/>
          <w:szCs w:val="32"/>
        </w:rPr>
        <w:t>沈阳泰富置业房地产开发有限公司</w:t>
      </w:r>
    </w:p>
    <w:p>
      <w:pPr>
        <w:widowControl/>
        <w:spacing w:line="360" w:lineRule="auto"/>
        <w:jc w:val="center"/>
        <w:rPr>
          <w:rFonts w:ascii="Times New Roman" w:hAnsi="Times New Roman" w:eastAsia="楷体" w:cs="Times New Roman"/>
          <w:b/>
          <w:sz w:val="32"/>
          <w:szCs w:val="32"/>
        </w:rPr>
      </w:pPr>
      <w:r>
        <w:rPr>
          <w:rFonts w:ascii="Times New Roman" w:hAnsi="Times New Roman" w:eastAsia="楷体" w:cs="Times New Roman"/>
          <w:b/>
          <w:sz w:val="32"/>
          <w:szCs w:val="32"/>
        </w:rPr>
        <w:t>项目开发基本情况介绍</w:t>
      </w:r>
    </w:p>
    <w:p>
      <w:pPr>
        <w:snapToGrid w:val="0"/>
        <w:spacing w:line="360" w:lineRule="auto"/>
        <w:ind w:firstLine="482" w:firstLineChars="200"/>
        <w:rPr>
          <w:rFonts w:ascii="Times New Roman" w:hAnsi="Times New Roman" w:eastAsia="楷体" w:cs="Times New Roman"/>
          <w:b/>
          <w:sz w:val="24"/>
          <w:szCs w:val="24"/>
        </w:rPr>
      </w:pPr>
      <w:r>
        <w:rPr>
          <w:rFonts w:ascii="Times New Roman" w:hAnsi="Times New Roman" w:eastAsia="楷体" w:cs="Times New Roman"/>
          <w:b/>
          <w:sz w:val="24"/>
          <w:szCs w:val="24"/>
        </w:rPr>
        <w:t>一、项目名称：博荣·水立方三期、四期（暂定）</w:t>
      </w:r>
    </w:p>
    <w:p>
      <w:pPr>
        <w:snapToGrid w:val="0"/>
        <w:spacing w:line="360" w:lineRule="auto"/>
        <w:ind w:firstLine="482" w:firstLineChars="200"/>
        <w:rPr>
          <w:rFonts w:ascii="Times New Roman" w:hAnsi="Times New Roman" w:eastAsia="楷体" w:cs="Times New Roman"/>
          <w:b/>
          <w:sz w:val="24"/>
          <w:szCs w:val="24"/>
        </w:rPr>
      </w:pPr>
      <w:r>
        <w:rPr>
          <w:rFonts w:ascii="Times New Roman" w:hAnsi="Times New Roman" w:eastAsia="楷体" w:cs="Times New Roman"/>
          <w:b/>
          <w:sz w:val="24"/>
          <w:szCs w:val="24"/>
        </w:rPr>
        <w:t>二、建设单位：沈阳泰富置业房地产开发有限公司</w:t>
      </w:r>
    </w:p>
    <w:p>
      <w:pPr>
        <w:snapToGrid w:val="0"/>
        <w:spacing w:line="360" w:lineRule="auto"/>
        <w:ind w:firstLine="482" w:firstLineChars="200"/>
        <w:rPr>
          <w:rFonts w:ascii="Times New Roman" w:hAnsi="Times New Roman" w:eastAsia="楷体" w:cs="Times New Roman"/>
          <w:b/>
          <w:sz w:val="24"/>
          <w:szCs w:val="24"/>
        </w:rPr>
      </w:pPr>
      <w:r>
        <w:rPr>
          <w:rFonts w:ascii="Times New Roman" w:hAnsi="Times New Roman" w:eastAsia="楷体" w:cs="Times New Roman"/>
          <w:b/>
          <w:sz w:val="24"/>
          <w:szCs w:val="24"/>
        </w:rPr>
        <w:t>三、土地基本情况</w:t>
      </w:r>
    </w:p>
    <w:p>
      <w:pPr>
        <w:snapToGrid w:val="0"/>
        <w:spacing w:line="360" w:lineRule="auto"/>
        <w:ind w:firstLine="480" w:firstLineChars="200"/>
        <w:rPr>
          <w:rFonts w:ascii="Times New Roman" w:hAnsi="Times New Roman" w:eastAsia="楷体" w:cs="Times New Roman"/>
          <w:sz w:val="24"/>
          <w:szCs w:val="24"/>
        </w:rPr>
      </w:pPr>
      <w:r>
        <w:rPr>
          <w:rFonts w:ascii="Times New Roman" w:hAnsi="Times New Roman" w:eastAsia="楷体" w:cs="Times New Roman"/>
          <w:sz w:val="24"/>
          <w:szCs w:val="24"/>
        </w:rPr>
        <w:t>1.国有土地使用权证编号：东陵国用（2014）第1044号</w:t>
      </w:r>
    </w:p>
    <w:p>
      <w:pPr>
        <w:snapToGrid w:val="0"/>
        <w:spacing w:line="360" w:lineRule="auto"/>
        <w:ind w:firstLine="480" w:firstLineChars="200"/>
        <w:rPr>
          <w:rFonts w:ascii="Times New Roman" w:hAnsi="Times New Roman" w:eastAsia="楷体" w:cs="Times New Roman"/>
          <w:sz w:val="24"/>
          <w:szCs w:val="24"/>
        </w:rPr>
      </w:pPr>
      <w:r>
        <w:rPr>
          <w:rFonts w:ascii="Times New Roman" w:hAnsi="Times New Roman" w:eastAsia="楷体" w:cs="Times New Roman"/>
          <w:sz w:val="24"/>
          <w:szCs w:val="24"/>
        </w:rPr>
        <w:t>2.土地使用权人：沈阳泰富置业房地产开发有限公司</w:t>
      </w:r>
    </w:p>
    <w:p>
      <w:pPr>
        <w:snapToGrid w:val="0"/>
        <w:spacing w:line="360" w:lineRule="auto"/>
        <w:ind w:firstLine="480" w:firstLineChars="200"/>
        <w:rPr>
          <w:rFonts w:ascii="Times New Roman" w:hAnsi="Times New Roman" w:eastAsia="楷体" w:cs="Times New Roman"/>
          <w:sz w:val="24"/>
          <w:szCs w:val="24"/>
        </w:rPr>
      </w:pPr>
      <w:r>
        <w:rPr>
          <w:rFonts w:ascii="Times New Roman" w:hAnsi="Times New Roman" w:eastAsia="楷体" w:cs="Times New Roman"/>
          <w:sz w:val="24"/>
          <w:szCs w:val="24"/>
        </w:rPr>
        <w:t>3.座落：沈阳市东陵区营城子大街5甲号</w:t>
      </w:r>
    </w:p>
    <w:p>
      <w:pPr>
        <w:snapToGrid w:val="0"/>
        <w:spacing w:line="360" w:lineRule="auto"/>
        <w:ind w:firstLine="480" w:firstLineChars="200"/>
        <w:rPr>
          <w:rFonts w:ascii="Times New Roman" w:hAnsi="Times New Roman" w:eastAsia="楷体" w:cs="Times New Roman"/>
          <w:sz w:val="24"/>
          <w:szCs w:val="24"/>
        </w:rPr>
      </w:pPr>
      <w:r>
        <w:rPr>
          <w:rFonts w:ascii="Times New Roman" w:hAnsi="Times New Roman" w:eastAsia="楷体" w:cs="Times New Roman"/>
          <w:sz w:val="24"/>
          <w:szCs w:val="24"/>
        </w:rPr>
        <w:t>4.面积：90326.44平方米</w:t>
      </w:r>
    </w:p>
    <w:p>
      <w:pPr>
        <w:snapToGrid w:val="0"/>
        <w:spacing w:line="360" w:lineRule="auto"/>
        <w:ind w:firstLine="480" w:firstLineChars="200"/>
        <w:rPr>
          <w:rFonts w:ascii="Times New Roman" w:hAnsi="Times New Roman" w:eastAsia="楷体" w:cs="Times New Roman"/>
          <w:sz w:val="24"/>
          <w:szCs w:val="24"/>
        </w:rPr>
      </w:pPr>
      <w:r>
        <w:rPr>
          <w:rFonts w:ascii="Times New Roman" w:hAnsi="Times New Roman" w:eastAsia="楷体" w:cs="Times New Roman"/>
          <w:sz w:val="24"/>
          <w:szCs w:val="24"/>
        </w:rPr>
        <w:t>5.用途：城镇住宅及商服</w:t>
      </w:r>
    </w:p>
    <w:p>
      <w:pPr>
        <w:snapToGrid w:val="0"/>
        <w:spacing w:line="360" w:lineRule="auto"/>
        <w:ind w:firstLine="480" w:firstLineChars="200"/>
        <w:rPr>
          <w:rFonts w:ascii="Times New Roman" w:hAnsi="Times New Roman" w:eastAsia="楷体" w:cs="Times New Roman"/>
          <w:sz w:val="24"/>
          <w:szCs w:val="24"/>
        </w:rPr>
      </w:pPr>
      <w:r>
        <w:rPr>
          <w:rFonts w:ascii="Times New Roman" w:hAnsi="Times New Roman" w:eastAsia="楷体" w:cs="Times New Roman"/>
          <w:sz w:val="24"/>
          <w:szCs w:val="24"/>
        </w:rPr>
        <w:t>6.使用权类型/性质：国有建设用地使用权/出让</w:t>
      </w:r>
    </w:p>
    <w:p>
      <w:pPr>
        <w:snapToGrid w:val="0"/>
        <w:spacing w:line="360" w:lineRule="auto"/>
        <w:ind w:firstLine="480" w:firstLineChars="200"/>
        <w:rPr>
          <w:rFonts w:ascii="Times New Roman" w:hAnsi="Times New Roman" w:eastAsia="楷体" w:cs="Times New Roman"/>
          <w:sz w:val="24"/>
          <w:szCs w:val="24"/>
        </w:rPr>
      </w:pPr>
      <w:r>
        <w:rPr>
          <w:rFonts w:ascii="Times New Roman" w:hAnsi="Times New Roman" w:eastAsia="楷体" w:cs="Times New Roman"/>
          <w:sz w:val="24"/>
          <w:szCs w:val="24"/>
        </w:rPr>
        <w:t>7.登记日期：2014年6月6日</w:t>
      </w:r>
    </w:p>
    <w:p>
      <w:pPr>
        <w:snapToGrid w:val="0"/>
        <w:spacing w:line="360" w:lineRule="auto"/>
        <w:ind w:firstLine="480" w:firstLineChars="200"/>
        <w:rPr>
          <w:rFonts w:ascii="Times New Roman" w:hAnsi="Times New Roman" w:eastAsia="楷体" w:cs="Times New Roman"/>
          <w:sz w:val="24"/>
          <w:szCs w:val="24"/>
        </w:rPr>
      </w:pPr>
      <w:r>
        <w:rPr>
          <w:rFonts w:ascii="Times New Roman" w:hAnsi="Times New Roman" w:eastAsia="楷体" w:cs="Times New Roman"/>
          <w:sz w:val="24"/>
          <w:szCs w:val="24"/>
        </w:rPr>
        <w:t>8.终止日期：2082年10月18日</w:t>
      </w:r>
    </w:p>
    <w:p>
      <w:pPr>
        <w:snapToGrid w:val="0"/>
        <w:spacing w:line="360" w:lineRule="auto"/>
        <w:ind w:firstLine="480" w:firstLineChars="200"/>
        <w:rPr>
          <w:rFonts w:ascii="Times New Roman" w:hAnsi="Times New Roman" w:eastAsia="楷体" w:cs="Times New Roman"/>
          <w:sz w:val="24"/>
          <w:szCs w:val="24"/>
        </w:rPr>
      </w:pPr>
      <w:r>
        <w:rPr>
          <w:rFonts w:ascii="Times New Roman" w:hAnsi="Times New Roman" w:eastAsia="楷体" w:cs="Times New Roman"/>
          <w:sz w:val="24"/>
          <w:szCs w:val="24"/>
        </w:rPr>
        <w:t>9.抵押情况：无抵押</w:t>
      </w:r>
    </w:p>
    <w:p>
      <w:pPr>
        <w:snapToGrid w:val="0"/>
        <w:spacing w:line="360" w:lineRule="auto"/>
        <w:ind w:firstLine="480" w:firstLineChars="200"/>
        <w:rPr>
          <w:rFonts w:ascii="Times New Roman" w:hAnsi="Times New Roman" w:eastAsia="楷体" w:cs="Times New Roman"/>
          <w:sz w:val="24"/>
          <w:szCs w:val="24"/>
        </w:rPr>
      </w:pPr>
      <w:r>
        <w:rPr>
          <w:rFonts w:ascii="Times New Roman" w:hAnsi="Times New Roman" w:eastAsia="楷体" w:cs="Times New Roman"/>
          <w:sz w:val="24"/>
          <w:szCs w:val="24"/>
        </w:rPr>
        <w:t>10.查封情况：存在司法案件查封</w:t>
      </w:r>
    </w:p>
    <w:p>
      <w:pPr>
        <w:snapToGrid w:val="0"/>
        <w:spacing w:line="360" w:lineRule="auto"/>
        <w:ind w:firstLine="482" w:firstLineChars="200"/>
        <w:rPr>
          <w:rFonts w:ascii="Times New Roman" w:hAnsi="Times New Roman" w:eastAsia="楷体" w:cs="Times New Roman"/>
          <w:b/>
          <w:sz w:val="24"/>
          <w:szCs w:val="24"/>
        </w:rPr>
      </w:pPr>
      <w:r>
        <w:rPr>
          <w:rFonts w:ascii="Times New Roman" w:hAnsi="Times New Roman" w:eastAsia="楷体" w:cs="Times New Roman"/>
          <w:b/>
          <w:sz w:val="24"/>
          <w:szCs w:val="24"/>
        </w:rPr>
        <w:t>四、证照取得情况</w:t>
      </w:r>
    </w:p>
    <w:p>
      <w:pPr>
        <w:snapToGrid w:val="0"/>
        <w:spacing w:line="360" w:lineRule="auto"/>
        <w:ind w:firstLine="480" w:firstLineChars="200"/>
        <w:rPr>
          <w:rFonts w:ascii="Times New Roman" w:hAnsi="Times New Roman" w:eastAsia="楷体" w:cs="Times New Roman"/>
          <w:sz w:val="24"/>
          <w:szCs w:val="24"/>
        </w:rPr>
      </w:pPr>
      <w:r>
        <w:rPr>
          <w:rFonts w:ascii="Times New Roman" w:hAnsi="Times New Roman" w:eastAsia="楷体" w:cs="Times New Roman"/>
          <w:sz w:val="24"/>
          <w:szCs w:val="24"/>
        </w:rPr>
        <w:t>已取得《土地使用权证》、《建设用地规划许可证》、《建设工程规划许可证》、《建设工程施工许可证》、《商品房预售许可证》，尚未取得竣工验收及相应《房屋所有权初始登记》。</w:t>
      </w:r>
    </w:p>
    <w:p>
      <w:pPr>
        <w:snapToGrid w:val="0"/>
        <w:spacing w:line="360" w:lineRule="auto"/>
        <w:ind w:firstLine="482" w:firstLineChars="200"/>
        <w:rPr>
          <w:rFonts w:ascii="Times New Roman" w:hAnsi="Times New Roman" w:eastAsia="楷体" w:cs="Times New Roman"/>
          <w:b/>
          <w:sz w:val="24"/>
          <w:szCs w:val="24"/>
        </w:rPr>
      </w:pPr>
      <w:r>
        <w:rPr>
          <w:rFonts w:ascii="Times New Roman" w:hAnsi="Times New Roman" w:eastAsia="楷体" w:cs="Times New Roman"/>
          <w:b/>
          <w:sz w:val="24"/>
          <w:szCs w:val="24"/>
        </w:rPr>
        <w:t>五、项目开发情况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 w:firstLineChars="200"/>
        <w:textAlignment w:val="auto"/>
        <w:rPr>
          <w:rFonts w:ascii="Times New Roman" w:hAnsi="Times New Roman" w:eastAsia="楷体" w:cs="Times New Roman"/>
          <w:sz w:val="24"/>
          <w:szCs w:val="24"/>
        </w:rPr>
      </w:pPr>
      <w:r>
        <w:rPr>
          <w:rFonts w:ascii="Times New Roman" w:hAnsi="Times New Roman" w:eastAsia="楷体" w:cs="Times New Roman"/>
          <w:sz w:val="24"/>
          <w:szCs w:val="24"/>
        </w:rPr>
        <w:t>泰富置业在前述地块上开发建设有“博荣·水立方三期”项目，根据《建筑扩初涉及审定》通知书（证书编号：沈浑规建审字2015年003号），经济技术指标：建设用地面积90326.44平方米；综合容积率1.9；建筑高度60.65米；绿地率32.9%；综合商业比15%；综合建筑密度26.9%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480" w:firstLineChars="200"/>
        <w:textAlignment w:val="auto"/>
        <w:rPr>
          <w:rFonts w:hint="eastAsia"/>
        </w:rPr>
      </w:pPr>
      <w:r>
        <w:rPr>
          <w:rFonts w:ascii="Times New Roman" w:hAnsi="Times New Roman" w:eastAsia="楷体" w:cs="Times New Roman"/>
          <w:sz w:val="24"/>
          <w:szCs w:val="24"/>
        </w:rPr>
        <w:t>“博荣·水立方三期”项目，占地面积约55917.76平方米，已建22栋楼，共1344套（包括2套配套房屋），其中洋房11栋，小高层6栋，别墅3栋,公寓1栋，门市1栋。现项目主体工程除公寓楼以外已全部封顶，因资金链断裂等原因，于2016年底全面停止建设，目前部分买房人已入住洋房和小高层。针对上述地块至今尚有约34,408.68平方米的土地未开发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2NGUzMjc4NDkzMTFjZWExOTI5MGQxNTc5NzQ2OGMifQ=="/>
  </w:docVars>
  <w:rsids>
    <w:rsidRoot w:val="00BD4DFE"/>
    <w:rsid w:val="0003497E"/>
    <w:rsid w:val="00BD4DFE"/>
    <w:rsid w:val="00DF5E85"/>
    <w:rsid w:val="6CBB1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589</Words>
  <Characters>672</Characters>
  <Lines>4</Lines>
  <Paragraphs>1</Paragraphs>
  <TotalTime>24</TotalTime>
  <ScaleCrop>false</ScaleCrop>
  <LinksUpToDate>false</LinksUpToDate>
  <CharactersWithSpaces>672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2022-09-02T02:13:00Z</dcterms:created>
  <dc:creator>xb21cn</dc:creator>
  <cp:lastModifiedBy>刘畅畅</cp:lastModifiedBy>
  <dcterms:modified xsi:type="dcterms:W3CDTF">2023-05-15T02:38:24Z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C91921596529441C82F74699F08CF6A8_12</vt:lpwstr>
  </property>
</Properties>
</file>