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cs="宋体" w:asciiTheme="majorEastAsia" w:hAnsiTheme="majorEastAsia" w:eastAsiaTheme="majorEastAsia"/>
          <w:b/>
          <w:color w:val="auto"/>
          <w:sz w:val="36"/>
          <w:szCs w:val="36"/>
          <w:lang w:eastAsia="zh-CN"/>
        </w:rPr>
      </w:pPr>
      <w:r>
        <w:rPr>
          <w:rFonts w:hint="eastAsia" w:cs="宋体" w:asciiTheme="majorEastAsia" w:hAnsiTheme="majorEastAsia" w:eastAsiaTheme="majorEastAsia"/>
          <w:b/>
          <w:color w:val="auto"/>
          <w:sz w:val="36"/>
          <w:szCs w:val="36"/>
          <w:lang w:val="en-US" w:eastAsia="zh-CN"/>
        </w:rPr>
        <w:t>上饶市安丰科技</w:t>
      </w:r>
      <w:r>
        <w:rPr>
          <w:rFonts w:hint="eastAsia" w:cs="宋体" w:asciiTheme="majorEastAsia" w:hAnsiTheme="majorEastAsia" w:eastAsiaTheme="majorEastAsia"/>
          <w:b/>
          <w:color w:val="auto"/>
          <w:sz w:val="36"/>
          <w:szCs w:val="36"/>
          <w:lang w:eastAsia="zh-CN"/>
        </w:rPr>
        <w:t>有限公司管理人</w:t>
      </w:r>
    </w:p>
    <w:p>
      <w:pPr>
        <w:spacing w:line="500" w:lineRule="exact"/>
        <w:jc w:val="center"/>
        <w:rPr>
          <w:rFonts w:hint="eastAsia" w:cs="宋体" w:asciiTheme="majorEastAsia" w:hAnsiTheme="majorEastAsia" w:eastAsiaTheme="majorEastAsia"/>
          <w:b/>
          <w:color w:val="auto"/>
          <w:kern w:val="0"/>
          <w:sz w:val="36"/>
          <w:szCs w:val="36"/>
          <w:lang w:eastAsia="zh-CN"/>
        </w:rPr>
      </w:pPr>
      <w:r>
        <w:rPr>
          <w:rFonts w:hint="eastAsia" w:cs="宋体" w:asciiTheme="majorEastAsia" w:hAnsiTheme="majorEastAsia" w:eastAsiaTheme="majorEastAsia"/>
          <w:b/>
          <w:color w:val="auto"/>
          <w:spacing w:val="54"/>
          <w:kern w:val="0"/>
          <w:sz w:val="36"/>
          <w:szCs w:val="36"/>
          <w:fitText w:val="1768" w:id="2017422060"/>
          <w:lang w:eastAsia="zh-CN"/>
        </w:rPr>
        <w:t>招商公</w:t>
      </w:r>
      <w:r>
        <w:rPr>
          <w:rFonts w:hint="eastAsia" w:cs="宋体" w:asciiTheme="majorEastAsia" w:hAnsiTheme="majorEastAsia" w:eastAsiaTheme="majorEastAsia"/>
          <w:b/>
          <w:color w:val="auto"/>
          <w:spacing w:val="2"/>
          <w:kern w:val="0"/>
          <w:sz w:val="36"/>
          <w:szCs w:val="36"/>
          <w:fitText w:val="1768" w:id="2017422060"/>
          <w:lang w:eastAsia="zh-CN"/>
        </w:rPr>
        <w:t>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ajorEastAsia"/>
          <w:b/>
          <w:color w:val="auto"/>
          <w:kern w:val="0"/>
          <w:sz w:val="36"/>
          <w:szCs w:val="36"/>
          <w:lang w:eastAsia="zh-CN"/>
        </w:rPr>
      </w:pPr>
      <w:r>
        <w:rPr>
          <w:rFonts w:hint="default" w:ascii="Times New Roman" w:hAnsi="Times New Roman" w:cs="Times New Roman" w:eastAsiaTheme="minorEastAsia"/>
          <w:color w:val="auto"/>
          <w:sz w:val="28"/>
          <w:szCs w:val="28"/>
          <w:lang w:eastAsia="zh-CN"/>
        </w:rPr>
        <w:t>202</w:t>
      </w:r>
      <w:r>
        <w:rPr>
          <w:rFonts w:hint="default" w:ascii="Times New Roman" w:hAnsi="Times New Roman" w:cs="Times New Roman" w:eastAsiaTheme="minorEastAsia"/>
          <w:color w:val="auto"/>
          <w:sz w:val="28"/>
          <w:szCs w:val="28"/>
          <w:lang w:val="en-US" w:eastAsia="zh-CN"/>
        </w:rPr>
        <w:t>3</w:t>
      </w:r>
      <w:r>
        <w:rPr>
          <w:rFonts w:hint="default" w:ascii="Times New Roman" w:hAnsi="Times New Roman" w:cs="Times New Roman" w:eastAsiaTheme="minorEastAsia"/>
          <w:color w:val="auto"/>
          <w:sz w:val="28"/>
          <w:szCs w:val="28"/>
          <w:lang w:eastAsia="zh-CN"/>
        </w:rPr>
        <w:t>年</w:t>
      </w:r>
      <w:r>
        <w:rPr>
          <w:rFonts w:hint="default" w:ascii="Times New Roman" w:hAnsi="Times New Roman" w:cs="Times New Roman" w:eastAsiaTheme="minorEastAsia"/>
          <w:color w:val="auto"/>
          <w:sz w:val="28"/>
          <w:szCs w:val="28"/>
          <w:lang w:val="en-US" w:eastAsia="zh-CN"/>
        </w:rPr>
        <w:t>6</w:t>
      </w:r>
      <w:r>
        <w:rPr>
          <w:rFonts w:hint="default" w:ascii="Times New Roman" w:hAnsi="Times New Roman" w:cs="Times New Roman" w:eastAsiaTheme="minorEastAsia"/>
          <w:color w:val="auto"/>
          <w:sz w:val="28"/>
          <w:szCs w:val="28"/>
          <w:lang w:eastAsia="zh-CN"/>
        </w:rPr>
        <w:t>月</w:t>
      </w:r>
      <w:r>
        <w:rPr>
          <w:rFonts w:hint="default" w:ascii="Times New Roman" w:hAnsi="Times New Roman" w:cs="Times New Roman" w:eastAsiaTheme="minorEastAsia"/>
          <w:color w:val="auto"/>
          <w:sz w:val="28"/>
          <w:szCs w:val="28"/>
          <w:lang w:val="en-US" w:eastAsia="zh-CN"/>
        </w:rPr>
        <w:t>29</w:t>
      </w:r>
      <w:r>
        <w:rPr>
          <w:rFonts w:hint="default" w:ascii="Times New Roman" w:hAnsi="Times New Roman" w:cs="Times New Roman" w:eastAsiaTheme="minorEastAsia"/>
          <w:color w:val="auto"/>
          <w:sz w:val="28"/>
          <w:szCs w:val="28"/>
          <w:lang w:eastAsia="zh-CN"/>
        </w:rPr>
        <w:t>日，江西省</w:t>
      </w:r>
      <w:r>
        <w:rPr>
          <w:rFonts w:hint="default" w:ascii="Times New Roman" w:hAnsi="Times New Roman" w:cs="Times New Roman" w:eastAsiaTheme="minorEastAsia"/>
          <w:color w:val="auto"/>
          <w:sz w:val="28"/>
          <w:szCs w:val="28"/>
          <w:lang w:val="en-US" w:eastAsia="zh-CN"/>
        </w:rPr>
        <w:t>万年</w:t>
      </w:r>
      <w:r>
        <w:rPr>
          <w:rFonts w:hint="default" w:ascii="Times New Roman" w:hAnsi="Times New Roman" w:cs="Times New Roman" w:eastAsiaTheme="minorEastAsia"/>
          <w:color w:val="auto"/>
          <w:sz w:val="28"/>
          <w:szCs w:val="28"/>
          <w:lang w:eastAsia="zh-CN"/>
        </w:rPr>
        <w:t>县人民法院</w:t>
      </w:r>
      <w:r>
        <w:rPr>
          <w:rFonts w:hint="default" w:ascii="Times New Roman" w:hAnsi="Times New Roman" w:cs="Times New Roman" w:eastAsiaTheme="minorEastAsia"/>
          <w:color w:val="auto"/>
          <w:sz w:val="28"/>
          <w:szCs w:val="28"/>
          <w:lang w:val="en-US" w:eastAsia="zh-CN"/>
        </w:rPr>
        <w:t>裁</w:t>
      </w:r>
      <w:r>
        <w:rPr>
          <w:rFonts w:hint="default" w:ascii="Times New Roman" w:hAnsi="Times New Roman" w:cs="Times New Roman" w:eastAsiaTheme="minorEastAsia"/>
          <w:color w:val="auto"/>
          <w:sz w:val="28"/>
          <w:szCs w:val="28"/>
          <w:lang w:eastAsia="zh-CN"/>
        </w:rPr>
        <w:t>定受理</w:t>
      </w:r>
      <w:r>
        <w:rPr>
          <w:rFonts w:hint="default" w:ascii="Times New Roman" w:hAnsi="Times New Roman" w:cs="Times New Roman" w:eastAsiaTheme="minorEastAsia"/>
          <w:color w:val="auto"/>
          <w:sz w:val="28"/>
          <w:szCs w:val="28"/>
          <w:lang w:val="en-US" w:eastAsia="zh-CN"/>
        </w:rPr>
        <w:t>上饶市安丰科技</w:t>
      </w:r>
      <w:r>
        <w:rPr>
          <w:rFonts w:hint="default" w:ascii="Times New Roman" w:hAnsi="Times New Roman" w:cs="Times New Roman" w:eastAsiaTheme="minorEastAsia"/>
          <w:color w:val="auto"/>
          <w:sz w:val="28"/>
          <w:szCs w:val="28"/>
          <w:lang w:eastAsia="zh-CN"/>
        </w:rPr>
        <w:t>有限公司（以下简称“</w:t>
      </w:r>
      <w:r>
        <w:rPr>
          <w:rFonts w:hint="default" w:ascii="Times New Roman" w:hAnsi="Times New Roman" w:cs="Times New Roman" w:eastAsiaTheme="minorEastAsia"/>
          <w:color w:val="auto"/>
          <w:sz w:val="28"/>
          <w:szCs w:val="28"/>
          <w:lang w:val="en-US" w:eastAsia="zh-CN"/>
        </w:rPr>
        <w:t>债务人”或“安丰科技</w:t>
      </w:r>
      <w:r>
        <w:rPr>
          <w:rFonts w:hint="default" w:ascii="Times New Roman" w:hAnsi="Times New Roman" w:cs="Times New Roman" w:eastAsiaTheme="minorEastAsia"/>
          <w:color w:val="auto"/>
          <w:sz w:val="28"/>
          <w:szCs w:val="28"/>
          <w:lang w:eastAsia="zh-CN"/>
        </w:rPr>
        <w:t>公司”）</w:t>
      </w:r>
      <w:r>
        <w:rPr>
          <w:rFonts w:hint="default" w:ascii="Times New Roman" w:hAnsi="Times New Roman" w:cs="Times New Roman" w:eastAsiaTheme="minorEastAsia"/>
          <w:color w:val="auto"/>
          <w:sz w:val="28"/>
          <w:szCs w:val="28"/>
          <w:lang w:val="en-US" w:eastAsia="zh-CN"/>
        </w:rPr>
        <w:t>破产</w:t>
      </w:r>
      <w:r>
        <w:rPr>
          <w:rFonts w:hint="default" w:ascii="Times New Roman" w:hAnsi="Times New Roman" w:cs="Times New Roman" w:eastAsiaTheme="minorEastAsia"/>
          <w:color w:val="auto"/>
          <w:sz w:val="28"/>
          <w:szCs w:val="28"/>
          <w:lang w:eastAsia="zh-CN"/>
        </w:rPr>
        <w:t>一案，并于202</w:t>
      </w:r>
      <w:r>
        <w:rPr>
          <w:rFonts w:hint="default" w:ascii="Times New Roman" w:hAnsi="Times New Roman" w:cs="Times New Roman" w:eastAsiaTheme="minorEastAsia"/>
          <w:color w:val="auto"/>
          <w:sz w:val="28"/>
          <w:szCs w:val="28"/>
          <w:lang w:val="en-US" w:eastAsia="zh-CN"/>
        </w:rPr>
        <w:t>3</w:t>
      </w:r>
      <w:r>
        <w:rPr>
          <w:rFonts w:hint="default" w:ascii="Times New Roman" w:hAnsi="Times New Roman" w:cs="Times New Roman" w:eastAsiaTheme="minorEastAsia"/>
          <w:color w:val="auto"/>
          <w:sz w:val="28"/>
          <w:szCs w:val="28"/>
          <w:lang w:eastAsia="zh-CN"/>
        </w:rPr>
        <w:t>年</w:t>
      </w:r>
      <w:r>
        <w:rPr>
          <w:rFonts w:hint="default" w:ascii="Times New Roman" w:hAnsi="Times New Roman" w:cs="Times New Roman" w:eastAsiaTheme="minorEastAsia"/>
          <w:color w:val="auto"/>
          <w:sz w:val="28"/>
          <w:szCs w:val="28"/>
          <w:lang w:val="en-US" w:eastAsia="zh-CN"/>
        </w:rPr>
        <w:t>7</w:t>
      </w:r>
      <w:r>
        <w:rPr>
          <w:rFonts w:hint="default" w:ascii="Times New Roman" w:hAnsi="Times New Roman" w:cs="Times New Roman" w:eastAsiaTheme="minorEastAsia"/>
          <w:color w:val="auto"/>
          <w:sz w:val="28"/>
          <w:szCs w:val="28"/>
          <w:lang w:eastAsia="zh-CN"/>
        </w:rPr>
        <w:t>月</w:t>
      </w:r>
      <w:r>
        <w:rPr>
          <w:rFonts w:hint="default" w:ascii="Times New Roman" w:hAnsi="Times New Roman" w:cs="Times New Roman" w:eastAsiaTheme="minorEastAsia"/>
          <w:color w:val="auto"/>
          <w:sz w:val="28"/>
          <w:szCs w:val="28"/>
          <w:lang w:val="en-US" w:eastAsia="zh-CN"/>
        </w:rPr>
        <w:t>4</w:t>
      </w:r>
      <w:r>
        <w:rPr>
          <w:rFonts w:hint="default" w:ascii="Times New Roman" w:hAnsi="Times New Roman" w:cs="Times New Roman" w:eastAsiaTheme="minorEastAsia"/>
          <w:color w:val="auto"/>
          <w:sz w:val="28"/>
          <w:szCs w:val="28"/>
          <w:lang w:eastAsia="zh-CN"/>
        </w:rPr>
        <w:t>日指定江西永华和信会计师事务所有限公司担任</w:t>
      </w:r>
      <w:r>
        <w:rPr>
          <w:rFonts w:hint="default" w:ascii="Times New Roman" w:hAnsi="Times New Roman" w:cs="Times New Roman" w:eastAsiaTheme="minorEastAsia"/>
          <w:color w:val="auto"/>
          <w:sz w:val="28"/>
          <w:szCs w:val="28"/>
          <w:lang w:val="en-US" w:eastAsia="zh-CN"/>
        </w:rPr>
        <w:t>安丰科技</w:t>
      </w:r>
      <w:r>
        <w:rPr>
          <w:rFonts w:hint="default" w:ascii="Times New Roman" w:hAnsi="Times New Roman" w:cs="Times New Roman" w:eastAsiaTheme="minorEastAsia"/>
          <w:color w:val="auto"/>
          <w:sz w:val="28"/>
          <w:szCs w:val="28"/>
          <w:lang w:eastAsia="zh-CN"/>
        </w:rPr>
        <w:t>公司管理人（</w:t>
      </w:r>
      <w:r>
        <w:rPr>
          <w:rFonts w:hint="default" w:ascii="Times New Roman" w:hAnsi="Times New Roman" w:cs="Times New Roman" w:eastAsiaTheme="minorEastAsia"/>
          <w:color w:val="auto"/>
          <w:sz w:val="28"/>
          <w:szCs w:val="28"/>
          <w:lang w:val="en-US" w:eastAsia="zh-CN"/>
        </w:rPr>
        <w:t>以下简称“管理人”）</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依法履行管理人职责</w:t>
      </w:r>
      <w:r>
        <w:rPr>
          <w:rFonts w:hint="default" w:ascii="Times New Roman" w:hAnsi="Times New Roman" w:cs="Times New Roman" w:eastAsiaTheme="minorEastAsia"/>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92" w:firstLineChars="200"/>
        <w:textAlignment w:val="auto"/>
        <w:rPr>
          <w:rFonts w:hint="default" w:ascii="Times New Roman" w:hAnsi="Times New Roman" w:cs="Times New Roman" w:eastAsiaTheme="minorEastAsia"/>
          <w:color w:val="auto"/>
          <w:sz w:val="28"/>
          <w:szCs w:val="28"/>
          <w:lang w:eastAsia="zh-CN"/>
        </w:rPr>
      </w:pPr>
      <w:r>
        <w:rPr>
          <w:rFonts w:hint="default" w:ascii="Times New Roman" w:hAnsi="Times New Roman" w:cs="Times New Roman" w:eastAsiaTheme="minorEastAsia"/>
          <w:color w:val="auto"/>
          <w:spacing w:val="8"/>
          <w:sz w:val="28"/>
          <w:szCs w:val="28"/>
          <w:shd w:val="clear" w:color="auto" w:fill="FFFFFF"/>
          <w:lang w:val="en-US" w:eastAsia="zh-CN"/>
        </w:rPr>
        <w:t>根据</w:t>
      </w:r>
      <w:r>
        <w:rPr>
          <w:rFonts w:hint="default" w:ascii="Times New Roman" w:hAnsi="Times New Roman" w:cs="Times New Roman" w:eastAsiaTheme="minorEastAsia"/>
          <w:color w:val="auto"/>
          <w:sz w:val="28"/>
          <w:szCs w:val="28"/>
          <w:lang w:val="en-US" w:eastAsia="zh-CN"/>
        </w:rPr>
        <w:t>安丰科技</w:t>
      </w:r>
      <w:r>
        <w:rPr>
          <w:rFonts w:hint="default" w:ascii="Times New Roman" w:hAnsi="Times New Roman" w:cs="Times New Roman" w:eastAsiaTheme="minorEastAsia"/>
          <w:color w:val="auto"/>
          <w:sz w:val="28"/>
          <w:szCs w:val="28"/>
          <w:lang w:eastAsia="zh-CN"/>
        </w:rPr>
        <w:t>公司</w:t>
      </w:r>
      <w:r>
        <w:rPr>
          <w:rFonts w:hint="default" w:ascii="Times New Roman" w:hAnsi="Times New Roman" w:cs="Times New Roman" w:eastAsiaTheme="minorEastAsia"/>
          <w:color w:val="auto"/>
          <w:sz w:val="28"/>
          <w:szCs w:val="28"/>
          <w:lang w:val="en-US" w:eastAsia="zh-CN"/>
        </w:rPr>
        <w:t>的实际情况</w:t>
      </w:r>
      <w:r>
        <w:rPr>
          <w:rFonts w:hint="default" w:ascii="Times New Roman" w:hAnsi="Times New Roman" w:cs="Times New Roman" w:eastAsiaTheme="minorEastAsia"/>
          <w:color w:val="auto"/>
          <w:spacing w:val="8"/>
          <w:sz w:val="28"/>
          <w:szCs w:val="28"/>
          <w:shd w:val="clear" w:color="auto" w:fill="FFFFFF"/>
          <w:lang w:val="en-US" w:eastAsia="zh-CN"/>
        </w:rPr>
        <w:t>，为维护债权人和债务人的合法权益，最大程度维持安丰科技公司的营运价值，管理人</w:t>
      </w:r>
      <w:r>
        <w:rPr>
          <w:rFonts w:hint="default" w:ascii="Times New Roman" w:hAnsi="Times New Roman" w:cs="Times New Roman" w:eastAsiaTheme="minorEastAsia"/>
          <w:color w:val="auto"/>
          <w:sz w:val="28"/>
          <w:szCs w:val="28"/>
          <w:lang w:val="en-US" w:eastAsia="zh-CN"/>
        </w:rPr>
        <w:t>现</w:t>
      </w:r>
      <w:r>
        <w:rPr>
          <w:rFonts w:hint="default" w:ascii="Times New Roman" w:hAnsi="Times New Roman" w:cs="Times New Roman" w:eastAsiaTheme="minorEastAsia"/>
          <w:color w:val="auto"/>
          <w:sz w:val="28"/>
          <w:szCs w:val="28"/>
          <w:lang w:eastAsia="zh-CN"/>
        </w:rPr>
        <w:t>面向社会公开</w:t>
      </w:r>
      <w:r>
        <w:rPr>
          <w:rFonts w:hint="default" w:ascii="Times New Roman" w:hAnsi="Times New Roman" w:cs="Times New Roman" w:eastAsiaTheme="minorEastAsia"/>
          <w:color w:val="auto"/>
          <w:sz w:val="28"/>
          <w:szCs w:val="28"/>
          <w:lang w:val="en-US" w:eastAsia="zh-CN"/>
        </w:rPr>
        <w:t>招商</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现将相关</w:t>
      </w:r>
      <w:r>
        <w:rPr>
          <w:rFonts w:hint="default" w:ascii="Times New Roman" w:hAnsi="Times New Roman" w:cs="Times New Roman" w:eastAsiaTheme="minorEastAsia"/>
          <w:color w:val="auto"/>
          <w:sz w:val="28"/>
          <w:szCs w:val="28"/>
          <w:lang w:eastAsia="zh-CN"/>
        </w:rPr>
        <w:t>事宜公告如下：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cs="Times New Roman" w:eastAsiaTheme="minorEastAsia"/>
          <w:b/>
          <w:bCs/>
          <w:color w:val="auto"/>
          <w:sz w:val="28"/>
          <w:szCs w:val="28"/>
          <w:lang w:val="en-US" w:eastAsia="zh-CN"/>
        </w:rPr>
      </w:pPr>
      <w:r>
        <w:rPr>
          <w:rFonts w:hint="default" w:ascii="Times New Roman" w:hAnsi="Times New Roman" w:cs="Times New Roman" w:eastAsiaTheme="minorEastAsia"/>
          <w:b/>
          <w:bCs/>
          <w:color w:val="auto"/>
          <w:sz w:val="28"/>
          <w:szCs w:val="28"/>
          <w:lang w:val="en-US" w:eastAsia="zh-CN"/>
        </w:rPr>
        <w:t>债务人概况</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sz w:val="28"/>
          <w:szCs w:val="28"/>
          <w:lang w:val="en-US" w:eastAsia="zh-CN"/>
        </w:rPr>
        <w:t>（一）基本情况</w:t>
      </w:r>
      <w:r>
        <w:rPr>
          <w:rFonts w:hint="eastAsia" w:ascii="Times New Roman" w:hAnsi="Times New Roman" w:cs="Times New Roman"/>
          <w:b w:val="0"/>
          <w:bCs w:val="0"/>
          <w:color w:val="auto"/>
          <w:sz w:val="28"/>
          <w:szCs w:val="28"/>
          <w:lang w:val="en-US" w:eastAsia="zh-CN"/>
        </w:rPr>
        <w:t>3901208@Th</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20" w:firstLineChars="200"/>
        <w:textAlignment w:val="auto"/>
        <w:rPr>
          <w:rFonts w:hint="default" w:ascii="Times New Roman" w:hAnsi="Times New Roman" w:cs="Times New Roman"/>
          <w:color w:val="auto"/>
          <w:lang w:val="en-US" w:eastAsia="zh-CN"/>
        </w:rPr>
      </w:pPr>
      <w:bookmarkStart w:id="0" w:name="_GoBack"/>
      <w:r>
        <w:rPr>
          <w:rFonts w:hint="default" w:ascii="Times New Roman" w:hAnsi="Times New Roman" w:cs="Times New Roman"/>
          <w:color w:val="auto"/>
        </w:rPr>
        <w:drawing>
          <wp:anchor distT="0" distB="0" distL="114300" distR="114300" simplePos="0" relativeHeight="251661312" behindDoc="0" locked="0" layoutInCell="1" allowOverlap="1">
            <wp:simplePos x="0" y="0"/>
            <wp:positionH relativeFrom="column">
              <wp:posOffset>47625</wp:posOffset>
            </wp:positionH>
            <wp:positionV relativeFrom="paragraph">
              <wp:posOffset>2382520</wp:posOffset>
            </wp:positionV>
            <wp:extent cx="5645785" cy="3342005"/>
            <wp:effectExtent l="0" t="0" r="12065" b="10795"/>
            <wp:wrapTopAndBottom/>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
                    <a:stretch>
                      <a:fillRect/>
                    </a:stretch>
                  </pic:blipFill>
                  <pic:spPr>
                    <a:xfrm>
                      <a:off x="0" y="0"/>
                      <a:ext cx="5645785" cy="3342005"/>
                    </a:xfrm>
                    <a:prstGeom prst="rect">
                      <a:avLst/>
                    </a:prstGeom>
                    <a:noFill/>
                    <a:ln>
                      <a:noFill/>
                    </a:ln>
                  </pic:spPr>
                </pic:pic>
              </a:graphicData>
            </a:graphic>
          </wp:anchor>
        </w:drawing>
      </w:r>
      <w:r>
        <w:rPr>
          <w:rFonts w:hint="default" w:ascii="Times New Roman" w:hAnsi="Times New Roman" w:cs="Times New Roman" w:eastAsiaTheme="minorEastAsia"/>
          <w:color w:val="auto"/>
          <w:sz w:val="28"/>
          <w:szCs w:val="28"/>
          <w:lang w:val="en-US" w:eastAsia="zh-CN"/>
        </w:rPr>
        <w:t>根据国家企业信用信息公示系统的信息显示：安丰科技公司于2011年7月19日成立；统一社</w:t>
      </w:r>
      <w:bookmarkEnd w:id="0"/>
      <w:r>
        <w:rPr>
          <w:rFonts w:hint="default" w:ascii="Times New Roman" w:hAnsi="Times New Roman" w:cs="Times New Roman" w:eastAsiaTheme="minorEastAsia"/>
          <w:color w:val="auto"/>
          <w:sz w:val="28"/>
          <w:szCs w:val="28"/>
          <w:lang w:val="en-US" w:eastAsia="zh-CN"/>
        </w:rPr>
        <w:t>会信用代码913611295787627658；法定代表人李福生；注册资本60万元；营业期限为2011年7月19日至2061年7月18日；注册地址江西省上饶市万年县石镇工业园区；经营范围为：橡胶制品、燃料油（不含危险化学品）、炭黑的研发、制造、加工、销售。【以上项目国家有专项规定的，凭许可证或资质证经营】</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（二）股东出资情况</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 w:val="28"/>
          <w:szCs w:val="28"/>
          <w:lang w:val="en-US" w:eastAsia="zh-CN"/>
        </w:rPr>
        <w:t>根据国家企业信用信息公示系统显示，安丰科技公司股东认缴出资情况情况如下：</w:t>
      </w:r>
    </w:p>
    <w:tbl>
      <w:tblPr>
        <w:tblStyle w:val="6"/>
        <w:tblW w:w="813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76"/>
        <w:gridCol w:w="1258"/>
        <w:gridCol w:w="1242"/>
        <w:gridCol w:w="2431"/>
        <w:gridCol w:w="24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 w:hRule="atLeast"/>
          <w:jc w:val="center"/>
        </w:trPr>
        <w:tc>
          <w:tcPr>
            <w:tcW w:w="776"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1258"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股东名称</w:t>
            </w:r>
          </w:p>
        </w:tc>
        <w:tc>
          <w:tcPr>
            <w:tcW w:w="1242"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持股比例</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认缴出资额</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认缴出资日期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 w:hRule="atLeast"/>
          <w:jc w:val="center"/>
        </w:trPr>
        <w:tc>
          <w:tcPr>
            <w:tcW w:w="776"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1</w:t>
            </w:r>
          </w:p>
        </w:tc>
        <w:tc>
          <w:tcPr>
            <w:tcW w:w="1258"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李福生</w:t>
            </w:r>
          </w:p>
        </w:tc>
        <w:tc>
          <w:tcPr>
            <w:tcW w:w="1242"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4</w:t>
            </w:r>
            <w:r>
              <w:rPr>
                <w:rFonts w:hint="default" w:ascii="Times New Roman" w:hAnsi="Times New Roman" w:eastAsia="宋体" w:cs="Times New Roman"/>
                <w:b/>
                <w:bCs/>
                <w:color w:val="auto"/>
                <w:sz w:val="21"/>
                <w:szCs w:val="21"/>
              </w:rPr>
              <w:t>0%</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24</w:t>
            </w:r>
            <w:r>
              <w:rPr>
                <w:rFonts w:hint="default" w:ascii="Times New Roman" w:hAnsi="Times New Roman" w:eastAsia="宋体" w:cs="Times New Roman"/>
                <w:b/>
                <w:bCs/>
                <w:color w:val="auto"/>
                <w:sz w:val="21"/>
                <w:szCs w:val="21"/>
              </w:rPr>
              <w:t>万(元)</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201</w:t>
            </w:r>
            <w:r>
              <w:rPr>
                <w:rFonts w:hint="default" w:ascii="Times New Roman" w:hAnsi="Times New Roman" w:eastAsia="宋体" w:cs="Times New Roman"/>
                <w:b/>
                <w:bCs/>
                <w:color w:val="auto"/>
                <w:sz w:val="21"/>
                <w:szCs w:val="21"/>
                <w:lang w:val="en-US" w:eastAsia="zh-CN"/>
              </w:rPr>
              <w:t>1</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07</w:t>
            </w:r>
            <w:r>
              <w:rPr>
                <w:rFonts w:hint="default" w:ascii="Times New Roman" w:hAnsi="Times New Roman" w:eastAsia="宋体" w:cs="Times New Roman"/>
                <w:b/>
                <w:bCs/>
                <w:color w:val="auto"/>
                <w:sz w:val="21"/>
                <w:szCs w:val="21"/>
              </w:rPr>
              <w:t>-1</w:t>
            </w:r>
            <w:r>
              <w:rPr>
                <w:rFonts w:hint="default" w:ascii="Times New Roman" w:hAnsi="Times New Roman" w:eastAsia="宋体" w:cs="Times New Roman"/>
                <w:b/>
                <w:bCs/>
                <w:color w:val="auto"/>
                <w:sz w:val="21"/>
                <w:szCs w:val="21"/>
                <w:lang w:val="en-US" w:eastAsia="zh-CN"/>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 w:hRule="atLeast"/>
          <w:jc w:val="center"/>
        </w:trPr>
        <w:tc>
          <w:tcPr>
            <w:tcW w:w="776"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2</w:t>
            </w:r>
          </w:p>
        </w:tc>
        <w:tc>
          <w:tcPr>
            <w:tcW w:w="1258"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尤友顺</w:t>
            </w:r>
          </w:p>
        </w:tc>
        <w:tc>
          <w:tcPr>
            <w:tcW w:w="1242"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20%</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12</w:t>
            </w:r>
            <w:r>
              <w:rPr>
                <w:rFonts w:hint="default" w:ascii="Times New Roman" w:hAnsi="Times New Roman" w:eastAsia="宋体" w:cs="Times New Roman"/>
                <w:b/>
                <w:bCs/>
                <w:color w:val="auto"/>
                <w:sz w:val="21"/>
                <w:szCs w:val="21"/>
              </w:rPr>
              <w:t>万(元)</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20</w:t>
            </w:r>
            <w:r>
              <w:rPr>
                <w:rFonts w:hint="default" w:ascii="Times New Roman" w:hAnsi="Times New Roman" w:eastAsia="宋体" w:cs="Times New Roman"/>
                <w:b/>
                <w:bCs/>
                <w:color w:val="auto"/>
                <w:sz w:val="21"/>
                <w:szCs w:val="21"/>
                <w:lang w:val="en-US" w:eastAsia="zh-CN"/>
              </w:rPr>
              <w:t>11</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07</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18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6" w:hRule="atLeast"/>
          <w:jc w:val="center"/>
        </w:trPr>
        <w:tc>
          <w:tcPr>
            <w:tcW w:w="776"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3</w:t>
            </w:r>
          </w:p>
        </w:tc>
        <w:tc>
          <w:tcPr>
            <w:tcW w:w="1258"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val="none" w:color="000000"/>
                <w:lang w:val="en-US" w:eastAsia="zh-CN" w:bidi="ar-SA"/>
              </w:rPr>
            </w:pPr>
            <w:r>
              <w:rPr>
                <w:rFonts w:hint="default" w:ascii="Times New Roman" w:hAnsi="Times New Roman" w:eastAsia="宋体" w:cs="Times New Roman"/>
                <w:b/>
                <w:bCs/>
                <w:color w:val="auto"/>
                <w:sz w:val="21"/>
                <w:szCs w:val="21"/>
                <w:lang w:val="en-US" w:eastAsia="zh-CN"/>
              </w:rPr>
              <w:t>阮圣伟</w:t>
            </w:r>
          </w:p>
        </w:tc>
        <w:tc>
          <w:tcPr>
            <w:tcW w:w="1242"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en-US" w:bidi="ar-SA"/>
              </w:rPr>
            </w:pPr>
            <w:r>
              <w:rPr>
                <w:rFonts w:hint="default" w:ascii="Times New Roman" w:hAnsi="Times New Roman" w:eastAsia="宋体" w:cs="Times New Roman"/>
                <w:b/>
                <w:bCs/>
                <w:color w:val="auto"/>
                <w:sz w:val="21"/>
                <w:szCs w:val="21"/>
              </w:rPr>
              <w:t>20%</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en-US" w:bidi="ar-SA"/>
              </w:rPr>
            </w:pPr>
            <w:r>
              <w:rPr>
                <w:rFonts w:hint="default" w:ascii="Times New Roman" w:hAnsi="Times New Roman" w:eastAsia="宋体" w:cs="Times New Roman"/>
                <w:b/>
                <w:bCs/>
                <w:color w:val="auto"/>
                <w:sz w:val="21"/>
                <w:szCs w:val="21"/>
                <w:lang w:val="en-US" w:eastAsia="zh-CN"/>
              </w:rPr>
              <w:t>12</w:t>
            </w:r>
            <w:r>
              <w:rPr>
                <w:rFonts w:hint="default" w:ascii="Times New Roman" w:hAnsi="Times New Roman" w:eastAsia="宋体" w:cs="Times New Roman"/>
                <w:b/>
                <w:bCs/>
                <w:color w:val="auto"/>
                <w:sz w:val="21"/>
                <w:szCs w:val="21"/>
              </w:rPr>
              <w:t>万(元)</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zh-CN" w:bidi="ar-SA"/>
              </w:rPr>
            </w:pPr>
            <w:r>
              <w:rPr>
                <w:rFonts w:hint="default" w:ascii="Times New Roman" w:hAnsi="Times New Roman" w:eastAsia="宋体" w:cs="Times New Roman"/>
                <w:b/>
                <w:bCs/>
                <w:color w:val="auto"/>
                <w:sz w:val="21"/>
                <w:szCs w:val="21"/>
              </w:rPr>
              <w:t>20</w:t>
            </w:r>
            <w:r>
              <w:rPr>
                <w:rFonts w:hint="default" w:ascii="Times New Roman" w:hAnsi="Times New Roman" w:eastAsia="宋体" w:cs="Times New Roman"/>
                <w:b/>
                <w:bCs/>
                <w:color w:val="auto"/>
                <w:sz w:val="21"/>
                <w:szCs w:val="21"/>
                <w:lang w:val="en-US" w:eastAsia="zh-CN"/>
              </w:rPr>
              <w:t>11</w:t>
            </w:r>
            <w:r>
              <w:rPr>
                <w:rFonts w:hint="default" w:ascii="Times New Roman" w:hAnsi="Times New Roman" w:eastAsia="宋体" w:cs="Times New Roman"/>
                <w:b/>
                <w:bCs/>
                <w:color w:val="auto"/>
                <w:sz w:val="21"/>
                <w:szCs w:val="21"/>
              </w:rPr>
              <w:t>-08-</w:t>
            </w:r>
            <w:r>
              <w:rPr>
                <w:rFonts w:hint="default" w:ascii="Times New Roman" w:hAnsi="Times New Roman" w:eastAsia="宋体" w:cs="Times New Roman"/>
                <w:b/>
                <w:bCs/>
                <w:color w:val="auto"/>
                <w:sz w:val="21"/>
                <w:szCs w:val="21"/>
                <w:lang w:val="en-US" w:eastAsia="zh-CN"/>
              </w:rPr>
              <w:t>23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2" w:hRule="atLeast"/>
          <w:jc w:val="center"/>
        </w:trPr>
        <w:tc>
          <w:tcPr>
            <w:tcW w:w="776"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4</w:t>
            </w:r>
          </w:p>
        </w:tc>
        <w:tc>
          <w:tcPr>
            <w:tcW w:w="1258"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val="none" w:color="000000"/>
                <w:lang w:val="en-US" w:eastAsia="zh-CN" w:bidi="ar-SA"/>
              </w:rPr>
            </w:pPr>
            <w:r>
              <w:rPr>
                <w:rFonts w:hint="default" w:ascii="Times New Roman" w:hAnsi="Times New Roman" w:eastAsia="宋体" w:cs="Times New Roman"/>
                <w:b/>
                <w:bCs/>
                <w:color w:val="auto"/>
                <w:sz w:val="21"/>
                <w:szCs w:val="21"/>
                <w:u w:val="none"/>
                <w:lang w:val="en-US" w:eastAsia="zh-CN"/>
              </w:rPr>
              <w:t>陶敬明</w:t>
            </w:r>
          </w:p>
        </w:tc>
        <w:tc>
          <w:tcPr>
            <w:tcW w:w="1242"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en-US" w:bidi="ar-SA"/>
              </w:rPr>
            </w:pPr>
            <w:r>
              <w:rPr>
                <w:rFonts w:hint="default" w:ascii="Times New Roman" w:hAnsi="Times New Roman" w:eastAsia="宋体" w:cs="Times New Roman"/>
                <w:b/>
                <w:bCs/>
                <w:color w:val="auto"/>
                <w:sz w:val="21"/>
                <w:szCs w:val="21"/>
              </w:rPr>
              <w:t>20%</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en-US" w:bidi="ar-SA"/>
              </w:rPr>
            </w:pPr>
            <w:r>
              <w:rPr>
                <w:rFonts w:hint="default" w:ascii="Times New Roman" w:hAnsi="Times New Roman" w:eastAsia="宋体" w:cs="Times New Roman"/>
                <w:b/>
                <w:bCs/>
                <w:color w:val="auto"/>
                <w:sz w:val="21"/>
                <w:szCs w:val="21"/>
                <w:lang w:val="en-US" w:eastAsia="zh-CN"/>
              </w:rPr>
              <w:t>12</w:t>
            </w:r>
            <w:r>
              <w:rPr>
                <w:rFonts w:hint="default" w:ascii="Times New Roman" w:hAnsi="Times New Roman" w:eastAsia="宋体" w:cs="Times New Roman"/>
                <w:b/>
                <w:bCs/>
                <w:color w:val="auto"/>
                <w:sz w:val="21"/>
                <w:szCs w:val="21"/>
              </w:rPr>
              <w:t>万(元)</w:t>
            </w:r>
          </w:p>
        </w:tc>
        <w:tc>
          <w:tcPr>
            <w:tcW w:w="2431" w:type="dxa"/>
            <w:noWrap/>
            <w:vAlign w:val="top"/>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kern w:val="2"/>
                <w:sz w:val="21"/>
                <w:szCs w:val="21"/>
                <w:u w:color="000000"/>
                <w:lang w:val="en-US" w:eastAsia="en-US" w:bidi="ar-SA"/>
              </w:rPr>
            </w:pPr>
            <w:r>
              <w:rPr>
                <w:rFonts w:hint="default" w:ascii="Times New Roman" w:hAnsi="Times New Roman" w:eastAsia="宋体" w:cs="Times New Roman"/>
                <w:b/>
                <w:bCs/>
                <w:color w:val="auto"/>
                <w:sz w:val="21"/>
                <w:szCs w:val="21"/>
              </w:rPr>
              <w:t>20</w:t>
            </w:r>
            <w:r>
              <w:rPr>
                <w:rFonts w:hint="default" w:ascii="Times New Roman" w:hAnsi="Times New Roman" w:eastAsia="宋体" w:cs="Times New Roman"/>
                <w:b/>
                <w:bCs/>
                <w:color w:val="auto"/>
                <w:sz w:val="21"/>
                <w:szCs w:val="21"/>
                <w:lang w:val="en-US" w:eastAsia="zh-CN"/>
              </w:rPr>
              <w:t>11</w:t>
            </w:r>
            <w:r>
              <w:rPr>
                <w:rFonts w:hint="default" w:ascii="Times New Roman" w:hAnsi="Times New Roman" w:eastAsia="宋体" w:cs="Times New Roman"/>
                <w:b/>
                <w:bCs/>
                <w:color w:val="auto"/>
                <w:sz w:val="21"/>
                <w:szCs w:val="21"/>
              </w:rPr>
              <w:t>-08-</w:t>
            </w:r>
            <w:r>
              <w:rPr>
                <w:rFonts w:hint="default" w:ascii="Times New Roman" w:hAnsi="Times New Roman" w:eastAsia="宋体" w:cs="Times New Roman"/>
                <w:b/>
                <w:bCs/>
                <w:color w:val="auto"/>
                <w:sz w:val="21"/>
                <w:szCs w:val="21"/>
                <w:lang w:val="en-US" w:eastAsia="zh-CN"/>
              </w:rPr>
              <w:t>23</w:t>
            </w:r>
          </w:p>
        </w:tc>
      </w:tr>
    </w:tbl>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目前股东阮圣伟、陶敬明股权己被冻结。</w:t>
      </w:r>
    </w:p>
    <w:p>
      <w:pPr>
        <w:pStyle w:val="2"/>
        <w:keepNext w:val="0"/>
        <w:keepLines w:val="0"/>
        <w:pageBreakBefore w:val="0"/>
        <w:widowControl w:val="0"/>
        <w:numPr>
          <w:ilvl w:val="0"/>
          <w:numId w:val="2"/>
        </w:numPr>
        <w:tabs>
          <w:tab w:val="left" w:pos="1542"/>
        </w:tabs>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b w:val="0"/>
          <w:bCs w:val="0"/>
          <w:color w:val="auto"/>
          <w:sz w:val="28"/>
          <w:szCs w:val="28"/>
          <w:lang w:val="en-US" w:eastAsia="zh-CN"/>
        </w:rPr>
      </w:pPr>
      <w:r>
        <w:rPr>
          <w:rFonts w:hint="default" w:ascii="Times New Roman" w:hAnsi="Times New Roman" w:cs="Times New Roman"/>
          <w:b w:val="0"/>
          <w:bCs w:val="0"/>
          <w:color w:val="auto"/>
          <w:sz w:val="28"/>
          <w:szCs w:val="28"/>
          <w:lang w:val="en-US" w:eastAsia="zh-CN"/>
        </w:rPr>
        <w:t xml:space="preserve">经营情况 </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b w:val="0"/>
          <w:bCs w:val="0"/>
          <w:color w:val="auto"/>
          <w:sz w:val="28"/>
          <w:szCs w:val="28"/>
          <w:lang w:val="en-US" w:eastAsia="zh-CN"/>
        </w:rPr>
      </w:pPr>
      <w:r>
        <w:rPr>
          <w:rFonts w:hint="default" w:ascii="Times New Roman" w:hAnsi="Times New Roman" w:cs="Times New Roman"/>
          <w:b w:val="0"/>
          <w:bCs w:val="0"/>
          <w:color w:val="auto"/>
          <w:sz w:val="28"/>
          <w:szCs w:val="28"/>
          <w:lang w:val="en-US" w:eastAsia="zh-CN"/>
        </w:rPr>
        <w:t>经管理人初步调查，安丰科技公司主要经营业务为回收废旧轮胎以提炼</w:t>
      </w:r>
      <w:r>
        <w:rPr>
          <w:rFonts w:hint="default" w:ascii="Times New Roman" w:hAnsi="Times New Roman" w:cs="Times New Roman"/>
          <w:color w:val="auto"/>
          <w:sz w:val="28"/>
          <w:szCs w:val="28"/>
          <w:lang w:val="en-US" w:eastAsia="zh-CN"/>
        </w:rPr>
        <w:t>炭黑</w:t>
      </w:r>
      <w:r>
        <w:rPr>
          <w:rFonts w:hint="default" w:ascii="Times New Roman" w:hAnsi="Times New Roman" w:cs="Times New Roman"/>
          <w:b w:val="0"/>
          <w:bCs w:val="0"/>
          <w:color w:val="auto"/>
          <w:sz w:val="28"/>
          <w:szCs w:val="28"/>
          <w:lang w:val="en-US" w:eastAsia="zh-CN"/>
        </w:rPr>
        <w:t>等产品，于2021年上半年停产。</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b w:val="0"/>
          <w:bCs w:val="0"/>
          <w:color w:val="auto"/>
          <w:sz w:val="28"/>
          <w:szCs w:val="28"/>
          <w:lang w:val="en-US" w:eastAsia="zh-CN"/>
        </w:rPr>
      </w:pPr>
      <w:r>
        <w:rPr>
          <w:rFonts w:hint="default" w:ascii="Times New Roman" w:hAnsi="Times New Roman" w:cs="Times New Roman"/>
          <w:b w:val="0"/>
          <w:bCs w:val="0"/>
          <w:color w:val="auto"/>
          <w:sz w:val="28"/>
          <w:szCs w:val="28"/>
          <w:lang w:val="en-US" w:eastAsia="zh-CN"/>
        </w:rPr>
        <w:t>废旧轮胎新型裂解技术是一种将废轮胎彻底地裂解为各种可用资源的技术</w:t>
      </w:r>
      <w:r>
        <w:rPr>
          <w:rFonts w:hint="eastAsia" w:ascii="Times New Roman" w:hAnsi="Times New Roman" w:cs="Times New Roman"/>
          <w:b w:val="0"/>
          <w:bCs w:val="0"/>
          <w:color w:val="auto"/>
          <w:sz w:val="28"/>
          <w:szCs w:val="28"/>
          <w:lang w:val="en-US" w:eastAsia="zh-CN"/>
        </w:rPr>
        <w:t>，</w:t>
      </w:r>
      <w:r>
        <w:rPr>
          <w:rFonts w:hint="default" w:ascii="Times New Roman" w:hAnsi="Times New Roman" w:cs="Times New Roman"/>
          <w:b w:val="0"/>
          <w:bCs w:val="0"/>
          <w:color w:val="auto"/>
          <w:sz w:val="28"/>
          <w:szCs w:val="28"/>
          <w:lang w:val="en-US" w:eastAsia="zh-CN"/>
        </w:rPr>
        <w:t>废轮胎热解后可获得高附加值的热解气、热解油、热解炭和钢丝</w:t>
      </w:r>
      <w:r>
        <w:rPr>
          <w:rFonts w:hint="eastAsia" w:ascii="Times New Roman" w:hAnsi="Times New Roman" w:cs="Times New Roman"/>
          <w:b w:val="0"/>
          <w:bCs w:val="0"/>
          <w:color w:val="auto"/>
          <w:sz w:val="28"/>
          <w:szCs w:val="28"/>
          <w:lang w:val="en-US" w:eastAsia="zh-CN"/>
        </w:rPr>
        <w:t>，</w:t>
      </w:r>
      <w:r>
        <w:rPr>
          <w:rFonts w:hint="default" w:ascii="Times New Roman" w:hAnsi="Times New Roman" w:cs="Times New Roman"/>
          <w:b w:val="0"/>
          <w:bCs w:val="0"/>
          <w:color w:val="auto"/>
          <w:sz w:val="28"/>
          <w:szCs w:val="28"/>
          <w:lang w:val="en-US" w:eastAsia="zh-CN"/>
        </w:rPr>
        <w:t>是目前废旧轮胎回收利用的方法</w:t>
      </w:r>
      <w:r>
        <w:rPr>
          <w:rFonts w:hint="eastAsia" w:ascii="Times New Roman" w:hAnsi="Times New Roman" w:cs="Times New Roman"/>
          <w:b w:val="0"/>
          <w:bCs w:val="0"/>
          <w:color w:val="auto"/>
          <w:sz w:val="28"/>
          <w:szCs w:val="28"/>
          <w:lang w:val="en-US" w:eastAsia="zh-CN"/>
        </w:rPr>
        <w:t>，</w:t>
      </w:r>
      <w:r>
        <w:rPr>
          <w:rFonts w:hint="default" w:ascii="Times New Roman" w:hAnsi="Times New Roman" w:cs="Times New Roman"/>
          <w:b w:val="0"/>
          <w:bCs w:val="0"/>
          <w:color w:val="auto"/>
          <w:sz w:val="28"/>
          <w:szCs w:val="28"/>
          <w:lang w:val="en-US" w:eastAsia="zh-CN"/>
        </w:rPr>
        <w:t>被认为是处理废旧轮胎最经济、最佳的途径之一。</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b w:val="0"/>
          <w:bCs w:val="0"/>
          <w:color w:val="auto"/>
          <w:sz w:val="28"/>
          <w:szCs w:val="28"/>
          <w:lang w:val="en-US" w:eastAsia="zh-CN"/>
        </w:rPr>
      </w:pPr>
      <w:r>
        <w:rPr>
          <w:rFonts w:hint="default" w:ascii="Times New Roman" w:hAnsi="Times New Roman" w:cs="Times New Roman"/>
          <w:b w:val="0"/>
          <w:bCs w:val="0"/>
          <w:color w:val="auto"/>
          <w:sz w:val="28"/>
          <w:szCs w:val="28"/>
          <w:lang w:val="en-US" w:eastAsia="zh-CN"/>
        </w:rPr>
        <w:t>基本原理是将废轮胎置于无氧裂解设备中加热，塑胶中大分子聚合物裂解为低分子的混合烃的过程。裂解所需要的温度取决于不同种类及回收目的产物。主要裂解产物为混合轻烃、石脑油、重油、煤油、混合燃料油等液态产物及蜡。废旧轮胎的热裂解技术，既能使废旧轮胎得到循环利用，又能产生裂解油、炭黑、钢丝等产品再利用，具有良好的经济效益。</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二、资产概况</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安丰科技公司的主要资产包括房屋建（构）筑物、机动车辆、其他实物资产，安丰科技公司具备燃料油（不含危险化学品）、热裂解炭黑的加工资质</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建设项目环境影响评价资质证书</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具有排污许可证。资产情况分述如下：</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1.房屋建（构）筑物</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安丰科技公司有两层办公楼、简易厂房等，均未办理相关产权证。</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2.机动车辆</w:t>
      </w:r>
    </w:p>
    <w:p>
      <w:pPr>
        <w:pStyle w:val="2"/>
        <w:keepNext w:val="0"/>
        <w:keepLines w:val="0"/>
        <w:pageBreakBefore w:val="0"/>
        <w:widowControl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根据管理人向万年县公安交通警察支队车辆管理所申请调取的机动车登记档案显示，安丰科技公司名下共登记一辆五菱牌轻型栏板货车。</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3.经营资质</w:t>
      </w:r>
    </w:p>
    <w:tbl>
      <w:tblPr>
        <w:tblStyle w:val="6"/>
        <w:tblpPr w:leftFromText="180" w:rightFromText="180" w:vertAnchor="text" w:horzAnchor="page" w:tblpX="1300" w:tblpY="235"/>
        <w:tblOverlap w:val="never"/>
        <w:tblW w:w="99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729"/>
        <w:gridCol w:w="1169"/>
        <w:gridCol w:w="5451"/>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3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序号</w:t>
            </w:r>
          </w:p>
        </w:tc>
        <w:tc>
          <w:tcPr>
            <w:tcW w:w="1729"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证书名称</w:t>
            </w:r>
          </w:p>
        </w:tc>
        <w:tc>
          <w:tcPr>
            <w:tcW w:w="1169"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证书编号</w:t>
            </w:r>
          </w:p>
        </w:tc>
        <w:tc>
          <w:tcPr>
            <w:tcW w:w="5451"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证书内容</w:t>
            </w:r>
          </w:p>
        </w:tc>
        <w:tc>
          <w:tcPr>
            <w:tcW w:w="99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到期日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63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1</w:t>
            </w:r>
          </w:p>
        </w:tc>
        <w:tc>
          <w:tcPr>
            <w:tcW w:w="1729"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质量管理体系认证证书</w:t>
            </w:r>
          </w:p>
        </w:tc>
        <w:tc>
          <w:tcPr>
            <w:tcW w:w="1169" w:type="dxa"/>
            <w:vAlign w:val="center"/>
          </w:tcPr>
          <w:p>
            <w:pPr>
              <w:bidi w:val="0"/>
              <w:jc w:val="both"/>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06521Q0004R0M</w:t>
            </w:r>
          </w:p>
        </w:tc>
        <w:tc>
          <w:tcPr>
            <w:tcW w:w="5451" w:type="dxa"/>
            <w:vAlign w:val="center"/>
          </w:tcPr>
          <w:p>
            <w:pPr>
              <w:pStyle w:val="2"/>
              <w:numPr>
                <w:ilvl w:val="0"/>
                <w:numId w:val="3"/>
              </w:numPr>
              <w:ind w:left="280" w:hanging="180" w:hangingChars="100"/>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认证依据：GB/19001-2016/ISO9001:2015</w:t>
            </w:r>
          </w:p>
          <w:p>
            <w:pPr>
              <w:pStyle w:val="2"/>
              <w:numPr>
                <w:ilvl w:val="0"/>
                <w:numId w:val="3"/>
              </w:numPr>
              <w:ind w:left="280" w:hanging="180" w:hangingChars="100"/>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认证项目：北京中物联联合认证中心质量管理体系认证</w:t>
            </w:r>
          </w:p>
          <w:p>
            <w:pPr>
              <w:pStyle w:val="2"/>
              <w:numPr>
                <w:ilvl w:val="0"/>
                <w:numId w:val="3"/>
              </w:numPr>
              <w:ind w:left="280" w:hanging="180" w:hangingChars="100"/>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证书覆盖业务范围：燃料油（不含危险化学品）、 热裂解炭黑的加工</w:t>
            </w:r>
          </w:p>
        </w:tc>
        <w:tc>
          <w:tcPr>
            <w:tcW w:w="99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2024年4月6日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3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2</w:t>
            </w:r>
          </w:p>
        </w:tc>
        <w:tc>
          <w:tcPr>
            <w:tcW w:w="1729"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排污许可证</w:t>
            </w:r>
          </w:p>
        </w:tc>
        <w:tc>
          <w:tcPr>
            <w:tcW w:w="1169" w:type="dxa"/>
            <w:vAlign w:val="center"/>
          </w:tcPr>
          <w:p>
            <w:pPr>
              <w:pStyle w:val="2"/>
              <w:numPr>
                <w:ilvl w:val="0"/>
                <w:numId w:val="0"/>
              </w:numPr>
              <w:jc w:val="both"/>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913611295787627658001R</w:t>
            </w:r>
          </w:p>
        </w:tc>
        <w:tc>
          <w:tcPr>
            <w:tcW w:w="5451" w:type="dxa"/>
            <w:vAlign w:val="center"/>
          </w:tcPr>
          <w:p>
            <w:pPr>
              <w:pStyle w:val="2"/>
              <w:numPr>
                <w:ilvl w:val="0"/>
                <w:numId w:val="0"/>
              </w:numPr>
              <w:jc w:val="both"/>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废弃资源综合利用业</w:t>
            </w:r>
          </w:p>
        </w:tc>
        <w:tc>
          <w:tcPr>
            <w:tcW w:w="99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2022年9月8日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63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3</w:t>
            </w:r>
          </w:p>
        </w:tc>
        <w:tc>
          <w:tcPr>
            <w:tcW w:w="1729"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建设项目环境影响评价资质证书</w:t>
            </w:r>
          </w:p>
        </w:tc>
        <w:tc>
          <w:tcPr>
            <w:tcW w:w="1169" w:type="dxa"/>
            <w:vAlign w:val="center"/>
          </w:tcPr>
          <w:p>
            <w:pPr>
              <w:pStyle w:val="2"/>
              <w:numPr>
                <w:ilvl w:val="0"/>
                <w:numId w:val="0"/>
              </w:numPr>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国环评证乙字第1029号</w:t>
            </w:r>
          </w:p>
        </w:tc>
        <w:tc>
          <w:tcPr>
            <w:tcW w:w="5451" w:type="dxa"/>
            <w:vAlign w:val="center"/>
          </w:tcPr>
          <w:p>
            <w:pPr>
              <w:pStyle w:val="2"/>
              <w:numPr>
                <w:ilvl w:val="0"/>
                <w:numId w:val="0"/>
              </w:numPr>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项目名称：上饶市安丰科技有限公司年产炭黑10000吨项目</w:t>
            </w:r>
          </w:p>
        </w:tc>
        <w:tc>
          <w:tcPr>
            <w:tcW w:w="995" w:type="dxa"/>
            <w:vAlign w:val="center"/>
          </w:tcPr>
          <w:p>
            <w:pPr>
              <w:pStyle w:val="2"/>
              <w:numPr>
                <w:ilvl w:val="0"/>
                <w:numId w:val="0"/>
              </w:numPr>
              <w:jc w:val="center"/>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2016年1月16日</w:t>
            </w:r>
          </w:p>
        </w:tc>
      </w:tr>
    </w:tbl>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r>
        <w:rPr>
          <w:rFonts w:hint="default" w:ascii="Times New Roman" w:hAnsi="Times New Roman" w:cs="Times New Roman"/>
          <w:color w:val="FF0000"/>
        </w:rPr>
        <w:drawing>
          <wp:anchor distT="0" distB="0" distL="114300" distR="114300" simplePos="0" relativeHeight="251662336" behindDoc="1" locked="0" layoutInCell="1" allowOverlap="1">
            <wp:simplePos x="0" y="0"/>
            <wp:positionH relativeFrom="column">
              <wp:posOffset>242570</wp:posOffset>
            </wp:positionH>
            <wp:positionV relativeFrom="page">
              <wp:posOffset>5310505</wp:posOffset>
            </wp:positionV>
            <wp:extent cx="5520690" cy="4418965"/>
            <wp:effectExtent l="0" t="0" r="3810" b="6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520690" cy="4418965"/>
                    </a:xfrm>
                    <a:prstGeom prst="rect">
                      <a:avLst/>
                    </a:prstGeom>
                    <a:noFill/>
                    <a:ln>
                      <a:noFill/>
                    </a:ln>
                  </pic:spPr>
                </pic:pic>
              </a:graphicData>
            </a:graphic>
          </wp:anchor>
        </w:drawing>
      </w: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FF0000"/>
          <w:sz w:val="28"/>
          <w:szCs w:val="28"/>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FF0000"/>
          <w:sz w:val="28"/>
          <w:szCs w:val="28"/>
          <w:highlight w:val="yellow"/>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FF0000"/>
          <w:sz w:val="28"/>
          <w:szCs w:val="28"/>
          <w:highlight w:val="yellow"/>
          <w:lang w:val="en-US" w:eastAsia="zh-CN"/>
        </w:rPr>
      </w:pP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cs="Times New Roman"/>
          <w:color w:val="FF0000"/>
          <w:sz w:val="28"/>
          <w:szCs w:val="28"/>
          <w:highlight w:val="yellow"/>
          <w:lang w:val="en-US" w:eastAsia="zh-CN"/>
        </w:rPr>
      </w:pPr>
      <w:r>
        <w:rPr>
          <w:rFonts w:hint="default" w:ascii="Times New Roman" w:hAnsi="Times New Roman" w:cs="Times New Roman"/>
          <w:color w:val="FF0000"/>
        </w:rPr>
        <w:drawing>
          <wp:anchor distT="0" distB="0" distL="114300" distR="114300" simplePos="0" relativeHeight="251660288" behindDoc="0" locked="0" layoutInCell="1" allowOverlap="1">
            <wp:simplePos x="0" y="0"/>
            <wp:positionH relativeFrom="column">
              <wp:posOffset>275590</wp:posOffset>
            </wp:positionH>
            <wp:positionV relativeFrom="paragraph">
              <wp:posOffset>-54610</wp:posOffset>
            </wp:positionV>
            <wp:extent cx="5318125" cy="5137150"/>
            <wp:effectExtent l="0" t="0" r="6350" b="6350"/>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318125" cy="5137150"/>
                    </a:xfrm>
                    <a:prstGeom prst="rect">
                      <a:avLst/>
                    </a:prstGeom>
                    <a:noFill/>
                    <a:ln>
                      <a:noFill/>
                    </a:ln>
                  </pic:spPr>
                </pic:pic>
              </a:graphicData>
            </a:graphic>
          </wp:anchor>
        </w:drawing>
      </w: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4.其他实物资产</w:t>
      </w:r>
    </w:p>
    <w:p>
      <w:pPr>
        <w:pStyle w:val="2"/>
        <w:keepNext w:val="0"/>
        <w:keepLines w:val="0"/>
        <w:pageBreakBefore w:val="0"/>
        <w:numPr>
          <w:ilvl w:val="0"/>
          <w:numId w:val="0"/>
        </w:numPr>
        <w:tabs>
          <w:tab w:val="left" w:pos="1542"/>
        </w:tabs>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据管理人初步调查，安丰科技公司共有</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辆叉车</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6条生产线，</w:t>
      </w:r>
      <w:r>
        <w:rPr>
          <w:rFonts w:hint="eastAsia" w:ascii="Times New Roman" w:hAnsi="Times New Roman" w:cs="Times New Roman"/>
          <w:color w:val="auto"/>
          <w:sz w:val="28"/>
          <w:szCs w:val="28"/>
          <w:highlight w:val="none"/>
          <w:lang w:val="en-US" w:eastAsia="zh-CN"/>
        </w:rPr>
        <w:t>公司</w:t>
      </w:r>
      <w:r>
        <w:rPr>
          <w:rFonts w:hint="default" w:ascii="Times New Roman" w:hAnsi="Times New Roman" w:cs="Times New Roman"/>
          <w:color w:val="auto"/>
          <w:sz w:val="28"/>
          <w:szCs w:val="28"/>
          <w:highlight w:val="none"/>
          <w:lang w:val="en-US" w:eastAsia="zh-CN"/>
        </w:rPr>
        <w:t>目前处于停工状态。</w:t>
      </w:r>
    </w:p>
    <w:p>
      <w:pPr>
        <w:keepNext w:val="0"/>
        <w:keepLines w:val="0"/>
        <w:pageBreakBefore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三</w:t>
      </w:r>
      <w:r>
        <w:rPr>
          <w:rFonts w:hint="default" w:ascii="Times New Roman" w:hAnsi="Times New Roman" w:eastAsia="宋体" w:cs="Times New Roman"/>
          <w:b/>
          <w:color w:val="auto"/>
          <w:sz w:val="28"/>
          <w:szCs w:val="28"/>
        </w:rPr>
        <w:t>、</w:t>
      </w:r>
      <w:r>
        <w:rPr>
          <w:rFonts w:hint="default" w:ascii="Times New Roman" w:hAnsi="Times New Roman" w:eastAsia="宋体" w:cs="Times New Roman"/>
          <w:b/>
          <w:color w:val="auto"/>
          <w:sz w:val="28"/>
          <w:szCs w:val="28"/>
          <w:lang w:val="en-US" w:eastAsia="zh-CN"/>
        </w:rPr>
        <w:t>招商</w:t>
      </w:r>
      <w:r>
        <w:rPr>
          <w:rFonts w:hint="default" w:ascii="Times New Roman" w:hAnsi="Times New Roman" w:eastAsia="宋体" w:cs="Times New Roman"/>
          <w:b/>
          <w:color w:val="auto"/>
          <w:sz w:val="28"/>
          <w:szCs w:val="28"/>
        </w:rPr>
        <w:t>招募</w:t>
      </w:r>
      <w:r>
        <w:rPr>
          <w:rFonts w:hint="default" w:ascii="Times New Roman" w:hAnsi="Times New Roman" w:eastAsia="宋体" w:cs="Times New Roman"/>
          <w:b/>
          <w:color w:val="auto"/>
          <w:sz w:val="28"/>
          <w:szCs w:val="28"/>
          <w:lang w:val="en-US" w:eastAsia="zh-CN"/>
        </w:rPr>
        <w:t>的相关</w:t>
      </w:r>
      <w:r>
        <w:rPr>
          <w:rFonts w:hint="default" w:ascii="Times New Roman" w:hAnsi="Times New Roman" w:eastAsia="宋体" w:cs="Times New Roman"/>
          <w:b/>
          <w:color w:val="auto"/>
          <w:sz w:val="28"/>
          <w:szCs w:val="28"/>
        </w:rPr>
        <w:t>程序</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本项目投资人招募的具体程序、方式尚未确定，管理人将根据</w:t>
      </w:r>
      <w:r>
        <w:rPr>
          <w:rFonts w:hint="default" w:ascii="Times New Roman" w:hAnsi="Times New Roman" w:eastAsia="宋体" w:cs="Times New Roman"/>
          <w:color w:val="auto"/>
          <w:sz w:val="28"/>
          <w:szCs w:val="28"/>
          <w:lang w:val="en-US" w:eastAsia="zh-CN"/>
        </w:rPr>
        <w:t>本案后续程序推进情况</w:t>
      </w:r>
      <w:r>
        <w:rPr>
          <w:rFonts w:hint="default" w:ascii="Times New Roman" w:hAnsi="Times New Roman" w:eastAsia="宋体" w:cs="Times New Roman"/>
          <w:color w:val="auto"/>
          <w:sz w:val="28"/>
          <w:szCs w:val="28"/>
        </w:rPr>
        <w:t>进行综合确定并另行公告。</w:t>
      </w:r>
    </w:p>
    <w:p>
      <w:pPr>
        <w:keepNext w:val="0"/>
        <w:keepLines w:val="0"/>
        <w:pageBreakBefore w:val="0"/>
        <w:kinsoku/>
        <w:wordWrap/>
        <w:overflowPunct/>
        <w:topLinePunct w:val="0"/>
        <w:autoSpaceDE/>
        <w:autoSpaceDN/>
        <w:bidi w:val="0"/>
        <w:adjustRightInd/>
        <w:snapToGrid/>
        <w:spacing w:line="480" w:lineRule="exact"/>
        <w:ind w:firstLine="689" w:firstLineChars="245"/>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四</w:t>
      </w:r>
      <w:r>
        <w:rPr>
          <w:rFonts w:hint="default" w:ascii="Times New Roman" w:hAnsi="Times New Roman" w:eastAsia="宋体" w:cs="Times New Roman"/>
          <w:b/>
          <w:color w:val="auto"/>
          <w:sz w:val="28"/>
          <w:szCs w:val="28"/>
        </w:rPr>
        <w:t>、联系方式</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如需进一步了解</w:t>
      </w:r>
      <w:r>
        <w:rPr>
          <w:rFonts w:hint="default" w:ascii="Times New Roman" w:hAnsi="Times New Roman" w:eastAsia="宋体" w:cs="Times New Roman"/>
          <w:color w:val="auto"/>
          <w:sz w:val="28"/>
          <w:szCs w:val="28"/>
          <w:lang w:val="en-US" w:eastAsia="zh-CN"/>
        </w:rPr>
        <w:t>安丰科技公司</w:t>
      </w:r>
      <w:r>
        <w:rPr>
          <w:rFonts w:hint="default" w:ascii="Times New Roman" w:hAnsi="Times New Roman" w:eastAsia="宋体" w:cs="Times New Roman"/>
          <w:color w:val="auto"/>
          <w:sz w:val="28"/>
          <w:szCs w:val="28"/>
        </w:rPr>
        <w:t>的详细情况</w:t>
      </w:r>
      <w:r>
        <w:rPr>
          <w:rFonts w:hint="eastAsia" w:ascii="Times New Roman" w:hAnsi="Times New Roman" w:eastAsia="宋体" w:cs="Times New Roman"/>
          <w:color w:val="auto"/>
          <w:sz w:val="28"/>
          <w:szCs w:val="28"/>
          <w:lang w:val="en-US" w:eastAsia="zh-CN"/>
        </w:rPr>
        <w:t>或有购买、投资意向的</w:t>
      </w:r>
      <w:r>
        <w:rPr>
          <w:rFonts w:hint="default" w:ascii="Times New Roman" w:hAnsi="Times New Roman" w:eastAsia="宋体" w:cs="Times New Roman"/>
          <w:color w:val="auto"/>
          <w:sz w:val="28"/>
          <w:szCs w:val="28"/>
        </w:rPr>
        <w:t>，请与管理人联系。</w:t>
      </w:r>
    </w:p>
    <w:p>
      <w:pPr>
        <w:pStyle w:val="2"/>
        <w:keepNext w:val="0"/>
        <w:keepLines w:val="0"/>
        <w:pageBreakBefore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管理人联系地址：上饶市信州区紫阳大道3号紫阳名邸4栋四楼，江西永华和信会计师事务所；</w:t>
      </w:r>
    </w:p>
    <w:p>
      <w:pPr>
        <w:pStyle w:val="2"/>
        <w:keepNext w:val="0"/>
        <w:keepLines w:val="0"/>
        <w:pageBreakBefore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联系人：潘卫武，蒋公平；联系电话：13507938720</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15879329535。</w:t>
      </w:r>
    </w:p>
    <w:p>
      <w:pPr>
        <w:keepNext w:val="0"/>
        <w:keepLines w:val="0"/>
        <w:pageBreakBefore w:val="0"/>
        <w:kinsoku/>
        <w:wordWrap/>
        <w:overflowPunct/>
        <w:topLinePunct w:val="0"/>
        <w:autoSpaceDE/>
        <w:autoSpaceDN/>
        <w:bidi w:val="0"/>
        <w:adjustRightInd/>
        <w:snapToGrid/>
        <w:spacing w:line="480" w:lineRule="exact"/>
        <w:ind w:firstLine="689" w:firstLineChars="245"/>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五</w:t>
      </w:r>
      <w:r>
        <w:rPr>
          <w:rFonts w:hint="default" w:ascii="Times New Roman" w:hAnsi="Times New Roman" w:eastAsia="宋体" w:cs="Times New Roman"/>
          <w:b/>
          <w:color w:val="auto"/>
          <w:sz w:val="28"/>
          <w:szCs w:val="28"/>
        </w:rPr>
        <w:t>、招商须知</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（一）本招商公告编制目的是让意向投资人对</w:t>
      </w:r>
      <w:r>
        <w:rPr>
          <w:rFonts w:hint="default" w:ascii="Times New Roman" w:hAnsi="Times New Roman" w:eastAsia="宋体" w:cs="Times New Roman"/>
          <w:color w:val="auto"/>
          <w:sz w:val="28"/>
          <w:szCs w:val="28"/>
          <w:lang w:val="en-US" w:eastAsia="zh-CN"/>
        </w:rPr>
        <w:t>安丰科技公司</w:t>
      </w:r>
      <w:r>
        <w:rPr>
          <w:rFonts w:hint="default" w:ascii="Times New Roman" w:hAnsi="Times New Roman" w:eastAsia="宋体" w:cs="Times New Roman"/>
          <w:color w:val="auto"/>
          <w:sz w:val="28"/>
          <w:szCs w:val="28"/>
        </w:rPr>
        <w:t>的基本情况有所了解，并不当然替代意向投资人的尽职调查</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在考虑参与投资时，除参考本招商公告外，应自行决定是否聘请专业投资顾问、财务顾问或法律顾问进行尽职调查、出具投资意见等。本招商公告并非要约文件，不具有投资协议的约束性效力，只作为参考资料使用。</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（二）本招商公告由管理人编制，最终解释权归管理人。管理人有权决定继续、中止或终止招商工作。</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欢迎有实力的单位和个人前来接洽，参与投资。</w:t>
      </w:r>
    </w:p>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FF0000"/>
          <w:sz w:val="28"/>
          <w:szCs w:val="28"/>
          <w:lang w:val="en-US" w:eastAsia="zh-CN"/>
        </w:rPr>
      </w:pPr>
    </w:p>
    <w:p>
      <w:pPr>
        <w:pStyle w:val="2"/>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 w:val="28"/>
          <w:szCs w:val="28"/>
          <w:lang w:val="en-US" w:eastAsia="zh-CN"/>
        </w:rPr>
        <w:t>特此公告。</w:t>
      </w:r>
    </w:p>
    <w:p>
      <w:pPr>
        <w:pStyle w:val="2"/>
        <w:keepNext w:val="0"/>
        <w:keepLines w:val="0"/>
        <w:pageBreakBefore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cs="Times New Roman"/>
          <w:b/>
          <w:bCs/>
          <w:color w:val="auto"/>
          <w:sz w:val="28"/>
          <w:szCs w:val="28"/>
          <w:lang w:val="en-US" w:eastAsia="zh-CN"/>
        </w:rPr>
      </w:pPr>
    </w:p>
    <w:p>
      <w:pPr>
        <w:pStyle w:val="2"/>
        <w:keepNext w:val="0"/>
        <w:keepLines w:val="0"/>
        <w:pageBreakBefore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cs="Times New Roman"/>
          <w:b/>
          <w:bCs/>
          <w:color w:val="FF0000"/>
          <w:sz w:val="28"/>
          <w:szCs w:val="28"/>
          <w:lang w:val="en-US" w:eastAsia="zh-CN"/>
        </w:rPr>
      </w:pPr>
    </w:p>
    <w:p>
      <w:pPr>
        <w:pStyle w:val="2"/>
        <w:keepNext w:val="0"/>
        <w:keepLines w:val="0"/>
        <w:pageBreakBefore w:val="0"/>
        <w:kinsoku/>
        <w:wordWrap/>
        <w:overflowPunct/>
        <w:topLinePunct w:val="0"/>
        <w:autoSpaceDE/>
        <w:autoSpaceDN/>
        <w:bidi w:val="0"/>
        <w:adjustRightInd/>
        <w:snapToGrid/>
        <w:spacing w:line="500" w:lineRule="exact"/>
        <w:ind w:firstLine="562" w:firstLineChars="200"/>
        <w:jc w:val="right"/>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上饶市安丰科技有限公司管理人</w:t>
      </w:r>
    </w:p>
    <w:p>
      <w:pPr>
        <w:pStyle w:val="2"/>
        <w:keepNext w:val="0"/>
        <w:keepLines w:val="0"/>
        <w:pageBreakBefore w:val="0"/>
        <w:kinsoku/>
        <w:wordWrap/>
        <w:overflowPunct/>
        <w:topLinePunct w:val="0"/>
        <w:autoSpaceDE/>
        <w:autoSpaceDN/>
        <w:bidi w:val="0"/>
        <w:adjustRightInd/>
        <w:snapToGrid/>
        <w:spacing w:line="500" w:lineRule="exact"/>
        <w:ind w:firstLine="562" w:firstLineChars="200"/>
        <w:jc w:val="center"/>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b/>
          <w:bCs/>
          <w:color w:val="auto"/>
          <w:sz w:val="28"/>
          <w:szCs w:val="28"/>
          <w:lang w:val="en-US" w:eastAsia="zh-CN"/>
        </w:rPr>
        <w:t xml:space="preserve">                                 二〇二三年七月十</w:t>
      </w:r>
      <w:r>
        <w:rPr>
          <w:rFonts w:hint="eastAsia" w:ascii="Times New Roman" w:hAnsi="Times New Roman" w:cs="Times New Roman"/>
          <w:b/>
          <w:bCs/>
          <w:color w:val="auto"/>
          <w:sz w:val="28"/>
          <w:szCs w:val="28"/>
          <w:lang w:val="en-US" w:eastAsia="zh-CN"/>
        </w:rPr>
        <w:t>九</w:t>
      </w:r>
      <w:r>
        <w:rPr>
          <w:rFonts w:hint="default" w:ascii="Times New Roman" w:hAnsi="Times New Roman" w:cs="Times New Roman"/>
          <w:b/>
          <w:bCs/>
          <w:color w:val="auto"/>
          <w:sz w:val="28"/>
          <w:szCs w:val="28"/>
          <w:lang w:val="en-US" w:eastAsia="zh-CN"/>
        </w:rPr>
        <w:t>日</w:t>
      </w:r>
    </w:p>
    <w:sectPr>
      <w:footerReference r:id="rId3" w:type="default"/>
      <w:pgSz w:w="11906" w:h="16838"/>
      <w:pgMar w:top="1361" w:right="1361" w:bottom="1587" w:left="1361" w:header="851" w:footer="992" w:gutter="28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774D1"/>
    <w:multiLevelType w:val="singleLevel"/>
    <w:tmpl w:val="9F3774D1"/>
    <w:lvl w:ilvl="0" w:tentative="0">
      <w:start w:val="3"/>
      <w:numFmt w:val="chineseCounting"/>
      <w:suff w:val="nothing"/>
      <w:lvlText w:val="（%1）"/>
      <w:lvlJc w:val="left"/>
      <w:rPr>
        <w:rFonts w:hint="eastAsia"/>
      </w:rPr>
    </w:lvl>
  </w:abstractNum>
  <w:abstractNum w:abstractNumId="1">
    <w:nsid w:val="BAAC479B"/>
    <w:multiLevelType w:val="singleLevel"/>
    <w:tmpl w:val="BAAC479B"/>
    <w:lvl w:ilvl="0" w:tentative="0">
      <w:start w:val="1"/>
      <w:numFmt w:val="chineseCounting"/>
      <w:suff w:val="nothing"/>
      <w:lvlText w:val="%1、"/>
      <w:lvlJc w:val="left"/>
      <w:rPr>
        <w:rFonts w:hint="eastAsia"/>
      </w:rPr>
    </w:lvl>
  </w:abstractNum>
  <w:abstractNum w:abstractNumId="2">
    <w:nsid w:val="66A8EB4D"/>
    <w:multiLevelType w:val="singleLevel"/>
    <w:tmpl w:val="66A8EB4D"/>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MTA5ODNiNzRmMGY2NDNkMjZlYjk3M2U2ZDk1YjMifQ=="/>
  </w:docVars>
  <w:rsids>
    <w:rsidRoot w:val="72B24BD2"/>
    <w:rsid w:val="0341654C"/>
    <w:rsid w:val="08C95C31"/>
    <w:rsid w:val="10761C5E"/>
    <w:rsid w:val="14676F2A"/>
    <w:rsid w:val="16632A49"/>
    <w:rsid w:val="1B492C41"/>
    <w:rsid w:val="1B7646BC"/>
    <w:rsid w:val="237F1FD4"/>
    <w:rsid w:val="24BD670F"/>
    <w:rsid w:val="2E3E34E6"/>
    <w:rsid w:val="2FC837BC"/>
    <w:rsid w:val="30350437"/>
    <w:rsid w:val="40E86761"/>
    <w:rsid w:val="429E1677"/>
    <w:rsid w:val="42B313DA"/>
    <w:rsid w:val="4348669E"/>
    <w:rsid w:val="4A621E11"/>
    <w:rsid w:val="4D685C83"/>
    <w:rsid w:val="522174BD"/>
    <w:rsid w:val="53E64527"/>
    <w:rsid w:val="5B0109E5"/>
    <w:rsid w:val="6FBA2A59"/>
    <w:rsid w:val="72B24BD2"/>
    <w:rsid w:val="7AD55C65"/>
    <w:rsid w:val="7D561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Calibri" w:cs="Calibri"/>
      <w:color w:val="000000"/>
      <w:kern w:val="2"/>
      <w:sz w:val="21"/>
      <w:szCs w:val="21"/>
      <w:u w:color="000000"/>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rPr>
      <w:rFonts w:asciiTheme="minorHAnsi" w:hAnsiTheme="minorHAnsi" w:eastAsiaTheme="minorEastAsia" w:cstheme="minorBidi"/>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1673</Words>
  <Characters>1860</Characters>
  <Lines>0</Lines>
  <Paragraphs>0</Paragraphs>
  <TotalTime>65</TotalTime>
  <ScaleCrop>false</ScaleCrop>
  <LinksUpToDate>false</LinksUpToDate>
  <CharactersWithSpaces>1898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2023-07-11T08:51:00Z</dcterms:created>
  <dc:creator>Administrator</dc:creator>
  <cp:lastModifiedBy>183----3563</cp:lastModifiedBy>
  <dcterms:modified xsi:type="dcterms:W3CDTF">2023-07-21T09:43:01Z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B97884A1F2CF4BFEBA06B2C5822BF614_13</vt:lpwstr>
  </property>
</Properties>
</file>