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line="220" w:lineRule="auto"/>
        <w:ind w:left="583"/>
        <w:outlineLvl w:val="0"/>
        <w:rPr>
          <w:rFonts w:hint="eastAsia" w:ascii="宋体" w:hAnsi="宋体" w:eastAsia="宋体" w:cs="宋体"/>
          <w:b/>
          <w:bCs/>
          <w:spacing w:val="-5"/>
          <w:position w:val="67"/>
          <w:sz w:val="48"/>
          <w:szCs w:val="48"/>
          <w:lang w:eastAsia="zh-CN"/>
        </w:rPr>
      </w:pPr>
      <w:bookmarkStart w:id="0" w:name="_Toc32626"/>
      <w:bookmarkStart w:id="1" w:name="_Toc4642"/>
      <w:bookmarkStart w:id="2" w:name="_Toc11221"/>
      <w:bookmarkStart w:id="3" w:name="_Toc2889"/>
    </w:p>
    <w:p>
      <w:pPr>
        <w:spacing w:before="156" w:line="220" w:lineRule="auto"/>
        <w:ind w:left="583"/>
        <w:outlineLvl w:val="0"/>
        <w:rPr>
          <w:rFonts w:ascii="宋体" w:hAnsi="宋体" w:eastAsia="宋体" w:cs="宋体"/>
          <w:sz w:val="48"/>
          <w:szCs w:val="48"/>
        </w:rPr>
      </w:pPr>
      <w:r>
        <w:rPr>
          <w:rFonts w:hint="eastAsia" w:ascii="宋体" w:hAnsi="宋体" w:eastAsia="宋体" w:cs="宋体"/>
          <w:b/>
          <w:bCs/>
          <w:spacing w:val="-5"/>
          <w:position w:val="67"/>
          <w:sz w:val="48"/>
          <w:szCs w:val="48"/>
          <w:lang w:eastAsia="zh-CN"/>
        </w:rPr>
        <w:t>甘肃金鑫新材料科技股份有限公司</w:t>
      </w:r>
      <w:bookmarkEnd w:id="0"/>
      <w:bookmarkEnd w:id="1"/>
      <w:bookmarkEnd w:id="2"/>
      <w:bookmarkEnd w:id="3"/>
    </w:p>
    <w:p>
      <w:pPr>
        <w:spacing w:before="1" w:line="219" w:lineRule="auto"/>
        <w:ind w:left="2260" w:firstLine="1418" w:firstLineChars="200"/>
        <w:outlineLvl w:val="0"/>
        <w:rPr>
          <w:rFonts w:ascii="宋体" w:hAnsi="宋体" w:eastAsia="宋体" w:cs="宋体"/>
          <w:b/>
          <w:bCs/>
          <w:spacing w:val="-7"/>
          <w:sz w:val="72"/>
          <w:szCs w:val="72"/>
        </w:rPr>
      </w:pPr>
      <w:bookmarkStart w:id="4" w:name="_Toc4819"/>
      <w:bookmarkStart w:id="5" w:name="_Toc31645"/>
      <w:bookmarkStart w:id="6" w:name="_Toc6013"/>
      <w:bookmarkStart w:id="7" w:name="_Toc7088"/>
    </w:p>
    <w:p>
      <w:pPr>
        <w:spacing w:before="1" w:line="219" w:lineRule="auto"/>
        <w:ind w:left="2260" w:firstLine="1418" w:firstLineChars="200"/>
        <w:outlineLvl w:val="0"/>
        <w:rPr>
          <w:rFonts w:ascii="宋体" w:hAnsi="宋体" w:eastAsia="宋体" w:cs="宋体"/>
          <w:b/>
          <w:bCs/>
          <w:spacing w:val="-7"/>
          <w:sz w:val="72"/>
          <w:szCs w:val="72"/>
        </w:rPr>
      </w:pPr>
      <w:r>
        <w:rPr>
          <w:rFonts w:ascii="宋体" w:hAnsi="宋体" w:eastAsia="宋体" w:cs="宋体"/>
          <w:b/>
          <w:bCs/>
          <w:spacing w:val="-7"/>
          <w:sz w:val="72"/>
          <w:szCs w:val="72"/>
        </w:rPr>
        <w:t>重</w:t>
      </w:r>
      <w:bookmarkEnd w:id="4"/>
      <w:bookmarkEnd w:id="5"/>
      <w:bookmarkEnd w:id="6"/>
    </w:p>
    <w:p>
      <w:pPr>
        <w:spacing w:before="1" w:line="219" w:lineRule="auto"/>
        <w:ind w:left="2260"/>
        <w:outlineLvl w:val="0"/>
        <w:rPr>
          <w:rFonts w:ascii="宋体" w:hAnsi="宋体" w:eastAsia="宋体" w:cs="宋体"/>
          <w:b/>
          <w:bCs/>
          <w:spacing w:val="-7"/>
          <w:sz w:val="72"/>
          <w:szCs w:val="72"/>
        </w:rPr>
      </w:pPr>
    </w:p>
    <w:p>
      <w:pPr>
        <w:spacing w:before="1" w:line="219" w:lineRule="auto"/>
        <w:ind w:left="2260" w:firstLine="1418" w:firstLineChars="200"/>
        <w:outlineLvl w:val="0"/>
        <w:rPr>
          <w:rFonts w:ascii="宋体" w:hAnsi="宋体" w:eastAsia="宋体" w:cs="宋体"/>
          <w:b/>
          <w:bCs/>
          <w:spacing w:val="-7"/>
          <w:sz w:val="72"/>
          <w:szCs w:val="72"/>
        </w:rPr>
      </w:pPr>
      <w:bookmarkStart w:id="8" w:name="_Toc12892"/>
      <w:bookmarkStart w:id="9" w:name="_Toc3354"/>
      <w:bookmarkStart w:id="10" w:name="_Toc12955"/>
      <w:r>
        <w:rPr>
          <w:rFonts w:ascii="宋体" w:hAnsi="宋体" w:eastAsia="宋体" w:cs="宋体"/>
          <w:b/>
          <w:bCs/>
          <w:spacing w:val="-7"/>
          <w:sz w:val="72"/>
          <w:szCs w:val="72"/>
        </w:rPr>
        <w:t>整</w:t>
      </w:r>
      <w:bookmarkEnd w:id="8"/>
      <w:bookmarkEnd w:id="9"/>
      <w:bookmarkEnd w:id="10"/>
    </w:p>
    <w:p>
      <w:pPr>
        <w:spacing w:before="1" w:line="219" w:lineRule="auto"/>
        <w:ind w:left="2260"/>
        <w:outlineLvl w:val="0"/>
        <w:rPr>
          <w:rFonts w:ascii="宋体" w:hAnsi="宋体" w:eastAsia="宋体" w:cs="宋体"/>
          <w:b/>
          <w:bCs/>
          <w:spacing w:val="-7"/>
          <w:sz w:val="72"/>
          <w:szCs w:val="72"/>
        </w:rPr>
      </w:pPr>
    </w:p>
    <w:p>
      <w:pPr>
        <w:spacing w:before="1" w:line="219" w:lineRule="auto"/>
        <w:ind w:left="2260" w:firstLine="1418" w:firstLineChars="200"/>
        <w:outlineLvl w:val="0"/>
        <w:rPr>
          <w:rFonts w:ascii="宋体" w:hAnsi="宋体" w:eastAsia="宋体" w:cs="宋体"/>
          <w:b/>
          <w:bCs/>
          <w:spacing w:val="-7"/>
          <w:sz w:val="72"/>
          <w:szCs w:val="72"/>
        </w:rPr>
      </w:pPr>
      <w:bookmarkStart w:id="11" w:name="_Toc9869"/>
      <w:bookmarkStart w:id="12" w:name="_Toc901"/>
      <w:bookmarkStart w:id="13" w:name="_Toc31521"/>
      <w:r>
        <w:rPr>
          <w:rFonts w:ascii="宋体" w:hAnsi="宋体" w:eastAsia="宋体" w:cs="宋体"/>
          <w:b/>
          <w:bCs/>
          <w:spacing w:val="-7"/>
          <w:sz w:val="72"/>
          <w:szCs w:val="72"/>
        </w:rPr>
        <w:t>计</w:t>
      </w:r>
      <w:bookmarkEnd w:id="11"/>
      <w:bookmarkEnd w:id="12"/>
      <w:bookmarkEnd w:id="13"/>
    </w:p>
    <w:p>
      <w:pPr>
        <w:spacing w:before="1" w:line="219" w:lineRule="auto"/>
        <w:ind w:left="2260" w:firstLine="1418" w:firstLineChars="200"/>
        <w:outlineLvl w:val="0"/>
        <w:rPr>
          <w:rFonts w:ascii="宋体" w:hAnsi="宋体" w:eastAsia="宋体" w:cs="宋体"/>
          <w:b/>
          <w:bCs/>
          <w:spacing w:val="-7"/>
          <w:sz w:val="72"/>
          <w:szCs w:val="72"/>
        </w:rPr>
      </w:pPr>
    </w:p>
    <w:p>
      <w:pPr>
        <w:spacing w:before="1" w:line="219" w:lineRule="auto"/>
        <w:ind w:left="2260" w:firstLine="1418" w:firstLineChars="200"/>
        <w:outlineLvl w:val="0"/>
        <w:rPr>
          <w:rFonts w:ascii="宋体" w:hAnsi="宋体" w:eastAsia="宋体" w:cs="宋体"/>
          <w:sz w:val="72"/>
          <w:szCs w:val="72"/>
        </w:rPr>
      </w:pPr>
      <w:bookmarkStart w:id="14" w:name="_Toc26801"/>
      <w:bookmarkStart w:id="15" w:name="_Toc29215"/>
      <w:bookmarkStart w:id="16" w:name="_Toc16799"/>
      <w:r>
        <w:rPr>
          <w:rFonts w:ascii="宋体" w:hAnsi="宋体" w:eastAsia="宋体" w:cs="宋体"/>
          <w:b/>
          <w:bCs/>
          <w:spacing w:val="-7"/>
          <w:sz w:val="72"/>
          <w:szCs w:val="72"/>
        </w:rPr>
        <w:t>划</w:t>
      </w:r>
      <w:bookmarkEnd w:id="7"/>
      <w:bookmarkEnd w:id="14"/>
      <w:bookmarkEnd w:id="15"/>
      <w:bookmarkEnd w:id="16"/>
    </w:p>
    <w:p>
      <w:pPr>
        <w:pStyle w:val="5"/>
        <w:spacing w:line="249" w:lineRule="auto"/>
        <w:rPr>
          <w:sz w:val="72"/>
          <w:szCs w:val="72"/>
        </w:rPr>
      </w:pPr>
    </w:p>
    <w:p>
      <w:pPr>
        <w:pStyle w:val="5"/>
        <w:spacing w:line="249" w:lineRule="auto"/>
        <w:rPr>
          <w:sz w:val="72"/>
          <w:szCs w:val="72"/>
        </w:rPr>
      </w:pPr>
    </w:p>
    <w:p>
      <w:pPr>
        <w:pStyle w:val="5"/>
        <w:spacing w:line="249" w:lineRule="auto"/>
      </w:pPr>
    </w:p>
    <w:p>
      <w:pPr>
        <w:pStyle w:val="5"/>
        <w:spacing w:line="249" w:lineRule="auto"/>
      </w:pPr>
    </w:p>
    <w:p>
      <w:pPr>
        <w:pStyle w:val="5"/>
        <w:spacing w:line="249" w:lineRule="auto"/>
      </w:pPr>
    </w:p>
    <w:p>
      <w:pPr>
        <w:pStyle w:val="5"/>
        <w:spacing w:line="250" w:lineRule="auto"/>
      </w:pPr>
    </w:p>
    <w:p>
      <w:pPr>
        <w:pStyle w:val="5"/>
        <w:spacing w:line="250" w:lineRule="auto"/>
      </w:pPr>
    </w:p>
    <w:p>
      <w:pPr>
        <w:pStyle w:val="5"/>
        <w:spacing w:line="250" w:lineRule="auto"/>
      </w:pPr>
    </w:p>
    <w:p>
      <w:pPr>
        <w:spacing w:before="91" w:line="679" w:lineRule="exact"/>
        <w:ind w:firstLine="1261" w:firstLineChars="400"/>
        <w:outlineLvl w:val="0"/>
        <w:rPr>
          <w:rFonts w:ascii="宋体" w:hAnsi="宋体" w:eastAsia="宋体" w:cs="宋体"/>
          <w:sz w:val="32"/>
          <w:szCs w:val="32"/>
        </w:rPr>
      </w:pPr>
      <w:bookmarkStart w:id="17" w:name="_Toc14160"/>
      <w:bookmarkStart w:id="18" w:name="_Toc675"/>
      <w:bookmarkStart w:id="19" w:name="_Toc3712"/>
      <w:bookmarkStart w:id="20" w:name="_Toc1251"/>
      <w:r>
        <w:rPr>
          <w:rFonts w:hint="eastAsia" w:ascii="宋体" w:hAnsi="宋体" w:eastAsia="宋体" w:cs="宋体"/>
          <w:b/>
          <w:bCs/>
          <w:spacing w:val="-3"/>
          <w:position w:val="30"/>
          <w:sz w:val="32"/>
          <w:szCs w:val="32"/>
          <w:lang w:eastAsia="zh-CN"/>
        </w:rPr>
        <w:t>甘肃金鑫新材料科技股份有限公司管理人</w:t>
      </w:r>
      <w:bookmarkEnd w:id="17"/>
      <w:bookmarkEnd w:id="18"/>
      <w:bookmarkEnd w:id="19"/>
      <w:bookmarkEnd w:id="20"/>
    </w:p>
    <w:p>
      <w:pPr>
        <w:spacing w:line="220" w:lineRule="auto"/>
        <w:ind w:firstLine="2506" w:firstLineChars="800"/>
        <w:outlineLvl w:val="0"/>
        <w:rPr>
          <w:rFonts w:ascii="宋体" w:hAnsi="宋体" w:eastAsia="宋体" w:cs="宋体"/>
          <w:sz w:val="28"/>
          <w:szCs w:val="28"/>
        </w:rPr>
        <w:sectPr>
          <w:pgSz w:w="11907" w:h="16839"/>
          <w:pgMar w:top="1431" w:right="1785" w:bottom="0" w:left="1785" w:header="0" w:footer="0" w:gutter="0"/>
          <w:pgNumType w:fmt="chineseCounting"/>
          <w:cols w:space="720" w:num="1"/>
        </w:sectPr>
      </w:pPr>
      <w:bookmarkStart w:id="21" w:name="_Toc6363"/>
      <w:bookmarkStart w:id="22" w:name="_Toc2748"/>
      <w:bookmarkStart w:id="23" w:name="_Toc21007"/>
      <w:bookmarkStart w:id="24" w:name="_Toc29784"/>
      <w:r>
        <w:rPr>
          <w:rFonts w:ascii="宋体" w:hAnsi="宋体" w:eastAsia="宋体" w:cs="宋体"/>
          <w:b/>
          <w:bCs/>
          <w:spacing w:val="-4"/>
          <w:sz w:val="32"/>
          <w:szCs w:val="32"/>
        </w:rPr>
        <w:t>二〇二三年</w:t>
      </w:r>
      <w:r>
        <w:rPr>
          <w:rFonts w:hint="eastAsia" w:ascii="宋体" w:hAnsi="宋体" w:eastAsia="宋体" w:cs="宋体"/>
          <w:b/>
          <w:bCs/>
          <w:spacing w:val="-4"/>
          <w:sz w:val="32"/>
          <w:szCs w:val="32"/>
          <w:lang w:eastAsia="zh-CN"/>
        </w:rPr>
        <w:t>九</w:t>
      </w:r>
      <w:r>
        <w:rPr>
          <w:rFonts w:ascii="宋体" w:hAnsi="宋体" w:eastAsia="宋体" w:cs="宋体"/>
          <w:b/>
          <w:bCs/>
          <w:spacing w:val="-4"/>
          <w:sz w:val="32"/>
          <w:szCs w:val="32"/>
        </w:rPr>
        <w:t>月</w:t>
      </w:r>
      <w:r>
        <w:rPr>
          <w:rFonts w:hint="eastAsia" w:ascii="宋体" w:hAnsi="宋体" w:eastAsia="宋体" w:cs="宋体"/>
          <w:b/>
          <w:bCs/>
          <w:spacing w:val="-4"/>
          <w:sz w:val="32"/>
          <w:szCs w:val="32"/>
          <w:lang w:eastAsia="zh-CN"/>
        </w:rPr>
        <w:t>六</w:t>
      </w:r>
      <w:r>
        <w:rPr>
          <w:rFonts w:ascii="宋体" w:hAnsi="宋体" w:eastAsia="宋体" w:cs="宋体"/>
          <w:b/>
          <w:bCs/>
          <w:spacing w:val="-4"/>
          <w:sz w:val="32"/>
          <w:szCs w:val="32"/>
        </w:rPr>
        <w:t>日</w:t>
      </w:r>
      <w:bookmarkEnd w:id="21"/>
      <w:bookmarkEnd w:id="22"/>
      <w:bookmarkEnd w:id="23"/>
      <w:bookmarkEnd w:id="24"/>
    </w:p>
    <w:sdt>
      <w:sdtPr>
        <w:rPr>
          <w:rFonts w:ascii="宋体" w:hAnsi="宋体" w:eastAsia="宋体" w:cs="Arial"/>
          <w:snapToGrid w:val="0"/>
          <w:color w:val="000000"/>
          <w:kern w:val="0"/>
          <w:sz w:val="21"/>
          <w:szCs w:val="21"/>
          <w:lang w:val="en-US" w:eastAsia="en-US" w:bidi="ar-SA"/>
        </w:rPr>
        <w:id w:val="147463279"/>
        <w15:color w:val="DBDBDB"/>
        <w:docPartObj>
          <w:docPartGallery w:val="Table of Contents"/>
          <w:docPartUnique/>
        </w:docPartObj>
      </w:sdtPr>
      <w:sdtEndPr>
        <w:rPr>
          <w:rFonts w:ascii="宋体" w:hAnsi="宋体" w:eastAsia="宋体" w:cs="宋体"/>
          <w:b/>
          <w:snapToGrid w:val="0"/>
          <w:color w:val="000000"/>
          <w:spacing w:val="-7"/>
          <w:kern w:val="0"/>
          <w:sz w:val="21"/>
          <w:szCs w:val="36"/>
          <w:lang w:val="en-US" w:eastAsia="en-US" w:bidi="ar-SA"/>
        </w:rPr>
      </w:sdtEndPr>
      <w:sdtContent>
        <w:p>
          <w:pPr>
            <w:spacing w:before="0" w:beforeLines="0" w:after="0" w:afterLines="0" w:line="240" w:lineRule="auto"/>
            <w:ind w:left="0" w:leftChars="0" w:right="0" w:rightChars="0" w:firstLine="0" w:firstLineChars="0"/>
            <w:jc w:val="center"/>
            <w:rPr>
              <w:sz w:val="44"/>
              <w:szCs w:val="44"/>
            </w:rPr>
          </w:pPr>
          <w:r>
            <w:rPr>
              <w:rFonts w:ascii="宋体" w:hAnsi="宋体" w:eastAsia="宋体"/>
              <w:sz w:val="44"/>
              <w:szCs w:val="44"/>
            </w:rPr>
            <w:t>目录</w:t>
          </w:r>
        </w:p>
        <w:p>
          <w:pPr>
            <w:pStyle w:val="8"/>
            <w:tabs>
              <w:tab w:val="right" w:leader="dot" w:pos="8396"/>
            </w:tabs>
          </w:pPr>
          <w:r>
            <w:rPr>
              <w:rFonts w:ascii="宋体" w:hAnsi="宋体" w:eastAsia="宋体" w:cs="宋体"/>
              <w:spacing w:val="-7"/>
              <w:sz w:val="36"/>
              <w:szCs w:val="36"/>
            </w:rPr>
            <w:fldChar w:fldCharType="begin"/>
          </w:r>
          <w:r>
            <w:rPr>
              <w:rFonts w:ascii="宋体" w:hAnsi="宋体" w:eastAsia="宋体" w:cs="宋体"/>
              <w:spacing w:val="-7"/>
              <w:sz w:val="36"/>
              <w:szCs w:val="36"/>
            </w:rPr>
            <w:instrText xml:space="preserve">TOC \o "1-2" \h \u </w:instrText>
          </w:r>
          <w:r>
            <w:rPr>
              <w:rFonts w:ascii="宋体" w:hAnsi="宋体" w:eastAsia="宋体" w:cs="宋体"/>
              <w:spacing w:val="-7"/>
              <w:sz w:val="36"/>
              <w:szCs w:val="36"/>
            </w:rPr>
            <w:fldChar w:fldCharType="separate"/>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_Toc21521 </w:instrText>
          </w:r>
          <w:r>
            <w:rPr>
              <w:rFonts w:ascii="宋体" w:hAnsi="宋体" w:eastAsia="宋体" w:cs="宋体"/>
              <w:spacing w:val="-7"/>
              <w:sz w:val="24"/>
              <w:szCs w:val="44"/>
            </w:rPr>
            <w:fldChar w:fldCharType="separate"/>
          </w:r>
          <w:r>
            <w:rPr>
              <w:rFonts w:hint="eastAsia" w:ascii="宋体" w:hAnsi="宋体" w:eastAsia="宋体" w:cs="宋体"/>
              <w:sz w:val="24"/>
              <w:szCs w:val="24"/>
            </w:rPr>
            <w:t>释  义</w:t>
          </w:r>
          <w:r>
            <w:rPr>
              <w:sz w:val="24"/>
              <w:szCs w:val="24"/>
            </w:rPr>
            <w:tab/>
          </w:r>
          <w:r>
            <w:rPr>
              <w:sz w:val="24"/>
              <w:szCs w:val="24"/>
            </w:rPr>
            <w:fldChar w:fldCharType="begin"/>
          </w:r>
          <w:r>
            <w:rPr>
              <w:sz w:val="24"/>
              <w:szCs w:val="24"/>
            </w:rPr>
            <w:instrText xml:space="preserve"> PAGEREF _Toc21521 \h </w:instrText>
          </w:r>
          <w:r>
            <w:rPr>
              <w:sz w:val="24"/>
              <w:szCs w:val="24"/>
            </w:rPr>
            <w:fldChar w:fldCharType="separate"/>
          </w:r>
          <w:r>
            <w:rPr>
              <w:sz w:val="24"/>
              <w:szCs w:val="24"/>
            </w:rPr>
            <w:t>１</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_Toc11560 </w:instrText>
          </w:r>
          <w:r>
            <w:rPr>
              <w:rFonts w:ascii="宋体" w:hAnsi="宋体" w:eastAsia="宋体" w:cs="宋体"/>
              <w:spacing w:val="-7"/>
              <w:sz w:val="24"/>
              <w:szCs w:val="44"/>
            </w:rPr>
            <w:fldChar w:fldCharType="separate"/>
          </w:r>
          <w:r>
            <w:rPr>
              <w:rFonts w:hint="eastAsia" w:ascii="宋体" w:hAnsi="宋体" w:eastAsia="宋体" w:cs="宋体"/>
              <w:sz w:val="24"/>
              <w:szCs w:val="24"/>
            </w:rPr>
            <w:t>前</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言</w:t>
          </w:r>
          <w:r>
            <w:rPr>
              <w:sz w:val="24"/>
              <w:szCs w:val="24"/>
            </w:rPr>
            <w:tab/>
          </w:r>
          <w:r>
            <w:rPr>
              <w:sz w:val="24"/>
              <w:szCs w:val="24"/>
            </w:rPr>
            <w:fldChar w:fldCharType="begin"/>
          </w:r>
          <w:r>
            <w:rPr>
              <w:sz w:val="24"/>
              <w:szCs w:val="24"/>
            </w:rPr>
            <w:instrText xml:space="preserve"> PAGEREF _Toc11560 \h </w:instrText>
          </w:r>
          <w:r>
            <w:rPr>
              <w:sz w:val="24"/>
              <w:szCs w:val="24"/>
            </w:rPr>
            <w:fldChar w:fldCharType="separate"/>
          </w:r>
          <w:r>
            <w:rPr>
              <w:sz w:val="24"/>
              <w:szCs w:val="24"/>
            </w:rPr>
            <w:t>３</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_Toc19180 </w:instrText>
          </w:r>
          <w:r>
            <w:rPr>
              <w:rFonts w:ascii="宋体" w:hAnsi="宋体" w:eastAsia="宋体" w:cs="宋体"/>
              <w:spacing w:val="-7"/>
              <w:sz w:val="24"/>
              <w:szCs w:val="44"/>
            </w:rPr>
            <w:fldChar w:fldCharType="separate"/>
          </w:r>
          <w:r>
            <w:rPr>
              <w:rFonts w:hint="eastAsia" w:ascii="宋体" w:hAnsi="宋体" w:eastAsia="宋体" w:cs="宋体"/>
              <w:bCs/>
              <w:spacing w:val="-4"/>
              <w:sz w:val="24"/>
              <w:szCs w:val="52"/>
              <w:lang w:val="en-US" w:eastAsia="zh-CN"/>
            </w:rPr>
            <w:t>正  文</w:t>
          </w:r>
          <w:r>
            <w:rPr>
              <w:sz w:val="24"/>
              <w:szCs w:val="24"/>
            </w:rPr>
            <w:tab/>
          </w:r>
          <w:r>
            <w:rPr>
              <w:sz w:val="24"/>
              <w:szCs w:val="24"/>
            </w:rPr>
            <w:fldChar w:fldCharType="begin"/>
          </w:r>
          <w:r>
            <w:rPr>
              <w:sz w:val="24"/>
              <w:szCs w:val="24"/>
            </w:rPr>
            <w:instrText xml:space="preserve"> PAGEREF _Toc19180 \h </w:instrText>
          </w:r>
          <w:r>
            <w:rPr>
              <w:sz w:val="24"/>
              <w:szCs w:val="24"/>
            </w:rPr>
            <w:fldChar w:fldCharType="separate"/>
          </w:r>
          <w:r>
            <w:rPr>
              <w:sz w:val="24"/>
              <w:szCs w:val="24"/>
            </w:rPr>
            <w:t>５</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_Toc8810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 xml:space="preserve">一、 </w:t>
          </w:r>
          <w:r>
            <w:rPr>
              <w:rFonts w:hint="eastAsia" w:ascii="宋体" w:hAnsi="宋体" w:eastAsia="宋体" w:cs="宋体"/>
              <w:sz w:val="24"/>
              <w:szCs w:val="36"/>
              <w:lang w:eastAsia="zh-CN"/>
            </w:rPr>
            <w:t>金鑫公司</w:t>
          </w:r>
          <w:r>
            <w:rPr>
              <w:rFonts w:hint="eastAsia" w:ascii="宋体" w:hAnsi="宋体" w:eastAsia="宋体" w:cs="宋体"/>
              <w:sz w:val="24"/>
              <w:szCs w:val="36"/>
              <w:lang w:val="en-US" w:eastAsia="zh-CN"/>
            </w:rPr>
            <w:t>的基本情况</w:t>
          </w:r>
          <w:r>
            <w:rPr>
              <w:sz w:val="24"/>
              <w:szCs w:val="24"/>
            </w:rPr>
            <w:tab/>
          </w:r>
          <w:r>
            <w:rPr>
              <w:sz w:val="24"/>
              <w:szCs w:val="24"/>
            </w:rPr>
            <w:fldChar w:fldCharType="begin"/>
          </w:r>
          <w:r>
            <w:rPr>
              <w:sz w:val="24"/>
              <w:szCs w:val="24"/>
            </w:rPr>
            <w:instrText xml:space="preserve"> PAGEREF _Toc8810 \h </w:instrText>
          </w:r>
          <w:r>
            <w:rPr>
              <w:sz w:val="24"/>
              <w:szCs w:val="24"/>
            </w:rPr>
            <w:fldChar w:fldCharType="separate"/>
          </w:r>
          <w:r>
            <w:rPr>
              <w:sz w:val="24"/>
              <w:szCs w:val="24"/>
            </w:rPr>
            <w:t>５</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ind w:firstLine="452" w:firstLineChars="200"/>
            <w:rPr>
              <w:sz w:val="24"/>
              <w:szCs w:val="24"/>
            </w:rPr>
          </w:pPr>
          <w:r>
            <w:rPr>
              <w:rFonts w:hint="eastAsia" w:ascii="宋体" w:hAnsi="宋体" w:eastAsia="宋体" w:cs="宋体"/>
              <w:spacing w:val="-7"/>
              <w:sz w:val="24"/>
              <w:szCs w:val="44"/>
              <w:lang w:eastAsia="zh-CN"/>
            </w:rPr>
            <w:t>（</w:t>
          </w: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_Toc18050 </w:instrText>
          </w:r>
          <w:r>
            <w:rPr>
              <w:rFonts w:ascii="宋体" w:hAnsi="宋体" w:eastAsia="宋体" w:cs="宋体"/>
              <w:spacing w:val="-7"/>
              <w:sz w:val="24"/>
              <w:szCs w:val="44"/>
            </w:rPr>
            <w:fldChar w:fldCharType="separate"/>
          </w:r>
          <w:r>
            <w:rPr>
              <w:rFonts w:hint="eastAsia" w:ascii="宋体" w:hAnsi="宋体" w:eastAsia="宋体" w:cs="宋体"/>
              <w:sz w:val="24"/>
              <w:szCs w:val="36"/>
            </w:rPr>
            <w:t>一）</w:t>
          </w:r>
          <w:r>
            <w:rPr>
              <w:rFonts w:hint="eastAsia" w:ascii="宋体" w:hAnsi="宋体" w:eastAsia="宋体" w:cs="宋体"/>
              <w:sz w:val="24"/>
              <w:szCs w:val="36"/>
              <w:lang w:eastAsia="zh-CN"/>
            </w:rPr>
            <w:t>金鑫</w:t>
          </w:r>
          <w:r>
            <w:rPr>
              <w:rFonts w:hint="eastAsia" w:ascii="宋体" w:hAnsi="宋体" w:eastAsia="宋体" w:cs="宋体"/>
              <w:sz w:val="24"/>
              <w:szCs w:val="36"/>
            </w:rPr>
            <w:t>公司设立与沿革</w:t>
          </w:r>
          <w:r>
            <w:rPr>
              <w:sz w:val="24"/>
              <w:szCs w:val="24"/>
            </w:rPr>
            <w:tab/>
          </w:r>
          <w:r>
            <w:rPr>
              <w:sz w:val="24"/>
              <w:szCs w:val="24"/>
            </w:rPr>
            <w:fldChar w:fldCharType="begin"/>
          </w:r>
          <w:r>
            <w:rPr>
              <w:sz w:val="24"/>
              <w:szCs w:val="24"/>
            </w:rPr>
            <w:instrText xml:space="preserve"> PAGEREF _Toc18050 \h </w:instrText>
          </w:r>
          <w:r>
            <w:rPr>
              <w:sz w:val="24"/>
              <w:szCs w:val="24"/>
            </w:rPr>
            <w:fldChar w:fldCharType="separate"/>
          </w:r>
          <w:r>
            <w:rPr>
              <w:sz w:val="24"/>
              <w:szCs w:val="24"/>
            </w:rPr>
            <w:t>５</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_Toc25527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（二）金鑫公司的股权架构</w:t>
          </w:r>
          <w:r>
            <w:rPr>
              <w:sz w:val="24"/>
              <w:szCs w:val="24"/>
            </w:rPr>
            <w:tab/>
          </w:r>
          <w:r>
            <w:rPr>
              <w:sz w:val="24"/>
              <w:szCs w:val="24"/>
            </w:rPr>
            <w:fldChar w:fldCharType="begin"/>
          </w:r>
          <w:r>
            <w:rPr>
              <w:sz w:val="24"/>
              <w:szCs w:val="24"/>
            </w:rPr>
            <w:instrText xml:space="preserve"> PAGEREF _Toc25527 \h </w:instrText>
          </w:r>
          <w:r>
            <w:rPr>
              <w:sz w:val="24"/>
              <w:szCs w:val="24"/>
            </w:rPr>
            <w:fldChar w:fldCharType="separate"/>
          </w:r>
          <w:r>
            <w:rPr>
              <w:sz w:val="24"/>
              <w:szCs w:val="24"/>
            </w:rPr>
            <w:t>６</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_Toc5131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（三）金鑫公司对外投资情况</w:t>
          </w:r>
          <w:r>
            <w:rPr>
              <w:sz w:val="24"/>
              <w:szCs w:val="24"/>
            </w:rPr>
            <w:tab/>
          </w:r>
          <w:r>
            <w:rPr>
              <w:sz w:val="24"/>
              <w:szCs w:val="24"/>
            </w:rPr>
            <w:fldChar w:fldCharType="begin"/>
          </w:r>
          <w:r>
            <w:rPr>
              <w:sz w:val="24"/>
              <w:szCs w:val="24"/>
            </w:rPr>
            <w:instrText xml:space="preserve"> PAGEREF _Toc5131 \h </w:instrText>
          </w:r>
          <w:r>
            <w:rPr>
              <w:sz w:val="24"/>
              <w:szCs w:val="24"/>
            </w:rPr>
            <w:fldChar w:fldCharType="separate"/>
          </w:r>
          <w:r>
            <w:rPr>
              <w:sz w:val="24"/>
              <w:szCs w:val="24"/>
            </w:rPr>
            <w:t>６</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_Toc15841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（四）重整受理及重整投资人情况</w:t>
          </w:r>
          <w:r>
            <w:rPr>
              <w:sz w:val="24"/>
              <w:szCs w:val="24"/>
            </w:rPr>
            <w:tab/>
          </w:r>
          <w:r>
            <w:rPr>
              <w:sz w:val="24"/>
              <w:szCs w:val="24"/>
            </w:rPr>
            <w:fldChar w:fldCharType="begin"/>
          </w:r>
          <w:r>
            <w:rPr>
              <w:sz w:val="24"/>
              <w:szCs w:val="24"/>
            </w:rPr>
            <w:instrText xml:space="preserve"> PAGEREF _Toc15841 \h </w:instrText>
          </w:r>
          <w:r>
            <w:rPr>
              <w:sz w:val="24"/>
              <w:szCs w:val="24"/>
            </w:rPr>
            <w:fldChar w:fldCharType="separate"/>
          </w:r>
          <w:r>
            <w:rPr>
              <w:sz w:val="24"/>
              <w:szCs w:val="24"/>
            </w:rPr>
            <w:t>７</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_Toc22491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二、 金鑫公司的资产情况</w:t>
          </w:r>
          <w:r>
            <w:rPr>
              <w:sz w:val="24"/>
              <w:szCs w:val="24"/>
            </w:rPr>
            <w:tab/>
          </w:r>
          <w:r>
            <w:rPr>
              <w:sz w:val="24"/>
              <w:szCs w:val="24"/>
            </w:rPr>
            <w:fldChar w:fldCharType="begin"/>
          </w:r>
          <w:r>
            <w:rPr>
              <w:sz w:val="24"/>
              <w:szCs w:val="24"/>
            </w:rPr>
            <w:instrText xml:space="preserve"> PAGEREF _Toc22491 \h </w:instrText>
          </w:r>
          <w:r>
            <w:rPr>
              <w:sz w:val="24"/>
              <w:szCs w:val="24"/>
            </w:rPr>
            <w:fldChar w:fldCharType="separate"/>
          </w:r>
          <w:r>
            <w:rPr>
              <w:sz w:val="24"/>
              <w:szCs w:val="24"/>
            </w:rPr>
            <w:t>８</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_Toc11177 </w:instrText>
          </w:r>
          <w:r>
            <w:rPr>
              <w:rFonts w:ascii="宋体" w:hAnsi="宋体" w:eastAsia="宋体" w:cs="宋体"/>
              <w:spacing w:val="-7"/>
              <w:sz w:val="24"/>
              <w:szCs w:val="44"/>
            </w:rPr>
            <w:fldChar w:fldCharType="separate"/>
          </w:r>
          <w:r>
            <w:rPr>
              <w:rFonts w:hint="eastAsia" w:ascii="宋体" w:hAnsi="宋体" w:eastAsia="宋体" w:cs="宋体"/>
              <w:bCs w:val="0"/>
              <w:sz w:val="24"/>
              <w:szCs w:val="36"/>
              <w:lang w:val="en-US" w:eastAsia="zh-CN"/>
            </w:rPr>
            <w:t>（一）资产审计情况</w:t>
          </w:r>
          <w:r>
            <w:rPr>
              <w:sz w:val="24"/>
              <w:szCs w:val="24"/>
            </w:rPr>
            <w:tab/>
          </w:r>
          <w:r>
            <w:rPr>
              <w:sz w:val="24"/>
              <w:szCs w:val="24"/>
            </w:rPr>
            <w:fldChar w:fldCharType="begin"/>
          </w:r>
          <w:r>
            <w:rPr>
              <w:sz w:val="24"/>
              <w:szCs w:val="24"/>
            </w:rPr>
            <w:instrText xml:space="preserve"> PAGEREF _Toc11177 \h </w:instrText>
          </w:r>
          <w:r>
            <w:rPr>
              <w:sz w:val="24"/>
              <w:szCs w:val="24"/>
            </w:rPr>
            <w:fldChar w:fldCharType="separate"/>
          </w:r>
          <w:r>
            <w:rPr>
              <w:sz w:val="24"/>
              <w:szCs w:val="24"/>
            </w:rPr>
            <w:t>８</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_Toc21117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（二）资产评估情况</w:t>
          </w:r>
          <w:r>
            <w:rPr>
              <w:sz w:val="24"/>
              <w:szCs w:val="24"/>
            </w:rPr>
            <w:tab/>
          </w:r>
          <w:r>
            <w:rPr>
              <w:sz w:val="24"/>
              <w:szCs w:val="24"/>
            </w:rPr>
            <w:fldChar w:fldCharType="begin"/>
          </w:r>
          <w:r>
            <w:rPr>
              <w:sz w:val="24"/>
              <w:szCs w:val="24"/>
            </w:rPr>
            <w:instrText xml:space="preserve"> PAGEREF _Toc21117 \h </w:instrText>
          </w:r>
          <w:r>
            <w:rPr>
              <w:sz w:val="24"/>
              <w:szCs w:val="24"/>
            </w:rPr>
            <w:fldChar w:fldCharType="separate"/>
          </w:r>
          <w:r>
            <w:rPr>
              <w:sz w:val="24"/>
              <w:szCs w:val="24"/>
            </w:rPr>
            <w:t>８</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_Toc8438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（三）偿债能力分析</w:t>
          </w:r>
          <w:r>
            <w:rPr>
              <w:sz w:val="24"/>
              <w:szCs w:val="24"/>
            </w:rPr>
            <w:tab/>
          </w:r>
          <w:r>
            <w:rPr>
              <w:sz w:val="24"/>
              <w:szCs w:val="24"/>
            </w:rPr>
            <w:fldChar w:fldCharType="begin"/>
          </w:r>
          <w:r>
            <w:rPr>
              <w:sz w:val="24"/>
              <w:szCs w:val="24"/>
            </w:rPr>
            <w:instrText xml:space="preserve"> PAGEREF _Toc8438 \h </w:instrText>
          </w:r>
          <w:r>
            <w:rPr>
              <w:sz w:val="24"/>
              <w:szCs w:val="24"/>
            </w:rPr>
            <w:fldChar w:fldCharType="separate"/>
          </w:r>
          <w:r>
            <w:rPr>
              <w:sz w:val="24"/>
              <w:szCs w:val="24"/>
            </w:rPr>
            <w:t>８</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_Toc12192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三、金鑫公司的负债情况</w:t>
          </w:r>
          <w:r>
            <w:rPr>
              <w:sz w:val="24"/>
              <w:szCs w:val="24"/>
            </w:rPr>
            <w:tab/>
          </w:r>
          <w:r>
            <w:rPr>
              <w:sz w:val="24"/>
              <w:szCs w:val="24"/>
            </w:rPr>
            <w:fldChar w:fldCharType="begin"/>
          </w:r>
          <w:r>
            <w:rPr>
              <w:sz w:val="24"/>
              <w:szCs w:val="24"/>
            </w:rPr>
            <w:instrText xml:space="preserve"> PAGEREF _Toc12192 \h </w:instrText>
          </w:r>
          <w:r>
            <w:rPr>
              <w:sz w:val="24"/>
              <w:szCs w:val="24"/>
            </w:rPr>
            <w:fldChar w:fldCharType="separate"/>
          </w:r>
          <w:r>
            <w:rPr>
              <w:sz w:val="24"/>
              <w:szCs w:val="24"/>
            </w:rPr>
            <w:t>９</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_Toc3220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（一）已申报债权情况</w:t>
          </w:r>
          <w:r>
            <w:rPr>
              <w:sz w:val="24"/>
              <w:szCs w:val="24"/>
            </w:rPr>
            <w:tab/>
          </w:r>
          <w:r>
            <w:rPr>
              <w:sz w:val="24"/>
              <w:szCs w:val="24"/>
            </w:rPr>
            <w:fldChar w:fldCharType="begin"/>
          </w:r>
          <w:r>
            <w:rPr>
              <w:sz w:val="24"/>
              <w:szCs w:val="24"/>
            </w:rPr>
            <w:instrText xml:space="preserve"> PAGEREF _Toc3220 \h </w:instrText>
          </w:r>
          <w:r>
            <w:rPr>
              <w:sz w:val="24"/>
              <w:szCs w:val="24"/>
            </w:rPr>
            <w:fldChar w:fldCharType="separate"/>
          </w:r>
          <w:r>
            <w:rPr>
              <w:sz w:val="24"/>
              <w:szCs w:val="24"/>
            </w:rPr>
            <w:t>９</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_Toc13644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（二）职工债权调查情况</w:t>
          </w:r>
          <w:r>
            <w:rPr>
              <w:sz w:val="24"/>
              <w:szCs w:val="24"/>
            </w:rPr>
            <w:tab/>
          </w:r>
          <w:r>
            <w:rPr>
              <w:sz w:val="24"/>
              <w:szCs w:val="24"/>
            </w:rPr>
            <w:fldChar w:fldCharType="begin"/>
          </w:r>
          <w:r>
            <w:rPr>
              <w:sz w:val="24"/>
              <w:szCs w:val="24"/>
            </w:rPr>
            <w:instrText xml:space="preserve"> PAGEREF _Toc13644 \h </w:instrText>
          </w:r>
          <w:r>
            <w:rPr>
              <w:sz w:val="24"/>
              <w:szCs w:val="24"/>
            </w:rPr>
            <w:fldChar w:fldCharType="separate"/>
          </w:r>
          <w:r>
            <w:rPr>
              <w:sz w:val="24"/>
              <w:szCs w:val="24"/>
            </w:rPr>
            <w:t>１０</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_Toc11543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（三）未申报债权情况</w:t>
          </w:r>
          <w:r>
            <w:rPr>
              <w:sz w:val="24"/>
              <w:szCs w:val="24"/>
            </w:rPr>
            <w:tab/>
          </w:r>
          <w:r>
            <w:rPr>
              <w:sz w:val="24"/>
              <w:szCs w:val="24"/>
            </w:rPr>
            <w:fldChar w:fldCharType="begin"/>
          </w:r>
          <w:r>
            <w:rPr>
              <w:sz w:val="24"/>
              <w:szCs w:val="24"/>
            </w:rPr>
            <w:instrText xml:space="preserve"> PAGEREF _Toc11543 \h </w:instrText>
          </w:r>
          <w:r>
            <w:rPr>
              <w:sz w:val="24"/>
              <w:szCs w:val="24"/>
            </w:rPr>
            <w:fldChar w:fldCharType="separate"/>
          </w:r>
          <w:r>
            <w:rPr>
              <w:sz w:val="24"/>
              <w:szCs w:val="24"/>
            </w:rPr>
            <w:t>１１</w:t>
          </w:r>
          <w:r>
            <w:rPr>
              <w:sz w:val="24"/>
              <w:szCs w:val="24"/>
            </w:rPr>
            <w:fldChar w:fldCharType="end"/>
          </w:r>
          <w:r>
            <w:rPr>
              <w:rFonts w:ascii="宋体" w:hAnsi="宋体" w:eastAsia="宋体" w:cs="宋体"/>
              <w:spacing w:val="-7"/>
              <w:sz w:val="24"/>
              <w:szCs w:val="44"/>
            </w:rPr>
            <w:fldChar w:fldCharType="end"/>
          </w:r>
        </w:p>
        <w:p>
          <w:pPr>
            <w:pStyle w:val="9"/>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_Toc7631 </w:instrText>
          </w:r>
          <w:r>
            <w:rPr>
              <w:rFonts w:ascii="宋体" w:hAnsi="宋体" w:eastAsia="宋体" w:cs="宋体"/>
              <w:spacing w:val="-7"/>
              <w:sz w:val="24"/>
              <w:szCs w:val="44"/>
            </w:rPr>
            <w:fldChar w:fldCharType="separate"/>
          </w:r>
          <w:r>
            <w:rPr>
              <w:rFonts w:hint="eastAsia" w:ascii="宋体" w:hAnsi="宋体" w:eastAsia="宋体" w:cs="宋体"/>
              <w:snapToGrid w:val="0"/>
              <w:kern w:val="0"/>
              <w:sz w:val="24"/>
              <w:szCs w:val="36"/>
              <w:lang w:val="en-US" w:eastAsia="zh-CN" w:bidi="ar-SA"/>
            </w:rPr>
            <w:t>（四）</w:t>
          </w:r>
          <w:r>
            <w:rPr>
              <w:rFonts w:hint="eastAsia" w:ascii="宋体" w:hAnsi="宋体" w:eastAsia="宋体" w:cs="宋体"/>
              <w:sz w:val="24"/>
              <w:szCs w:val="36"/>
              <w:lang w:val="en-US" w:eastAsia="zh-CN"/>
            </w:rPr>
            <w:t>重整费用与共益债务</w:t>
          </w:r>
          <w:r>
            <w:rPr>
              <w:sz w:val="24"/>
              <w:szCs w:val="24"/>
            </w:rPr>
            <w:tab/>
          </w:r>
          <w:r>
            <w:rPr>
              <w:sz w:val="24"/>
              <w:szCs w:val="24"/>
            </w:rPr>
            <w:fldChar w:fldCharType="begin"/>
          </w:r>
          <w:r>
            <w:rPr>
              <w:sz w:val="24"/>
              <w:szCs w:val="24"/>
            </w:rPr>
            <w:instrText xml:space="preserve"> PAGEREF _Toc7631 \h </w:instrText>
          </w:r>
          <w:r>
            <w:rPr>
              <w:sz w:val="24"/>
              <w:szCs w:val="24"/>
            </w:rPr>
            <w:fldChar w:fldCharType="separate"/>
          </w:r>
          <w:r>
            <w:rPr>
              <w:sz w:val="24"/>
              <w:szCs w:val="24"/>
            </w:rPr>
            <w:t>１１</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_Toc31120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四、债权分类及调整方案</w:t>
          </w:r>
          <w:r>
            <w:rPr>
              <w:sz w:val="24"/>
              <w:szCs w:val="24"/>
            </w:rPr>
            <w:tab/>
          </w:r>
          <w:r>
            <w:rPr>
              <w:sz w:val="24"/>
              <w:szCs w:val="24"/>
            </w:rPr>
            <w:fldChar w:fldCharType="begin"/>
          </w:r>
          <w:r>
            <w:rPr>
              <w:sz w:val="24"/>
              <w:szCs w:val="24"/>
            </w:rPr>
            <w:instrText xml:space="preserve"> PAGEREF _Toc31120 \h </w:instrText>
          </w:r>
          <w:r>
            <w:rPr>
              <w:sz w:val="24"/>
              <w:szCs w:val="24"/>
            </w:rPr>
            <w:fldChar w:fldCharType="separate"/>
          </w:r>
          <w:r>
            <w:rPr>
              <w:sz w:val="24"/>
              <w:szCs w:val="24"/>
            </w:rPr>
            <w:t>１２</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_Toc31234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（一）债权分类方案</w:t>
          </w:r>
          <w:r>
            <w:rPr>
              <w:sz w:val="24"/>
              <w:szCs w:val="24"/>
            </w:rPr>
            <w:tab/>
          </w:r>
          <w:r>
            <w:rPr>
              <w:sz w:val="24"/>
              <w:szCs w:val="24"/>
            </w:rPr>
            <w:fldChar w:fldCharType="begin"/>
          </w:r>
          <w:r>
            <w:rPr>
              <w:sz w:val="24"/>
              <w:szCs w:val="24"/>
            </w:rPr>
            <w:instrText xml:space="preserve"> PAGEREF _Toc31234 \h </w:instrText>
          </w:r>
          <w:r>
            <w:rPr>
              <w:sz w:val="24"/>
              <w:szCs w:val="24"/>
            </w:rPr>
            <w:fldChar w:fldCharType="separate"/>
          </w:r>
          <w:r>
            <w:rPr>
              <w:sz w:val="24"/>
              <w:szCs w:val="24"/>
            </w:rPr>
            <w:t>１２</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_Toc9529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二）债权调整方案</w:t>
          </w:r>
          <w:r>
            <w:rPr>
              <w:sz w:val="24"/>
              <w:szCs w:val="24"/>
            </w:rPr>
            <w:tab/>
          </w:r>
          <w:r>
            <w:rPr>
              <w:sz w:val="24"/>
              <w:szCs w:val="24"/>
            </w:rPr>
            <w:fldChar w:fldCharType="begin"/>
          </w:r>
          <w:r>
            <w:rPr>
              <w:sz w:val="24"/>
              <w:szCs w:val="24"/>
            </w:rPr>
            <w:instrText xml:space="preserve"> PAGEREF _Toc9529 \h </w:instrText>
          </w:r>
          <w:r>
            <w:rPr>
              <w:sz w:val="24"/>
              <w:szCs w:val="24"/>
            </w:rPr>
            <w:fldChar w:fldCharType="separate"/>
          </w:r>
          <w:r>
            <w:rPr>
              <w:sz w:val="24"/>
              <w:szCs w:val="24"/>
            </w:rPr>
            <w:t>１３</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_Toc9950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五、债权清偿方案</w:t>
          </w:r>
          <w:r>
            <w:rPr>
              <w:sz w:val="24"/>
              <w:szCs w:val="24"/>
            </w:rPr>
            <w:tab/>
          </w:r>
          <w:r>
            <w:rPr>
              <w:sz w:val="24"/>
              <w:szCs w:val="24"/>
            </w:rPr>
            <w:fldChar w:fldCharType="begin"/>
          </w:r>
          <w:r>
            <w:rPr>
              <w:sz w:val="24"/>
              <w:szCs w:val="24"/>
            </w:rPr>
            <w:instrText xml:space="preserve"> PAGEREF _Toc9950 \h </w:instrText>
          </w:r>
          <w:r>
            <w:rPr>
              <w:sz w:val="24"/>
              <w:szCs w:val="24"/>
            </w:rPr>
            <w:fldChar w:fldCharType="separate"/>
          </w:r>
          <w:r>
            <w:rPr>
              <w:sz w:val="24"/>
              <w:szCs w:val="24"/>
            </w:rPr>
            <w:t>１３</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_Toc15688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（一）偿债资金来源</w:t>
          </w:r>
          <w:r>
            <w:rPr>
              <w:sz w:val="24"/>
              <w:szCs w:val="24"/>
            </w:rPr>
            <w:tab/>
          </w:r>
          <w:r>
            <w:rPr>
              <w:sz w:val="24"/>
              <w:szCs w:val="24"/>
            </w:rPr>
            <w:fldChar w:fldCharType="begin"/>
          </w:r>
          <w:r>
            <w:rPr>
              <w:sz w:val="24"/>
              <w:szCs w:val="24"/>
            </w:rPr>
            <w:instrText xml:space="preserve"> PAGEREF _Toc15688 \h </w:instrText>
          </w:r>
          <w:r>
            <w:rPr>
              <w:sz w:val="24"/>
              <w:szCs w:val="24"/>
            </w:rPr>
            <w:fldChar w:fldCharType="separate"/>
          </w:r>
          <w:r>
            <w:rPr>
              <w:sz w:val="24"/>
              <w:szCs w:val="24"/>
            </w:rPr>
            <w:t>１３</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_Toc30828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二）债权清偿方案</w:t>
          </w:r>
          <w:r>
            <w:rPr>
              <w:sz w:val="24"/>
              <w:szCs w:val="24"/>
            </w:rPr>
            <w:tab/>
          </w:r>
          <w:r>
            <w:rPr>
              <w:sz w:val="24"/>
              <w:szCs w:val="24"/>
            </w:rPr>
            <w:fldChar w:fldCharType="begin"/>
          </w:r>
          <w:r>
            <w:rPr>
              <w:sz w:val="24"/>
              <w:szCs w:val="24"/>
            </w:rPr>
            <w:instrText xml:space="preserve"> PAGEREF _Toc30828 \h </w:instrText>
          </w:r>
          <w:r>
            <w:rPr>
              <w:sz w:val="24"/>
              <w:szCs w:val="24"/>
            </w:rPr>
            <w:fldChar w:fldCharType="separate"/>
          </w:r>
          <w:r>
            <w:rPr>
              <w:sz w:val="24"/>
              <w:szCs w:val="24"/>
            </w:rPr>
            <w:t>１４</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_Toc6788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六、经营方案</w:t>
          </w:r>
          <w:r>
            <w:rPr>
              <w:sz w:val="24"/>
              <w:szCs w:val="24"/>
            </w:rPr>
            <w:tab/>
          </w:r>
          <w:r>
            <w:rPr>
              <w:sz w:val="24"/>
              <w:szCs w:val="24"/>
            </w:rPr>
            <w:fldChar w:fldCharType="begin"/>
          </w:r>
          <w:r>
            <w:rPr>
              <w:sz w:val="24"/>
              <w:szCs w:val="24"/>
            </w:rPr>
            <w:instrText xml:space="preserve"> PAGEREF _Toc6788 \h </w:instrText>
          </w:r>
          <w:r>
            <w:rPr>
              <w:sz w:val="24"/>
              <w:szCs w:val="24"/>
            </w:rPr>
            <w:fldChar w:fldCharType="separate"/>
          </w:r>
          <w:r>
            <w:rPr>
              <w:sz w:val="24"/>
              <w:szCs w:val="24"/>
            </w:rPr>
            <w:t>１６</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_Toc3489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七、重整计划的执行</w:t>
          </w:r>
          <w:r>
            <w:rPr>
              <w:sz w:val="24"/>
              <w:szCs w:val="24"/>
            </w:rPr>
            <w:tab/>
          </w:r>
          <w:r>
            <w:rPr>
              <w:sz w:val="24"/>
              <w:szCs w:val="24"/>
            </w:rPr>
            <w:fldChar w:fldCharType="begin"/>
          </w:r>
          <w:r>
            <w:rPr>
              <w:sz w:val="24"/>
              <w:szCs w:val="24"/>
            </w:rPr>
            <w:instrText xml:space="preserve"> PAGEREF _Toc3489 \h </w:instrText>
          </w:r>
          <w:r>
            <w:rPr>
              <w:sz w:val="24"/>
              <w:szCs w:val="24"/>
            </w:rPr>
            <w:fldChar w:fldCharType="separate"/>
          </w:r>
          <w:r>
            <w:rPr>
              <w:sz w:val="24"/>
              <w:szCs w:val="24"/>
            </w:rPr>
            <w:t>１８</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_Toc27729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（一）执行主体</w:t>
          </w:r>
          <w:r>
            <w:rPr>
              <w:sz w:val="24"/>
              <w:szCs w:val="24"/>
            </w:rPr>
            <w:tab/>
          </w:r>
          <w:r>
            <w:rPr>
              <w:sz w:val="24"/>
              <w:szCs w:val="24"/>
            </w:rPr>
            <w:fldChar w:fldCharType="begin"/>
          </w:r>
          <w:r>
            <w:rPr>
              <w:sz w:val="24"/>
              <w:szCs w:val="24"/>
            </w:rPr>
            <w:instrText xml:space="preserve"> PAGEREF _Toc27729 \h </w:instrText>
          </w:r>
          <w:r>
            <w:rPr>
              <w:sz w:val="24"/>
              <w:szCs w:val="24"/>
            </w:rPr>
            <w:fldChar w:fldCharType="separate"/>
          </w:r>
          <w:r>
            <w:rPr>
              <w:sz w:val="24"/>
              <w:szCs w:val="24"/>
            </w:rPr>
            <w:t>１８</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_Toc7070 </w:instrText>
          </w:r>
          <w:r>
            <w:rPr>
              <w:rFonts w:ascii="宋体" w:hAnsi="宋体" w:eastAsia="宋体" w:cs="宋体"/>
              <w:spacing w:val="-7"/>
              <w:sz w:val="24"/>
              <w:szCs w:val="44"/>
            </w:rPr>
            <w:fldChar w:fldCharType="separate"/>
          </w:r>
          <w:r>
            <w:rPr>
              <w:rFonts w:hint="eastAsia"/>
              <w:sz w:val="24"/>
              <w:szCs w:val="36"/>
              <w:lang w:val="en-US" w:eastAsia="zh-CN"/>
            </w:rPr>
            <w:t>（二）执行期限</w:t>
          </w:r>
          <w:r>
            <w:rPr>
              <w:sz w:val="24"/>
              <w:szCs w:val="24"/>
            </w:rPr>
            <w:tab/>
          </w:r>
          <w:r>
            <w:rPr>
              <w:sz w:val="24"/>
              <w:szCs w:val="24"/>
            </w:rPr>
            <w:fldChar w:fldCharType="begin"/>
          </w:r>
          <w:r>
            <w:rPr>
              <w:sz w:val="24"/>
              <w:szCs w:val="24"/>
            </w:rPr>
            <w:instrText xml:space="preserve"> PAGEREF _Toc7070 \h </w:instrText>
          </w:r>
          <w:r>
            <w:rPr>
              <w:sz w:val="24"/>
              <w:szCs w:val="24"/>
            </w:rPr>
            <w:fldChar w:fldCharType="separate"/>
          </w:r>
          <w:r>
            <w:rPr>
              <w:sz w:val="24"/>
              <w:szCs w:val="24"/>
            </w:rPr>
            <w:t>１８</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_Toc4428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三）执行完毕的标准</w:t>
          </w:r>
          <w:r>
            <w:rPr>
              <w:sz w:val="24"/>
              <w:szCs w:val="24"/>
            </w:rPr>
            <w:tab/>
          </w:r>
          <w:r>
            <w:rPr>
              <w:sz w:val="24"/>
              <w:szCs w:val="24"/>
            </w:rPr>
            <w:fldChar w:fldCharType="begin"/>
          </w:r>
          <w:r>
            <w:rPr>
              <w:sz w:val="24"/>
              <w:szCs w:val="24"/>
            </w:rPr>
            <w:instrText xml:space="preserve"> PAGEREF _Toc4428 \h </w:instrText>
          </w:r>
          <w:r>
            <w:rPr>
              <w:sz w:val="24"/>
              <w:szCs w:val="24"/>
            </w:rPr>
            <w:fldChar w:fldCharType="separate"/>
          </w:r>
          <w:r>
            <w:rPr>
              <w:sz w:val="24"/>
              <w:szCs w:val="24"/>
            </w:rPr>
            <w:t>１９</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_Toc13421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四）协助执行事项</w:t>
          </w:r>
          <w:r>
            <w:rPr>
              <w:sz w:val="24"/>
              <w:szCs w:val="24"/>
            </w:rPr>
            <w:tab/>
          </w:r>
          <w:r>
            <w:rPr>
              <w:sz w:val="24"/>
              <w:szCs w:val="24"/>
            </w:rPr>
            <w:fldChar w:fldCharType="begin"/>
          </w:r>
          <w:r>
            <w:rPr>
              <w:sz w:val="24"/>
              <w:szCs w:val="24"/>
            </w:rPr>
            <w:instrText xml:space="preserve"> PAGEREF _Toc13421 \h </w:instrText>
          </w:r>
          <w:r>
            <w:rPr>
              <w:sz w:val="24"/>
              <w:szCs w:val="24"/>
            </w:rPr>
            <w:fldChar w:fldCharType="separate"/>
          </w:r>
          <w:r>
            <w:rPr>
              <w:sz w:val="24"/>
              <w:szCs w:val="24"/>
            </w:rPr>
            <w:t>２０</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_Toc20922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八、重整计划执行的监督</w:t>
          </w:r>
          <w:r>
            <w:rPr>
              <w:sz w:val="24"/>
              <w:szCs w:val="24"/>
            </w:rPr>
            <w:tab/>
          </w:r>
          <w:r>
            <w:rPr>
              <w:sz w:val="24"/>
              <w:szCs w:val="24"/>
            </w:rPr>
            <w:fldChar w:fldCharType="begin"/>
          </w:r>
          <w:r>
            <w:rPr>
              <w:sz w:val="24"/>
              <w:szCs w:val="24"/>
            </w:rPr>
            <w:instrText xml:space="preserve"> PAGEREF _Toc20922 \h </w:instrText>
          </w:r>
          <w:r>
            <w:rPr>
              <w:sz w:val="24"/>
              <w:szCs w:val="24"/>
            </w:rPr>
            <w:fldChar w:fldCharType="separate"/>
          </w:r>
          <w:r>
            <w:rPr>
              <w:sz w:val="24"/>
              <w:szCs w:val="24"/>
            </w:rPr>
            <w:t>２０</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_Toc27703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（一）监督主体</w:t>
          </w:r>
          <w:r>
            <w:rPr>
              <w:sz w:val="24"/>
              <w:szCs w:val="24"/>
            </w:rPr>
            <w:tab/>
          </w:r>
          <w:r>
            <w:rPr>
              <w:sz w:val="24"/>
              <w:szCs w:val="24"/>
            </w:rPr>
            <w:fldChar w:fldCharType="begin"/>
          </w:r>
          <w:r>
            <w:rPr>
              <w:sz w:val="24"/>
              <w:szCs w:val="24"/>
            </w:rPr>
            <w:instrText xml:space="preserve"> PAGEREF _Toc27703 \h </w:instrText>
          </w:r>
          <w:r>
            <w:rPr>
              <w:sz w:val="24"/>
              <w:szCs w:val="24"/>
            </w:rPr>
            <w:fldChar w:fldCharType="separate"/>
          </w:r>
          <w:r>
            <w:rPr>
              <w:sz w:val="24"/>
              <w:szCs w:val="24"/>
            </w:rPr>
            <w:t>２０</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_Toc29252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二）监督期限</w:t>
          </w:r>
          <w:r>
            <w:rPr>
              <w:sz w:val="24"/>
              <w:szCs w:val="24"/>
            </w:rPr>
            <w:tab/>
          </w:r>
          <w:r>
            <w:rPr>
              <w:sz w:val="24"/>
              <w:szCs w:val="24"/>
            </w:rPr>
            <w:fldChar w:fldCharType="begin"/>
          </w:r>
          <w:r>
            <w:rPr>
              <w:sz w:val="24"/>
              <w:szCs w:val="24"/>
            </w:rPr>
            <w:instrText xml:space="preserve"> PAGEREF _Toc29252 \h </w:instrText>
          </w:r>
          <w:r>
            <w:rPr>
              <w:sz w:val="24"/>
              <w:szCs w:val="24"/>
            </w:rPr>
            <w:fldChar w:fldCharType="separate"/>
          </w:r>
          <w:r>
            <w:rPr>
              <w:sz w:val="24"/>
              <w:szCs w:val="24"/>
            </w:rPr>
            <w:t>２０</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_Toc6526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（三）监督期限的延长与提前</w:t>
          </w:r>
          <w:r>
            <w:rPr>
              <w:sz w:val="24"/>
              <w:szCs w:val="24"/>
            </w:rPr>
            <w:tab/>
          </w:r>
          <w:r>
            <w:rPr>
              <w:sz w:val="24"/>
              <w:szCs w:val="24"/>
            </w:rPr>
            <w:fldChar w:fldCharType="begin"/>
          </w:r>
          <w:r>
            <w:rPr>
              <w:sz w:val="24"/>
              <w:szCs w:val="24"/>
            </w:rPr>
            <w:instrText xml:space="preserve"> PAGEREF _Toc6526 \h </w:instrText>
          </w:r>
          <w:r>
            <w:rPr>
              <w:sz w:val="24"/>
              <w:szCs w:val="24"/>
            </w:rPr>
            <w:fldChar w:fldCharType="separate"/>
          </w:r>
          <w:r>
            <w:rPr>
              <w:sz w:val="24"/>
              <w:szCs w:val="24"/>
            </w:rPr>
            <w:t>２１</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_Toc2532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四）监督期限内管理人及金鑫公司的职责</w:t>
          </w:r>
          <w:r>
            <w:rPr>
              <w:sz w:val="24"/>
              <w:szCs w:val="24"/>
            </w:rPr>
            <w:tab/>
          </w:r>
          <w:r>
            <w:rPr>
              <w:sz w:val="24"/>
              <w:szCs w:val="24"/>
            </w:rPr>
            <w:fldChar w:fldCharType="begin"/>
          </w:r>
          <w:r>
            <w:rPr>
              <w:sz w:val="24"/>
              <w:szCs w:val="24"/>
            </w:rPr>
            <w:instrText xml:space="preserve"> PAGEREF _Toc2532 \h </w:instrText>
          </w:r>
          <w:r>
            <w:rPr>
              <w:sz w:val="24"/>
              <w:szCs w:val="24"/>
            </w:rPr>
            <w:fldChar w:fldCharType="separate"/>
          </w:r>
          <w:r>
            <w:rPr>
              <w:sz w:val="24"/>
              <w:szCs w:val="24"/>
            </w:rPr>
            <w:t>２１</w:t>
          </w:r>
          <w:r>
            <w:rPr>
              <w:sz w:val="24"/>
              <w:szCs w:val="24"/>
            </w:rPr>
            <w:fldChar w:fldCharType="end"/>
          </w:r>
          <w:r>
            <w:rPr>
              <w:rFonts w:ascii="宋体" w:hAnsi="宋体" w:eastAsia="宋体" w:cs="宋体"/>
              <w:spacing w:val="-7"/>
              <w:sz w:val="24"/>
              <w:szCs w:val="44"/>
            </w:rPr>
            <w:fldChar w:fldCharType="end"/>
          </w:r>
        </w:p>
        <w:p>
          <w:pPr>
            <w:pStyle w:val="8"/>
            <w:tabs>
              <w:tab w:val="right" w:leader="dot" w:pos="8396"/>
            </w:tabs>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_Toc4071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九、其他说明事项</w:t>
          </w:r>
          <w:r>
            <w:rPr>
              <w:sz w:val="24"/>
              <w:szCs w:val="24"/>
            </w:rPr>
            <w:tab/>
          </w:r>
          <w:r>
            <w:rPr>
              <w:sz w:val="24"/>
              <w:szCs w:val="24"/>
            </w:rPr>
            <w:fldChar w:fldCharType="begin"/>
          </w:r>
          <w:r>
            <w:rPr>
              <w:sz w:val="24"/>
              <w:szCs w:val="24"/>
            </w:rPr>
            <w:instrText xml:space="preserve"> PAGEREF _Toc4071 \h </w:instrText>
          </w:r>
          <w:r>
            <w:rPr>
              <w:sz w:val="24"/>
              <w:szCs w:val="24"/>
            </w:rPr>
            <w:fldChar w:fldCharType="separate"/>
          </w:r>
          <w:r>
            <w:rPr>
              <w:sz w:val="24"/>
              <w:szCs w:val="24"/>
            </w:rPr>
            <w:t>２１</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_Toc7150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（一）重整计划生效条件及效力</w:t>
          </w:r>
          <w:r>
            <w:rPr>
              <w:sz w:val="24"/>
              <w:szCs w:val="24"/>
            </w:rPr>
            <w:tab/>
          </w:r>
          <w:r>
            <w:rPr>
              <w:sz w:val="24"/>
              <w:szCs w:val="24"/>
            </w:rPr>
            <w:fldChar w:fldCharType="begin"/>
          </w:r>
          <w:r>
            <w:rPr>
              <w:sz w:val="24"/>
              <w:szCs w:val="24"/>
            </w:rPr>
            <w:instrText xml:space="preserve"> PAGEREF _Toc7150 \h </w:instrText>
          </w:r>
          <w:r>
            <w:rPr>
              <w:sz w:val="24"/>
              <w:szCs w:val="24"/>
            </w:rPr>
            <w:fldChar w:fldCharType="separate"/>
          </w:r>
          <w:r>
            <w:rPr>
              <w:sz w:val="24"/>
              <w:szCs w:val="24"/>
            </w:rPr>
            <w:t>２１</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_Toc29334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二）对未申报债权的处理</w:t>
          </w:r>
          <w:r>
            <w:rPr>
              <w:sz w:val="24"/>
              <w:szCs w:val="24"/>
            </w:rPr>
            <w:tab/>
          </w:r>
          <w:r>
            <w:rPr>
              <w:sz w:val="24"/>
              <w:szCs w:val="24"/>
            </w:rPr>
            <w:fldChar w:fldCharType="begin"/>
          </w:r>
          <w:r>
            <w:rPr>
              <w:sz w:val="24"/>
              <w:szCs w:val="24"/>
            </w:rPr>
            <w:instrText xml:space="preserve"> PAGEREF _Toc29334 \h </w:instrText>
          </w:r>
          <w:r>
            <w:rPr>
              <w:sz w:val="24"/>
              <w:szCs w:val="24"/>
            </w:rPr>
            <w:fldChar w:fldCharType="separate"/>
          </w:r>
          <w:r>
            <w:rPr>
              <w:sz w:val="24"/>
              <w:szCs w:val="24"/>
            </w:rPr>
            <w:t>２２</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_Toc16275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（三）财产保全措施的解除</w:t>
          </w:r>
          <w:r>
            <w:rPr>
              <w:sz w:val="24"/>
              <w:szCs w:val="24"/>
            </w:rPr>
            <w:tab/>
          </w:r>
          <w:r>
            <w:rPr>
              <w:sz w:val="24"/>
              <w:szCs w:val="24"/>
            </w:rPr>
            <w:fldChar w:fldCharType="begin"/>
          </w:r>
          <w:r>
            <w:rPr>
              <w:sz w:val="24"/>
              <w:szCs w:val="24"/>
            </w:rPr>
            <w:instrText xml:space="preserve"> PAGEREF _Toc16275 \h </w:instrText>
          </w:r>
          <w:r>
            <w:rPr>
              <w:sz w:val="24"/>
              <w:szCs w:val="24"/>
            </w:rPr>
            <w:fldChar w:fldCharType="separate"/>
          </w:r>
          <w:r>
            <w:rPr>
              <w:sz w:val="24"/>
              <w:szCs w:val="24"/>
            </w:rPr>
            <w:t>２２</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_Toc25134 </w:instrText>
          </w:r>
          <w:r>
            <w:rPr>
              <w:rFonts w:ascii="宋体" w:hAnsi="宋体" w:eastAsia="宋体" w:cs="宋体"/>
              <w:spacing w:val="-7"/>
              <w:sz w:val="24"/>
              <w:szCs w:val="44"/>
            </w:rPr>
            <w:fldChar w:fldCharType="separate"/>
          </w:r>
          <w:r>
            <w:rPr>
              <w:rFonts w:hint="eastAsia" w:ascii="宋体" w:hAnsi="宋体" w:eastAsia="宋体" w:cs="宋体"/>
              <w:sz w:val="24"/>
              <w:szCs w:val="36"/>
              <w:lang w:val="en-US" w:eastAsia="zh-CN"/>
            </w:rPr>
            <w:t>（四）转让债权的清偿</w:t>
          </w:r>
          <w:r>
            <w:rPr>
              <w:sz w:val="24"/>
              <w:szCs w:val="24"/>
            </w:rPr>
            <w:tab/>
          </w:r>
          <w:r>
            <w:rPr>
              <w:sz w:val="24"/>
              <w:szCs w:val="24"/>
            </w:rPr>
            <w:fldChar w:fldCharType="begin"/>
          </w:r>
          <w:r>
            <w:rPr>
              <w:sz w:val="24"/>
              <w:szCs w:val="24"/>
            </w:rPr>
            <w:instrText xml:space="preserve"> PAGEREF _Toc25134 \h </w:instrText>
          </w:r>
          <w:r>
            <w:rPr>
              <w:sz w:val="24"/>
              <w:szCs w:val="24"/>
            </w:rPr>
            <w:fldChar w:fldCharType="separate"/>
          </w:r>
          <w:r>
            <w:rPr>
              <w:sz w:val="24"/>
              <w:szCs w:val="24"/>
            </w:rPr>
            <w:t>２３</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_Toc10326 </w:instrText>
          </w:r>
          <w:r>
            <w:rPr>
              <w:rFonts w:ascii="宋体" w:hAnsi="宋体" w:eastAsia="宋体" w:cs="宋体"/>
              <w:spacing w:val="-7"/>
              <w:sz w:val="24"/>
              <w:szCs w:val="44"/>
            </w:rPr>
            <w:fldChar w:fldCharType="separate"/>
          </w:r>
          <w:r>
            <w:rPr>
              <w:rFonts w:hint="eastAsia" w:ascii="宋体" w:hAnsi="宋体" w:eastAsia="宋体" w:cs="宋体"/>
              <w:spacing w:val="-7"/>
              <w:sz w:val="24"/>
              <w:szCs w:val="44"/>
              <w:lang w:eastAsia="zh-CN"/>
            </w:rPr>
            <w:t>（</w:t>
          </w:r>
          <w:r>
            <w:rPr>
              <w:rFonts w:hint="eastAsia" w:ascii="宋体" w:hAnsi="宋体" w:eastAsia="宋体" w:cs="宋体"/>
              <w:sz w:val="24"/>
              <w:szCs w:val="36"/>
              <w:lang w:val="en-US" w:eastAsia="zh-CN"/>
            </w:rPr>
            <w:t>五）信用修复</w:t>
          </w:r>
          <w:r>
            <w:rPr>
              <w:sz w:val="24"/>
              <w:szCs w:val="24"/>
            </w:rPr>
            <w:tab/>
          </w:r>
          <w:r>
            <w:rPr>
              <w:sz w:val="24"/>
              <w:szCs w:val="24"/>
            </w:rPr>
            <w:fldChar w:fldCharType="begin"/>
          </w:r>
          <w:r>
            <w:rPr>
              <w:sz w:val="24"/>
              <w:szCs w:val="24"/>
            </w:rPr>
            <w:instrText xml:space="preserve"> PAGEREF _Toc10326 \h </w:instrText>
          </w:r>
          <w:r>
            <w:rPr>
              <w:sz w:val="24"/>
              <w:szCs w:val="24"/>
            </w:rPr>
            <w:fldChar w:fldCharType="separate"/>
          </w:r>
          <w:r>
            <w:rPr>
              <w:sz w:val="24"/>
              <w:szCs w:val="24"/>
            </w:rPr>
            <w:t>２３</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rPr>
              <w:sz w:val="24"/>
              <w:szCs w:val="24"/>
            </w:rPr>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_Toc11239 </w:instrText>
          </w:r>
          <w:r>
            <w:rPr>
              <w:rFonts w:ascii="宋体" w:hAnsi="宋体" w:eastAsia="宋体" w:cs="宋体"/>
              <w:spacing w:val="-7"/>
              <w:sz w:val="24"/>
              <w:szCs w:val="44"/>
            </w:rPr>
            <w:fldChar w:fldCharType="separate"/>
          </w:r>
          <w:r>
            <w:rPr>
              <w:rFonts w:hint="eastAsia"/>
              <w:sz w:val="24"/>
              <w:szCs w:val="36"/>
              <w:lang w:val="en-US" w:eastAsia="zh-CN"/>
            </w:rPr>
            <w:t>（六）陇南扬名中学的优先权</w:t>
          </w:r>
          <w:r>
            <w:rPr>
              <w:sz w:val="24"/>
              <w:szCs w:val="24"/>
            </w:rPr>
            <w:tab/>
          </w:r>
          <w:r>
            <w:rPr>
              <w:sz w:val="24"/>
              <w:szCs w:val="24"/>
            </w:rPr>
            <w:fldChar w:fldCharType="begin"/>
          </w:r>
          <w:r>
            <w:rPr>
              <w:sz w:val="24"/>
              <w:szCs w:val="24"/>
            </w:rPr>
            <w:instrText xml:space="preserve"> PAGEREF _Toc11239 \h </w:instrText>
          </w:r>
          <w:r>
            <w:rPr>
              <w:sz w:val="24"/>
              <w:szCs w:val="24"/>
            </w:rPr>
            <w:fldChar w:fldCharType="separate"/>
          </w:r>
          <w:r>
            <w:rPr>
              <w:sz w:val="24"/>
              <w:szCs w:val="24"/>
            </w:rPr>
            <w:t>２３</w:t>
          </w:r>
          <w:r>
            <w:rPr>
              <w:sz w:val="24"/>
              <w:szCs w:val="24"/>
            </w:rPr>
            <w:fldChar w:fldCharType="end"/>
          </w:r>
          <w:r>
            <w:rPr>
              <w:rFonts w:ascii="宋体" w:hAnsi="宋体" w:eastAsia="宋体" w:cs="宋体"/>
              <w:spacing w:val="-7"/>
              <w:sz w:val="24"/>
              <w:szCs w:val="44"/>
            </w:rPr>
            <w:fldChar w:fldCharType="end"/>
          </w:r>
        </w:p>
        <w:p>
          <w:pPr>
            <w:pStyle w:val="9"/>
            <w:keepNext w:val="0"/>
            <w:keepLines w:val="0"/>
            <w:pageBreakBefore w:val="0"/>
            <w:widowControl/>
            <w:tabs>
              <w:tab w:val="right" w:leader="dot" w:pos="8396"/>
            </w:tabs>
            <w:kinsoku w:val="0"/>
            <w:wordWrap/>
            <w:overflowPunct/>
            <w:topLinePunct w:val="0"/>
            <w:autoSpaceDE w:val="0"/>
            <w:autoSpaceDN w:val="0"/>
            <w:bidi w:val="0"/>
            <w:adjustRightInd w:val="0"/>
            <w:snapToGrid w:val="0"/>
            <w:ind w:left="0" w:leftChars="0" w:firstLine="452" w:firstLineChars="200"/>
            <w:textAlignment w:val="baseline"/>
          </w:pPr>
          <w:r>
            <w:rPr>
              <w:rFonts w:ascii="宋体" w:hAnsi="宋体" w:eastAsia="宋体" w:cs="宋体"/>
              <w:spacing w:val="-7"/>
              <w:sz w:val="24"/>
              <w:szCs w:val="44"/>
            </w:rPr>
            <w:fldChar w:fldCharType="begin"/>
          </w:r>
          <w:r>
            <w:rPr>
              <w:rFonts w:ascii="宋体" w:hAnsi="宋体" w:eastAsia="宋体" w:cs="宋体"/>
              <w:spacing w:val="-7"/>
              <w:sz w:val="24"/>
              <w:szCs w:val="44"/>
            </w:rPr>
            <w:instrText xml:space="preserve"> HYPERLINK \l _Toc16198 </w:instrText>
          </w:r>
          <w:r>
            <w:rPr>
              <w:rFonts w:ascii="宋体" w:hAnsi="宋体" w:eastAsia="宋体" w:cs="宋体"/>
              <w:spacing w:val="-7"/>
              <w:sz w:val="24"/>
              <w:szCs w:val="44"/>
            </w:rPr>
            <w:fldChar w:fldCharType="separate"/>
          </w:r>
          <w:r>
            <w:rPr>
              <w:rFonts w:hint="eastAsia"/>
              <w:sz w:val="24"/>
              <w:szCs w:val="36"/>
              <w:lang w:val="en-US" w:eastAsia="zh-CN"/>
            </w:rPr>
            <w:t>（七）重整计划的解释与修订</w:t>
          </w:r>
          <w:r>
            <w:rPr>
              <w:sz w:val="24"/>
              <w:szCs w:val="24"/>
            </w:rPr>
            <w:tab/>
          </w:r>
          <w:r>
            <w:rPr>
              <w:sz w:val="24"/>
              <w:szCs w:val="24"/>
            </w:rPr>
            <w:fldChar w:fldCharType="begin"/>
          </w:r>
          <w:r>
            <w:rPr>
              <w:sz w:val="24"/>
              <w:szCs w:val="24"/>
            </w:rPr>
            <w:instrText xml:space="preserve"> PAGEREF _Toc16198 \h </w:instrText>
          </w:r>
          <w:r>
            <w:rPr>
              <w:sz w:val="24"/>
              <w:szCs w:val="24"/>
            </w:rPr>
            <w:fldChar w:fldCharType="separate"/>
          </w:r>
          <w:r>
            <w:rPr>
              <w:sz w:val="24"/>
              <w:szCs w:val="24"/>
            </w:rPr>
            <w:t>２３</w:t>
          </w:r>
          <w:r>
            <w:rPr>
              <w:sz w:val="24"/>
              <w:szCs w:val="24"/>
            </w:rPr>
            <w:fldChar w:fldCharType="end"/>
          </w:r>
          <w:r>
            <w:rPr>
              <w:rFonts w:ascii="宋体" w:hAnsi="宋体" w:eastAsia="宋体" w:cs="宋体"/>
              <w:spacing w:val="-7"/>
              <w:sz w:val="24"/>
              <w:szCs w:val="44"/>
            </w:rPr>
            <w:fldChar w:fldCharType="end"/>
          </w:r>
        </w:p>
        <w:p>
          <w:pPr>
            <w:keepNext w:val="0"/>
            <w:keepLines w:val="0"/>
            <w:pageBreakBefore w:val="0"/>
            <w:widowControl/>
            <w:wordWrap/>
            <w:overflowPunct/>
            <w:topLinePunct w:val="0"/>
            <w:bidi w:val="0"/>
            <w:spacing w:before="117" w:line="300" w:lineRule="exact"/>
            <w:rPr>
              <w:rFonts w:ascii="宋体" w:hAnsi="宋体" w:eastAsia="宋体" w:cs="宋体"/>
              <w:b/>
              <w:snapToGrid w:val="0"/>
              <w:color w:val="000000"/>
              <w:spacing w:val="-7"/>
              <w:kern w:val="0"/>
              <w:sz w:val="21"/>
              <w:szCs w:val="36"/>
              <w:lang w:val="en-US" w:eastAsia="en-US" w:bidi="ar-SA"/>
            </w:rPr>
            <w:sectPr>
              <w:headerReference r:id="rId5" w:type="default"/>
              <w:footerReference r:id="rId6" w:type="default"/>
              <w:pgSz w:w="11907" w:h="16839"/>
              <w:pgMar w:top="1118" w:right="1740" w:bottom="1185" w:left="1771" w:header="1104" w:footer="1015" w:gutter="0"/>
              <w:pgNumType w:fmt="chineseCounting" w:start="1"/>
              <w:cols w:equalWidth="0" w:num="1">
                <w:col w:w="8395"/>
              </w:cols>
            </w:sectPr>
          </w:pPr>
          <w:r>
            <w:rPr>
              <w:rFonts w:ascii="宋体" w:hAnsi="宋体" w:eastAsia="宋体" w:cs="宋体"/>
              <w:spacing w:val="-7"/>
              <w:szCs w:val="36"/>
            </w:rPr>
            <w:fldChar w:fldCharType="end"/>
          </w:r>
        </w:p>
      </w:sdtContent>
    </w:sdt>
    <w:p>
      <w:pPr>
        <w:pStyle w:val="3"/>
        <w:bidi w:val="0"/>
        <w:ind w:firstLine="2650" w:firstLineChars="600"/>
        <w:jc w:val="both"/>
        <w:rPr>
          <w:rFonts w:hint="eastAsia" w:ascii="宋体" w:hAnsi="宋体" w:eastAsia="宋体" w:cs="宋体"/>
          <w:color w:val="000000" w:themeColor="text1"/>
          <w14:textFill>
            <w14:solidFill>
              <w14:schemeClr w14:val="tx1"/>
            </w14:solidFill>
          </w14:textFill>
        </w:rPr>
      </w:pPr>
      <w:bookmarkStart w:id="25" w:name="_Toc21521"/>
      <w:r>
        <w:rPr>
          <w:rFonts w:hint="eastAsia" w:ascii="宋体" w:hAnsi="宋体" w:eastAsia="宋体" w:cs="宋体"/>
          <w:color w:val="000000" w:themeColor="text1"/>
          <w14:textFill>
            <w14:solidFill>
              <w14:schemeClr w14:val="tx1"/>
            </w14:solidFill>
          </w14:textFill>
        </w:rPr>
        <w:t>释  义</w:t>
      </w:r>
      <w:bookmarkEnd w:id="25"/>
    </w:p>
    <w:p>
      <w:pPr>
        <w:pStyle w:val="5"/>
        <w:spacing w:line="244" w:lineRule="auto"/>
        <w:rPr>
          <w:color w:val="000000" w:themeColor="text1"/>
          <w14:textFill>
            <w14:solidFill>
              <w14:schemeClr w14:val="tx1"/>
            </w14:solidFill>
          </w14:textFill>
        </w:rPr>
      </w:pPr>
    </w:p>
    <w:p>
      <w:pPr>
        <w:pStyle w:val="5"/>
        <w:spacing w:line="244" w:lineRule="auto"/>
        <w:rPr>
          <w:color w:val="000000" w:themeColor="text1"/>
          <w14:textFill>
            <w14:solidFill>
              <w14:schemeClr w14:val="tx1"/>
            </w14:solidFill>
          </w14:textFill>
        </w:rPr>
      </w:pPr>
    </w:p>
    <w:p>
      <w:pPr>
        <w:spacing w:before="78" w:line="220" w:lineRule="auto"/>
        <w:rPr>
          <w:rFonts w:hint="eastAsia"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color w:val="000000" w:themeColor="text1"/>
          <w:spacing w:val="-1"/>
          <w:sz w:val="24"/>
          <w:szCs w:val="24"/>
          <w14:textFill>
            <w14:solidFill>
              <w14:schemeClr w14:val="tx1"/>
            </w14:solidFill>
          </w14:textFill>
        </w:rPr>
        <w:t>“</w:t>
      </w:r>
      <w:r>
        <w:rPr>
          <w:rFonts w:hint="eastAsia" w:ascii="宋体" w:hAnsi="宋体" w:eastAsia="宋体" w:cs="宋体"/>
          <w:color w:val="000000" w:themeColor="text1"/>
          <w:spacing w:val="-1"/>
          <w:sz w:val="24"/>
          <w:szCs w:val="24"/>
          <w:lang w:eastAsia="zh-CN"/>
          <w14:textFill>
            <w14:solidFill>
              <w14:schemeClr w14:val="tx1"/>
            </w14:solidFill>
          </w14:textFill>
        </w:rPr>
        <w:t>陇南中院</w:t>
      </w:r>
      <w:r>
        <w:rPr>
          <w:rFonts w:ascii="宋体" w:hAnsi="宋体" w:eastAsia="宋体" w:cs="宋体"/>
          <w:color w:val="000000" w:themeColor="text1"/>
          <w:spacing w:val="-89"/>
          <w:sz w:val="24"/>
          <w:szCs w:val="24"/>
          <w14:textFill>
            <w14:solidFill>
              <w14:schemeClr w14:val="tx1"/>
            </w14:solidFill>
          </w14:textFill>
        </w:rPr>
        <w:t xml:space="preserve"> </w:t>
      </w:r>
      <w:r>
        <w:rPr>
          <w:rFonts w:ascii="宋体" w:hAnsi="宋体" w:eastAsia="宋体" w:cs="宋体"/>
          <w:color w:val="000000" w:themeColor="text1"/>
          <w:spacing w:val="-1"/>
          <w:sz w:val="24"/>
          <w:szCs w:val="24"/>
          <w14:textFill>
            <w14:solidFill>
              <w14:schemeClr w14:val="tx1"/>
            </w14:solidFill>
          </w14:textFill>
        </w:rPr>
        <w:t>”或“法院</w:t>
      </w:r>
      <w:r>
        <w:rPr>
          <w:rFonts w:ascii="宋体" w:hAnsi="宋体" w:eastAsia="宋体" w:cs="宋体"/>
          <w:color w:val="000000" w:themeColor="text1"/>
          <w:spacing w:val="-87"/>
          <w:sz w:val="24"/>
          <w:szCs w:val="24"/>
          <w14:textFill>
            <w14:solidFill>
              <w14:schemeClr w14:val="tx1"/>
            </w14:solidFill>
          </w14:textFill>
        </w:rPr>
        <w:t xml:space="preserve"> </w:t>
      </w:r>
      <w:r>
        <w:rPr>
          <w:rFonts w:ascii="宋体" w:hAnsi="宋体" w:eastAsia="宋体" w:cs="宋体"/>
          <w:color w:val="000000" w:themeColor="text1"/>
          <w:spacing w:val="-1"/>
          <w:sz w:val="24"/>
          <w:szCs w:val="24"/>
          <w14:textFill>
            <w14:solidFill>
              <w14:schemeClr w14:val="tx1"/>
            </w14:solidFill>
          </w14:textFill>
        </w:rPr>
        <w:t xml:space="preserve">”  </w:t>
      </w:r>
      <w:r>
        <w:rPr>
          <w:rFonts w:hint="eastAsia" w:ascii="宋体" w:hAnsi="宋体" w:eastAsia="宋体" w:cs="宋体"/>
          <w:color w:val="000000" w:themeColor="text1"/>
          <w:spacing w:val="-1"/>
          <w:sz w:val="24"/>
          <w:szCs w:val="24"/>
          <w:lang w:val="en-US" w:eastAsia="zh-CN"/>
          <w14:textFill>
            <w14:solidFill>
              <w14:schemeClr w14:val="tx1"/>
            </w14:solidFill>
          </w14:textFill>
        </w:rPr>
        <w:t xml:space="preserve">  </w:t>
      </w:r>
      <w:r>
        <w:rPr>
          <w:rFonts w:ascii="宋体" w:hAnsi="宋体" w:eastAsia="宋体" w:cs="宋体"/>
          <w:color w:val="000000" w:themeColor="text1"/>
          <w:spacing w:val="-1"/>
          <w:sz w:val="24"/>
          <w:szCs w:val="24"/>
          <w14:textFill>
            <w14:solidFill>
              <w14:schemeClr w14:val="tx1"/>
            </w14:solidFill>
          </w14:textFill>
        </w:rPr>
        <w:t>指</w:t>
      </w:r>
      <w:r>
        <w:rPr>
          <w:rFonts w:ascii="宋体" w:hAnsi="宋体" w:eastAsia="宋体" w:cs="宋体"/>
          <w:color w:val="000000" w:themeColor="text1"/>
          <w:spacing w:val="29"/>
          <w:sz w:val="24"/>
          <w:szCs w:val="24"/>
          <w14:textFill>
            <w14:solidFill>
              <w14:schemeClr w14:val="tx1"/>
            </w14:solidFill>
          </w14:textFill>
        </w:rPr>
        <w:t xml:space="preserve">  </w:t>
      </w:r>
      <w:r>
        <w:rPr>
          <w:rFonts w:hint="eastAsia" w:ascii="宋体" w:hAnsi="宋体" w:eastAsia="宋体" w:cs="宋体"/>
          <w:color w:val="000000" w:themeColor="text1"/>
          <w:spacing w:val="29"/>
          <w:sz w:val="24"/>
          <w:szCs w:val="24"/>
          <w:lang w:eastAsia="zh-CN"/>
          <w14:textFill>
            <w14:solidFill>
              <w14:schemeClr w14:val="tx1"/>
            </w14:solidFill>
          </w14:textFill>
        </w:rPr>
        <w:t>陇南市中级人民法院</w:t>
      </w:r>
    </w:p>
    <w:p>
      <w:pPr>
        <w:spacing w:line="126" w:lineRule="exact"/>
        <w:rPr>
          <w:color w:val="000000" w:themeColor="text1"/>
          <w14:textFill>
            <w14:solidFill>
              <w14:schemeClr w14:val="tx1"/>
            </w14:solidFill>
          </w14:textFill>
        </w:rPr>
      </w:pPr>
    </w:p>
    <w:p>
      <w:pPr>
        <w:spacing w:line="126" w:lineRule="exact"/>
        <w:rPr>
          <w:color w:val="000000" w:themeColor="text1"/>
          <w14:textFill>
            <w14:solidFill>
              <w14:schemeClr w14:val="tx1"/>
            </w14:solidFill>
          </w14:textFill>
        </w:rPr>
        <w:sectPr>
          <w:footerReference r:id="rId7" w:type="default"/>
          <w:pgSz w:w="11907" w:h="16839"/>
          <w:pgMar w:top="1118" w:right="1740" w:bottom="1185" w:left="1771" w:header="1104" w:footer="1015" w:gutter="0"/>
          <w:pgNumType w:fmt="decimalFullWidth" w:start="1"/>
          <w:cols w:equalWidth="0" w:num="1">
            <w:col w:w="8395"/>
          </w:cols>
        </w:sectPr>
      </w:pPr>
    </w:p>
    <w:p>
      <w:pPr>
        <w:pStyle w:val="5"/>
        <w:spacing w:line="328" w:lineRule="auto"/>
        <w:rPr>
          <w:color w:val="000000" w:themeColor="text1"/>
          <w14:textFill>
            <w14:solidFill>
              <w14:schemeClr w14:val="tx1"/>
            </w14:solidFill>
          </w14:textFill>
        </w:rPr>
      </w:pPr>
    </w:p>
    <w:p>
      <w:pPr>
        <w:spacing w:before="78" w:line="22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9"/>
          <w:sz w:val="24"/>
          <w:szCs w:val="24"/>
          <w14:textFill>
            <w14:solidFill>
              <w14:schemeClr w14:val="tx1"/>
            </w14:solidFill>
          </w14:textFill>
        </w:rPr>
        <w:t>“</w:t>
      </w:r>
      <w:r>
        <w:rPr>
          <w:rFonts w:ascii="宋体" w:hAnsi="宋体" w:eastAsia="宋体" w:cs="宋体"/>
          <w:color w:val="000000" w:themeColor="text1"/>
          <w:spacing w:val="-42"/>
          <w:sz w:val="24"/>
          <w:szCs w:val="24"/>
          <w14:textFill>
            <w14:solidFill>
              <w14:schemeClr w14:val="tx1"/>
            </w14:solidFill>
          </w14:textFill>
        </w:rPr>
        <w:t xml:space="preserve"> </w:t>
      </w:r>
      <w:r>
        <w:rPr>
          <w:rFonts w:ascii="宋体" w:hAnsi="宋体" w:eastAsia="宋体" w:cs="宋体"/>
          <w:color w:val="000000" w:themeColor="text1"/>
          <w:spacing w:val="-9"/>
          <w:sz w:val="24"/>
          <w:szCs w:val="24"/>
          <w14:textFill>
            <w14:solidFill>
              <w14:schemeClr w14:val="tx1"/>
            </w14:solidFill>
          </w14:textFill>
        </w:rPr>
        <w:t>《破产法》 ”</w:t>
      </w:r>
    </w:p>
    <w:p>
      <w:pPr>
        <w:pStyle w:val="5"/>
        <w:spacing w:line="274" w:lineRule="auto"/>
        <w:rPr>
          <w:color w:val="000000" w:themeColor="text1"/>
          <w14:textFill>
            <w14:solidFill>
              <w14:schemeClr w14:val="tx1"/>
            </w14:solidFill>
          </w14:textFill>
        </w:rPr>
      </w:pPr>
    </w:p>
    <w:p>
      <w:pPr>
        <w:pStyle w:val="5"/>
        <w:spacing w:line="274" w:lineRule="auto"/>
        <w:rPr>
          <w:color w:val="000000" w:themeColor="text1"/>
          <w14:textFill>
            <w14:solidFill>
              <w14:schemeClr w14:val="tx1"/>
            </w14:solidFill>
          </w14:textFill>
        </w:rPr>
      </w:pPr>
    </w:p>
    <w:p>
      <w:pPr>
        <w:spacing w:before="79" w:line="221" w:lineRule="auto"/>
        <w:jc w:val="both"/>
        <w:rPr>
          <w:rFonts w:ascii="宋体" w:hAnsi="宋体" w:eastAsia="宋体" w:cs="宋体"/>
          <w:color w:val="000000" w:themeColor="text1"/>
          <w:spacing w:val="15"/>
          <w:sz w:val="24"/>
          <w:szCs w:val="24"/>
          <w14:textFill>
            <w14:solidFill>
              <w14:schemeClr w14:val="tx1"/>
            </w14:solidFill>
          </w14:textFill>
        </w:rPr>
      </w:pPr>
    </w:p>
    <w:p>
      <w:pPr>
        <w:tabs>
          <w:tab w:val="center" w:pos="1533"/>
        </w:tabs>
        <w:spacing w:line="240" w:lineRule="auto"/>
        <w:jc w:val="both"/>
        <w:rPr>
          <w:rFonts w:hint="default" w:ascii="宋体" w:hAnsi="宋体" w:eastAsia="宋体" w:cs="宋体"/>
          <w:color w:val="000000" w:themeColor="text1"/>
          <w:spacing w:val="-84"/>
          <w:sz w:val="24"/>
          <w:szCs w:val="24"/>
          <w:lang w:val="en-US" w:eastAsia="zh-CN"/>
          <w14:textFill>
            <w14:solidFill>
              <w14:schemeClr w14:val="tx1"/>
            </w14:solidFill>
          </w14:textFill>
        </w:rPr>
      </w:pPr>
      <w:r>
        <w:rPr>
          <w:rFonts w:ascii="宋体" w:hAnsi="宋体" w:eastAsia="宋体" w:cs="宋体"/>
          <w:color w:val="000000" w:themeColor="text1"/>
          <w:spacing w:val="-1"/>
          <w:sz w:val="24"/>
          <w:szCs w:val="24"/>
          <w14:textFill>
            <w14:solidFill>
              <w14:schemeClr w14:val="tx1"/>
            </w14:solidFill>
          </w14:textFill>
        </w:rPr>
        <w:t>“</w:t>
      </w:r>
      <w:r>
        <w:rPr>
          <w:rFonts w:hint="eastAsia" w:ascii="宋体" w:hAnsi="宋体" w:eastAsia="宋体" w:cs="宋体"/>
          <w:color w:val="000000" w:themeColor="text1"/>
          <w:spacing w:val="-1"/>
          <w:sz w:val="24"/>
          <w:szCs w:val="24"/>
          <w:lang w:eastAsia="zh-CN"/>
          <w14:textFill>
            <w14:solidFill>
              <w14:schemeClr w14:val="tx1"/>
            </w14:solidFill>
          </w14:textFill>
        </w:rPr>
        <w:t>金鑫公司</w:t>
      </w:r>
      <w:r>
        <w:rPr>
          <w:rFonts w:ascii="宋体" w:hAnsi="宋体" w:eastAsia="宋体" w:cs="宋体"/>
          <w:color w:val="000000" w:themeColor="text1"/>
          <w:spacing w:val="-89"/>
          <w:sz w:val="24"/>
          <w:szCs w:val="24"/>
          <w14:textFill>
            <w14:solidFill>
              <w14:schemeClr w14:val="tx1"/>
            </w14:solidFill>
          </w14:textFill>
        </w:rPr>
        <w:t xml:space="preserve"> </w:t>
      </w:r>
      <w:r>
        <w:rPr>
          <w:rFonts w:ascii="宋体" w:hAnsi="宋体" w:eastAsia="宋体" w:cs="宋体"/>
          <w:color w:val="000000" w:themeColor="text1"/>
          <w:spacing w:val="-1"/>
          <w:sz w:val="24"/>
          <w:szCs w:val="24"/>
          <w14:textFill>
            <w14:solidFill>
              <w14:schemeClr w14:val="tx1"/>
            </w14:solidFill>
          </w14:textFill>
        </w:rPr>
        <w:t>”或“</w:t>
      </w:r>
      <w:r>
        <w:rPr>
          <w:rFonts w:hint="eastAsia" w:ascii="宋体" w:hAnsi="宋体" w:eastAsia="宋体" w:cs="宋体"/>
          <w:color w:val="000000" w:themeColor="text1"/>
          <w:spacing w:val="-1"/>
          <w:sz w:val="24"/>
          <w:szCs w:val="24"/>
          <w:lang w:eastAsia="zh-CN"/>
          <w14:textFill>
            <w14:solidFill>
              <w14:schemeClr w14:val="tx1"/>
            </w14:solidFill>
          </w14:textFill>
        </w:rPr>
        <w:t>债务人</w:t>
      </w:r>
      <w:r>
        <w:rPr>
          <w:rFonts w:ascii="宋体" w:hAnsi="宋体" w:eastAsia="宋体" w:cs="宋体"/>
          <w:color w:val="000000" w:themeColor="text1"/>
          <w:spacing w:val="-87"/>
          <w:sz w:val="24"/>
          <w:szCs w:val="24"/>
          <w14:textFill>
            <w14:solidFill>
              <w14:schemeClr w14:val="tx1"/>
            </w14:solidFill>
          </w14:textFill>
        </w:rPr>
        <w:t xml:space="preserve"> </w:t>
      </w:r>
      <w:r>
        <w:rPr>
          <w:rFonts w:ascii="宋体" w:hAnsi="宋体" w:eastAsia="宋体" w:cs="宋体"/>
          <w:color w:val="000000" w:themeColor="text1"/>
          <w:spacing w:val="-1"/>
          <w:sz w:val="24"/>
          <w:szCs w:val="24"/>
          <w14:textFill>
            <w14:solidFill>
              <w14:schemeClr w14:val="tx1"/>
            </w14:solidFill>
          </w14:textFill>
        </w:rPr>
        <w:t xml:space="preserve">” </w:t>
      </w:r>
    </w:p>
    <w:p>
      <w:pPr>
        <w:spacing w:before="79" w:line="220" w:lineRule="auto"/>
        <w:jc w:val="both"/>
        <w:rPr>
          <w:rFonts w:ascii="宋体" w:hAnsi="宋体" w:eastAsia="宋体" w:cs="宋体"/>
          <w:color w:val="000000" w:themeColor="text1"/>
          <w:spacing w:val="19"/>
          <w:sz w:val="24"/>
          <w:szCs w:val="24"/>
          <w14:textFill>
            <w14:solidFill>
              <w14:schemeClr w14:val="tx1"/>
            </w14:solidFill>
          </w14:textFill>
        </w:rPr>
      </w:pPr>
    </w:p>
    <w:p>
      <w:pPr>
        <w:spacing w:before="79" w:line="220" w:lineRule="auto"/>
        <w:jc w:val="both"/>
        <w:rPr>
          <w:rFonts w:ascii="宋体" w:hAnsi="宋体" w:eastAsia="宋体" w:cs="宋体"/>
          <w:color w:val="000000" w:themeColor="text1"/>
          <w:spacing w:val="19"/>
          <w:sz w:val="24"/>
          <w:szCs w:val="24"/>
          <w14:textFill>
            <w14:solidFill>
              <w14:schemeClr w14:val="tx1"/>
            </w14:solidFill>
          </w14:textFill>
        </w:rPr>
      </w:pPr>
    </w:p>
    <w:p>
      <w:pPr>
        <w:spacing w:before="79" w:line="220" w:lineRule="auto"/>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ascii="宋体" w:hAnsi="宋体" w:eastAsia="宋体" w:cs="宋体"/>
          <w:color w:val="000000" w:themeColor="text1"/>
          <w:spacing w:val="19"/>
          <w:sz w:val="24"/>
          <w:szCs w:val="24"/>
          <w14:textFill>
            <w14:solidFill>
              <w14:schemeClr w14:val="tx1"/>
            </w14:solidFill>
          </w14:textFill>
        </w:rPr>
        <w:t>“管理人</w:t>
      </w:r>
      <w:r>
        <w:rPr>
          <w:rFonts w:ascii="宋体" w:hAnsi="宋体" w:eastAsia="宋体" w:cs="宋体"/>
          <w:color w:val="000000" w:themeColor="text1"/>
          <w:spacing w:val="-89"/>
          <w:sz w:val="24"/>
          <w:szCs w:val="24"/>
          <w14:textFill>
            <w14:solidFill>
              <w14:schemeClr w14:val="tx1"/>
            </w14:solidFill>
          </w14:textFill>
        </w:rPr>
        <w:t xml:space="preserve"> </w:t>
      </w:r>
      <w:r>
        <w:rPr>
          <w:rFonts w:ascii="宋体" w:hAnsi="宋体" w:eastAsia="宋体" w:cs="宋体"/>
          <w:color w:val="000000" w:themeColor="text1"/>
          <w:spacing w:val="19"/>
          <w:sz w:val="24"/>
          <w:szCs w:val="24"/>
          <w14:textFill>
            <w14:solidFill>
              <w14:schemeClr w14:val="tx1"/>
            </w14:solidFill>
          </w14:textFill>
        </w:rPr>
        <w:t>”</w:t>
      </w:r>
      <w:r>
        <w:rPr>
          <w:rFonts w:hint="eastAsia" w:ascii="宋体" w:hAnsi="宋体" w:eastAsia="宋体" w:cs="宋体"/>
          <w:color w:val="000000" w:themeColor="text1"/>
          <w:spacing w:val="19"/>
          <w:sz w:val="24"/>
          <w:szCs w:val="24"/>
          <w:lang w:val="en-US" w:eastAsia="zh-CN"/>
          <w14:textFill>
            <w14:solidFill>
              <w14:schemeClr w14:val="tx1"/>
            </w14:solidFill>
          </w14:textFill>
        </w:rPr>
        <w:t xml:space="preserve"> </w:t>
      </w:r>
    </w:p>
    <w:p>
      <w:pPr>
        <w:pStyle w:val="5"/>
        <w:spacing w:line="287" w:lineRule="auto"/>
        <w:jc w:val="both"/>
        <w:rPr>
          <w:color w:val="000000" w:themeColor="text1"/>
          <w14:textFill>
            <w14:solidFill>
              <w14:schemeClr w14:val="tx1"/>
            </w14:solidFill>
          </w14:textFill>
        </w:rPr>
      </w:pPr>
    </w:p>
    <w:p>
      <w:pPr>
        <w:spacing w:before="78" w:line="220" w:lineRule="auto"/>
        <w:jc w:val="both"/>
        <w:rPr>
          <w:rFonts w:ascii="宋体" w:hAnsi="宋体" w:eastAsia="宋体" w:cs="宋体"/>
          <w:color w:val="000000" w:themeColor="text1"/>
          <w:spacing w:val="19"/>
          <w:sz w:val="24"/>
          <w:szCs w:val="24"/>
          <w14:textFill>
            <w14:solidFill>
              <w14:schemeClr w14:val="tx1"/>
            </w14:solidFill>
          </w14:textFill>
        </w:rPr>
      </w:pPr>
    </w:p>
    <w:p>
      <w:pPr>
        <w:spacing w:before="78" w:line="220" w:lineRule="auto"/>
        <w:jc w:val="both"/>
        <w:rPr>
          <w:rFonts w:ascii="宋体" w:hAnsi="宋体" w:eastAsia="宋体" w:cs="宋体"/>
          <w:color w:val="000000" w:themeColor="text1"/>
          <w:spacing w:val="19"/>
          <w:sz w:val="24"/>
          <w:szCs w:val="24"/>
          <w14:textFill>
            <w14:solidFill>
              <w14:schemeClr w14:val="tx1"/>
            </w14:solidFill>
          </w14:textFill>
        </w:rPr>
      </w:pPr>
      <w:r>
        <w:rPr>
          <w:rFonts w:ascii="宋体" w:hAnsi="宋体" w:eastAsia="宋体" w:cs="宋体"/>
          <w:color w:val="000000" w:themeColor="text1"/>
          <w:spacing w:val="19"/>
          <w:sz w:val="24"/>
          <w:szCs w:val="24"/>
          <w14:textFill>
            <w14:solidFill>
              <w14:schemeClr w14:val="tx1"/>
            </w14:solidFill>
          </w14:textFill>
        </w:rPr>
        <w:t>“债权人</w:t>
      </w:r>
      <w:r>
        <w:rPr>
          <w:rFonts w:ascii="宋体" w:hAnsi="宋体" w:eastAsia="宋体" w:cs="宋体"/>
          <w:color w:val="000000" w:themeColor="text1"/>
          <w:spacing w:val="-89"/>
          <w:sz w:val="24"/>
          <w:szCs w:val="24"/>
          <w14:textFill>
            <w14:solidFill>
              <w14:schemeClr w14:val="tx1"/>
            </w14:solidFill>
          </w14:textFill>
        </w:rPr>
        <w:t xml:space="preserve"> </w:t>
      </w:r>
      <w:r>
        <w:rPr>
          <w:rFonts w:ascii="宋体" w:hAnsi="宋体" w:eastAsia="宋体" w:cs="宋体"/>
          <w:color w:val="000000" w:themeColor="text1"/>
          <w:spacing w:val="19"/>
          <w:sz w:val="24"/>
          <w:szCs w:val="24"/>
          <w14:textFill>
            <w14:solidFill>
              <w14:schemeClr w14:val="tx1"/>
            </w14:solidFill>
          </w14:textFill>
        </w:rPr>
        <w:t>”</w:t>
      </w:r>
    </w:p>
    <w:p>
      <w:pPr>
        <w:spacing w:before="78" w:line="220" w:lineRule="auto"/>
        <w:ind w:firstLine="278" w:firstLineChars="100"/>
        <w:jc w:val="both"/>
        <w:rPr>
          <w:rFonts w:ascii="宋体" w:hAnsi="宋体" w:eastAsia="宋体" w:cs="宋体"/>
          <w:color w:val="000000" w:themeColor="text1"/>
          <w:spacing w:val="19"/>
          <w:sz w:val="24"/>
          <w:szCs w:val="24"/>
          <w14:textFill>
            <w14:solidFill>
              <w14:schemeClr w14:val="tx1"/>
            </w14:solidFill>
          </w14:textFill>
        </w:rPr>
      </w:pPr>
    </w:p>
    <w:p>
      <w:pPr>
        <w:spacing w:before="78" w:line="220" w:lineRule="auto"/>
        <w:jc w:val="both"/>
        <w:rPr>
          <w:rFonts w:ascii="宋体" w:hAnsi="宋体" w:eastAsia="宋体" w:cs="宋体"/>
          <w:color w:val="000000" w:themeColor="text1"/>
          <w:spacing w:val="15"/>
          <w:sz w:val="24"/>
          <w:szCs w:val="24"/>
          <w14:textFill>
            <w14:solidFill>
              <w14:schemeClr w14:val="tx1"/>
            </w14:solidFill>
          </w14:textFill>
        </w:rPr>
      </w:pPr>
    </w:p>
    <w:p>
      <w:pPr>
        <w:spacing w:before="78" w:line="220" w:lineRule="auto"/>
        <w:jc w:val="both"/>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“担保债权</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pStyle w:val="5"/>
        <w:spacing w:line="287" w:lineRule="auto"/>
        <w:jc w:val="both"/>
        <w:rPr>
          <w:color w:val="000000" w:themeColor="text1"/>
          <w14:textFill>
            <w14:solidFill>
              <w14:schemeClr w14:val="tx1"/>
            </w14:solidFill>
          </w14:textFill>
        </w:rPr>
      </w:pPr>
    </w:p>
    <w:p>
      <w:pPr>
        <w:pStyle w:val="5"/>
        <w:spacing w:line="288" w:lineRule="auto"/>
        <w:jc w:val="both"/>
        <w:rPr>
          <w:color w:val="000000" w:themeColor="text1"/>
          <w14:textFill>
            <w14:solidFill>
              <w14:schemeClr w14:val="tx1"/>
            </w14:solidFill>
          </w14:textFill>
        </w:rPr>
      </w:pPr>
    </w:p>
    <w:p>
      <w:pPr>
        <w:pStyle w:val="5"/>
        <w:spacing w:line="288" w:lineRule="auto"/>
        <w:jc w:val="both"/>
        <w:rPr>
          <w:color w:val="000000" w:themeColor="text1"/>
          <w14:textFill>
            <w14:solidFill>
              <w14:schemeClr w14:val="tx1"/>
            </w14:solidFill>
          </w14:textFill>
        </w:rPr>
      </w:pPr>
    </w:p>
    <w:p>
      <w:pPr>
        <w:spacing w:before="79" w:line="220" w:lineRule="auto"/>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“担保财产</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r>
        <w:rPr>
          <w:rFonts w:hint="eastAsia" w:ascii="宋体" w:hAnsi="宋体" w:eastAsia="宋体" w:cs="宋体"/>
          <w:color w:val="000000" w:themeColor="text1"/>
          <w:spacing w:val="15"/>
          <w:sz w:val="24"/>
          <w:szCs w:val="24"/>
          <w:lang w:val="en-US" w:eastAsia="zh-CN"/>
          <w14:textFill>
            <w14:solidFill>
              <w14:schemeClr w14:val="tx1"/>
            </w14:solidFill>
          </w14:textFill>
        </w:rPr>
        <w:t xml:space="preserve"> </w:t>
      </w:r>
    </w:p>
    <w:p>
      <w:pPr>
        <w:pStyle w:val="5"/>
        <w:spacing w:line="313" w:lineRule="auto"/>
        <w:jc w:val="both"/>
        <w:rPr>
          <w:color w:val="000000" w:themeColor="text1"/>
          <w14:textFill>
            <w14:solidFill>
              <w14:schemeClr w14:val="tx1"/>
            </w14:solidFill>
          </w14:textFill>
        </w:rPr>
      </w:pPr>
    </w:p>
    <w:p>
      <w:pPr>
        <w:pStyle w:val="5"/>
        <w:spacing w:line="313" w:lineRule="auto"/>
        <w:jc w:val="both"/>
        <w:rPr>
          <w:color w:val="000000" w:themeColor="text1"/>
          <w14:textFill>
            <w14:solidFill>
              <w14:schemeClr w14:val="tx1"/>
            </w14:solidFill>
          </w14:textFill>
        </w:rPr>
      </w:pPr>
    </w:p>
    <w:p>
      <w:pPr>
        <w:spacing w:before="78" w:line="220" w:lineRule="auto"/>
        <w:jc w:val="both"/>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“职工债权</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spacing w:before="53"/>
        <w:jc w:val="both"/>
        <w:rPr>
          <w:color w:val="000000" w:themeColor="text1"/>
          <w14:textFill>
            <w14:solidFill>
              <w14:schemeClr w14:val="tx1"/>
            </w14:solidFill>
          </w14:textFill>
        </w:rPr>
      </w:pPr>
    </w:p>
    <w:p>
      <w:pPr>
        <w:spacing w:before="53"/>
        <w:jc w:val="both"/>
        <w:rPr>
          <w:color w:val="000000" w:themeColor="text1"/>
          <w14:textFill>
            <w14:solidFill>
              <w14:schemeClr w14:val="tx1"/>
            </w14:solidFill>
          </w14:textFill>
        </w:rPr>
      </w:pPr>
    </w:p>
    <w:p>
      <w:pPr>
        <w:spacing w:before="78" w:line="22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“税收债权</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spacing w:before="52"/>
        <w:jc w:val="both"/>
        <w:rPr>
          <w:color w:val="000000" w:themeColor="text1"/>
          <w14:textFill>
            <w14:solidFill>
              <w14:schemeClr w14:val="tx1"/>
            </w14:solidFill>
          </w14:textFill>
        </w:rPr>
      </w:pPr>
    </w:p>
    <w:p>
      <w:pPr>
        <w:pStyle w:val="2"/>
        <w:ind w:left="0" w:leftChars="0" w:firstLine="0" w:firstLineChars="0"/>
        <w:rPr>
          <w:color w:val="000000" w:themeColor="text1"/>
          <w14:textFill>
            <w14:solidFill>
              <w14:schemeClr w14:val="tx1"/>
            </w14:solidFill>
          </w14:textFill>
        </w:rPr>
      </w:pPr>
    </w:p>
    <w:p>
      <w:pPr>
        <w:pStyle w:val="2"/>
        <w:ind w:left="0" w:leftChars="0" w:firstLine="0" w:firstLineChars="0"/>
        <w:rPr>
          <w:color w:val="000000" w:themeColor="text1"/>
          <w14:textFill>
            <w14:solidFill>
              <w14:schemeClr w14:val="tx1"/>
            </w14:solidFill>
          </w14:textFill>
        </w:rPr>
      </w:pPr>
    </w:p>
    <w:p>
      <w:pPr>
        <w:spacing w:before="78" w:line="220" w:lineRule="auto"/>
        <w:rPr>
          <w:rFonts w:ascii="宋体" w:hAnsi="宋体" w:eastAsia="宋体" w:cs="宋体"/>
          <w:color w:val="000000" w:themeColor="text1"/>
          <w:spacing w:val="15"/>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“普通债权</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pStyle w:val="2"/>
        <w:ind w:left="0" w:leftChars="0" w:firstLine="0" w:firstLineChars="0"/>
        <w:rPr>
          <w:rFonts w:hint="eastAsia" w:ascii="宋体" w:hAnsi="宋体" w:eastAsia="宋体" w:cs="宋体"/>
          <w:color w:val="000000" w:themeColor="text1"/>
          <w:spacing w:val="15"/>
          <w:sz w:val="24"/>
          <w:szCs w:val="24"/>
          <w:lang w:eastAsia="zh-CN"/>
          <w14:textFill>
            <w14:solidFill>
              <w14:schemeClr w14:val="tx1"/>
            </w14:solidFill>
          </w14:textFill>
        </w:rPr>
      </w:pPr>
    </w:p>
    <w:p>
      <w:pPr>
        <w:pStyle w:val="2"/>
        <w:ind w:left="0" w:leftChars="0" w:firstLine="0" w:firstLineChars="0"/>
        <w:rPr>
          <w:rFonts w:hint="eastAsia" w:ascii="宋体" w:hAnsi="宋体" w:eastAsia="宋体" w:cs="宋体"/>
          <w:color w:val="000000" w:themeColor="text1"/>
          <w:spacing w:val="15"/>
          <w:sz w:val="24"/>
          <w:szCs w:val="24"/>
          <w:lang w:eastAsia="zh-CN"/>
          <w14:textFill>
            <w14:solidFill>
              <w14:schemeClr w14:val="tx1"/>
            </w14:solidFill>
          </w14:textFill>
        </w:rPr>
      </w:pPr>
    </w:p>
    <w:p>
      <w:pPr>
        <w:spacing w:before="78" w:line="22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1"/>
          <w:sz w:val="24"/>
          <w:szCs w:val="24"/>
          <w14:textFill>
            <w14:solidFill>
              <w14:schemeClr w14:val="tx1"/>
            </w14:solidFill>
          </w14:textFill>
        </w:rPr>
        <w:t>“破产费用”</w:t>
      </w:r>
    </w:p>
    <w:p>
      <w:pPr>
        <w:pStyle w:val="2"/>
        <w:rPr>
          <w:rFonts w:ascii="宋体" w:hAnsi="宋体" w:eastAsia="宋体" w:cs="宋体"/>
          <w:color w:val="000000" w:themeColor="text1"/>
          <w:spacing w:val="15"/>
          <w:sz w:val="24"/>
          <w:szCs w:val="24"/>
          <w14:textFill>
            <w14:solidFill>
              <w14:schemeClr w14:val="tx1"/>
            </w14:solidFill>
          </w14:textFill>
        </w:rPr>
      </w:pPr>
    </w:p>
    <w:p>
      <w:pPr>
        <w:pStyle w:val="2"/>
        <w:rPr>
          <w:color w:val="000000" w:themeColor="text1"/>
          <w14:textFill>
            <w14:solidFill>
              <w14:schemeClr w14:val="tx1"/>
            </w14:solidFill>
          </w14:textFill>
        </w:rPr>
      </w:pPr>
    </w:p>
    <w:p>
      <w:pPr>
        <w:pStyle w:val="5"/>
        <w:spacing w:line="14" w:lineRule="auto"/>
        <w:jc w:val="both"/>
        <w:rPr>
          <w:color w:val="000000" w:themeColor="text1"/>
          <w:sz w:val="2"/>
          <w14:textFill>
            <w14:solidFill>
              <w14:schemeClr w14:val="tx1"/>
            </w14:solidFill>
          </w14:textFill>
        </w:rPr>
      </w:pPr>
      <w:r>
        <w:rPr>
          <w:color w:val="000000" w:themeColor="text1"/>
          <w:sz w:val="2"/>
          <w:szCs w:val="2"/>
          <w14:textFill>
            <w14:solidFill>
              <w14:schemeClr w14:val="tx1"/>
            </w14:solidFill>
          </w14:textFill>
        </w:rPr>
        <w:br w:type="column"/>
      </w:r>
    </w:p>
    <w:p>
      <w:pPr>
        <w:pStyle w:val="5"/>
        <w:spacing w:line="324" w:lineRule="auto"/>
        <w:jc w:val="both"/>
        <w:rPr>
          <w:color w:val="000000" w:themeColor="text1"/>
          <w14:textFill>
            <w14:solidFill>
              <w14:schemeClr w14:val="tx1"/>
            </w14:solidFill>
          </w14:textFill>
        </w:rPr>
      </w:pPr>
    </w:p>
    <w:p>
      <w:pPr>
        <w:spacing w:before="78" w:line="221" w:lineRule="auto"/>
        <w:ind w:left="780" w:hanging="780" w:hangingChars="3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  自 2007 年 6 月 1 日起施行的《中华</w:t>
      </w:r>
      <w:r>
        <w:rPr>
          <w:rFonts w:hint="eastAsia" w:ascii="宋体" w:hAnsi="宋体" w:eastAsia="宋体" w:cs="宋体"/>
          <w:color w:val="000000" w:themeColor="text1"/>
          <w:spacing w:val="10"/>
          <w:sz w:val="24"/>
          <w:szCs w:val="24"/>
          <w:lang w:eastAsia="zh-CN"/>
          <w14:textFill>
            <w14:solidFill>
              <w14:schemeClr w14:val="tx1"/>
            </w14:solidFill>
          </w14:textFill>
        </w:rPr>
        <w:t>人</w:t>
      </w:r>
      <w:r>
        <w:rPr>
          <w:rFonts w:ascii="宋体" w:hAnsi="宋体" w:eastAsia="宋体" w:cs="宋体"/>
          <w:color w:val="000000" w:themeColor="text1"/>
          <w:spacing w:val="10"/>
          <w:sz w:val="24"/>
          <w:szCs w:val="24"/>
          <w14:textFill>
            <w14:solidFill>
              <w14:schemeClr w14:val="tx1"/>
            </w14:solidFill>
          </w14:textFill>
        </w:rPr>
        <w:t>民共和国企业破产法》</w:t>
      </w:r>
    </w:p>
    <w:p>
      <w:pPr>
        <w:pStyle w:val="2"/>
        <w:rPr>
          <w:color w:val="000000" w:themeColor="text1"/>
          <w14:textFill>
            <w14:solidFill>
              <w14:schemeClr w14:val="tx1"/>
            </w14:solidFill>
          </w14:textFill>
        </w:rPr>
      </w:pPr>
    </w:p>
    <w:p>
      <w:pPr>
        <w:spacing w:before="78" w:line="221" w:lineRule="auto"/>
        <w:rPr>
          <w:rFonts w:ascii="宋体" w:hAnsi="宋体" w:eastAsia="宋体" w:cs="宋体"/>
          <w:color w:val="000000" w:themeColor="text1"/>
          <w:spacing w:val="10"/>
          <w:sz w:val="24"/>
          <w:szCs w:val="24"/>
          <w14:textFill>
            <w14:solidFill>
              <w14:schemeClr w14:val="tx1"/>
            </w14:solidFill>
          </w14:textFill>
        </w:rPr>
      </w:pPr>
      <w:bookmarkStart w:id="26" w:name="_Toc20323"/>
    </w:p>
    <w:p>
      <w:pPr>
        <w:spacing w:before="78" w:line="221" w:lineRule="auto"/>
        <w:rPr>
          <w:rFonts w:hint="eastAsia" w:ascii="宋体" w:hAnsi="宋体" w:eastAsia="宋体" w:cs="宋体"/>
          <w:color w:val="000000" w:themeColor="text1"/>
          <w:spacing w:val="10"/>
          <w:sz w:val="24"/>
          <w:szCs w:val="24"/>
          <w:lang w:eastAsia="zh-CN"/>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 xml:space="preserve">指  </w:t>
      </w:r>
      <w:r>
        <w:rPr>
          <w:rFonts w:hint="eastAsia" w:ascii="宋体" w:hAnsi="宋体" w:eastAsia="宋体" w:cs="宋体"/>
          <w:color w:val="000000" w:themeColor="text1"/>
          <w:spacing w:val="10"/>
          <w:sz w:val="24"/>
          <w:szCs w:val="24"/>
          <w:lang w:eastAsia="zh-CN"/>
          <w14:textFill>
            <w14:solidFill>
              <w14:schemeClr w14:val="tx1"/>
            </w14:solidFill>
          </w14:textFill>
        </w:rPr>
        <w:t>甘肃金鑫新材料科技股份有限公司</w:t>
      </w:r>
      <w:bookmarkEnd w:id="26"/>
    </w:p>
    <w:p>
      <w:pPr>
        <w:spacing w:before="78" w:line="221" w:lineRule="auto"/>
        <w:rPr>
          <w:rFonts w:ascii="宋体" w:hAnsi="宋体" w:eastAsia="宋体" w:cs="宋体"/>
          <w:color w:val="000000" w:themeColor="text1"/>
          <w:spacing w:val="10"/>
          <w:sz w:val="24"/>
          <w:szCs w:val="24"/>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val="en-US" w:eastAsia="zh-CN"/>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 xml:space="preserve">指  </w:t>
      </w:r>
      <w:r>
        <w:rPr>
          <w:rFonts w:hint="eastAsia" w:ascii="宋体" w:hAnsi="宋体" w:eastAsia="宋体" w:cs="宋体"/>
          <w:color w:val="000000" w:themeColor="text1"/>
          <w:spacing w:val="10"/>
          <w:sz w:val="24"/>
          <w:szCs w:val="24"/>
          <w:lang w:eastAsia="zh-CN"/>
          <w14:textFill>
            <w14:solidFill>
              <w14:schemeClr w14:val="tx1"/>
            </w14:solidFill>
          </w14:textFill>
        </w:rPr>
        <w:t>陇南中院（</w:t>
      </w:r>
      <w:r>
        <w:rPr>
          <w:rFonts w:hint="eastAsia" w:ascii="宋体" w:hAnsi="宋体" w:eastAsia="宋体" w:cs="宋体"/>
          <w:color w:val="000000" w:themeColor="text1"/>
          <w:spacing w:val="10"/>
          <w:sz w:val="24"/>
          <w:szCs w:val="24"/>
          <w:lang w:val="en-US" w:eastAsia="zh-CN"/>
          <w14:textFill>
            <w14:solidFill>
              <w14:schemeClr w14:val="tx1"/>
            </w14:solidFill>
          </w14:textFill>
        </w:rPr>
        <w:t>2022</w:t>
      </w:r>
      <w:r>
        <w:rPr>
          <w:rFonts w:hint="eastAsia" w:ascii="宋体" w:hAnsi="宋体" w:eastAsia="宋体" w:cs="宋体"/>
          <w:color w:val="000000" w:themeColor="text1"/>
          <w:spacing w:val="10"/>
          <w:sz w:val="24"/>
          <w:szCs w:val="24"/>
          <w:lang w:eastAsia="zh-CN"/>
          <w14:textFill>
            <w14:solidFill>
              <w14:schemeClr w14:val="tx1"/>
            </w14:solidFill>
          </w14:textFill>
        </w:rPr>
        <w:t>）甘</w:t>
      </w:r>
      <w:r>
        <w:rPr>
          <w:rFonts w:hint="eastAsia" w:ascii="宋体" w:hAnsi="宋体" w:eastAsia="宋体" w:cs="宋体"/>
          <w:color w:val="000000" w:themeColor="text1"/>
          <w:spacing w:val="10"/>
          <w:sz w:val="24"/>
          <w:szCs w:val="24"/>
          <w:lang w:val="en-US" w:eastAsia="zh-CN"/>
          <w14:textFill>
            <w14:solidFill>
              <w14:schemeClr w14:val="tx1"/>
            </w14:solidFill>
          </w14:textFill>
        </w:rPr>
        <w:t>12破2-1号《决定书》指定的甘肃金鑫新材料科技股份有限公司破产管理人</w:t>
      </w:r>
    </w:p>
    <w:p>
      <w:pPr>
        <w:pStyle w:val="2"/>
        <w:rPr>
          <w:color w:val="000000" w:themeColor="text1"/>
          <w14:textFill>
            <w14:solidFill>
              <w14:schemeClr w14:val="tx1"/>
            </w14:solidFill>
          </w14:textFill>
        </w:rPr>
      </w:pPr>
    </w:p>
    <w:p>
      <w:pPr>
        <w:spacing w:before="78" w:line="221" w:lineRule="auto"/>
        <w:ind w:left="520" w:hanging="520" w:hangingChars="200"/>
        <w:rPr>
          <w:rFonts w:hint="default" w:ascii="宋体" w:hAnsi="宋体" w:eastAsia="宋体" w:cs="宋体"/>
          <w:color w:val="000000" w:themeColor="text1"/>
          <w:spacing w:val="10"/>
          <w:sz w:val="24"/>
          <w:szCs w:val="24"/>
          <w:lang w:val="en-US" w:eastAsia="zh-CN"/>
          <w14:textFill>
            <w14:solidFill>
              <w14:schemeClr w14:val="tx1"/>
            </w14:solidFill>
          </w14:textFill>
        </w:rPr>
      </w:pPr>
      <w:bookmarkStart w:id="27" w:name="_Toc27567"/>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hint="eastAsia" w:ascii="宋体" w:hAnsi="宋体" w:eastAsia="宋体" w:cs="宋体"/>
          <w:color w:val="000000" w:themeColor="text1"/>
          <w:spacing w:val="10"/>
          <w:sz w:val="24"/>
          <w:szCs w:val="24"/>
          <w:lang w:eastAsia="zh-CN"/>
          <w14:textFill>
            <w14:solidFill>
              <w14:schemeClr w14:val="tx1"/>
            </w14:solidFill>
          </w14:textFill>
        </w:rPr>
        <w:t>甘肃金鑫新材料科技股份有限公司的债权人</w:t>
      </w:r>
      <w:bookmarkEnd w:id="27"/>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p>
    <w:p>
      <w:pPr>
        <w:spacing w:before="78" w:line="221" w:lineRule="auto"/>
        <w:rPr>
          <w:rFonts w:ascii="宋体" w:hAnsi="宋体" w:eastAsia="宋体" w:cs="宋体"/>
          <w:color w:val="000000" w:themeColor="text1"/>
          <w:spacing w:val="10"/>
          <w:sz w:val="24"/>
          <w:szCs w:val="24"/>
          <w14:textFill>
            <w14:solidFill>
              <w14:schemeClr w14:val="tx1"/>
            </w14:solidFill>
          </w14:textFill>
        </w:rPr>
      </w:pPr>
    </w:p>
    <w:p>
      <w:pPr>
        <w:spacing w:before="78" w:line="221" w:lineRule="auto"/>
        <w:rPr>
          <w:rFonts w:ascii="宋体" w:hAnsi="宋体" w:eastAsia="宋体" w:cs="宋体"/>
          <w:color w:val="000000" w:themeColor="text1"/>
          <w:spacing w:val="10"/>
          <w:sz w:val="24"/>
          <w:szCs w:val="24"/>
          <w14:textFill>
            <w14:solidFill>
              <w14:schemeClr w14:val="tx1"/>
            </w14:solidFill>
          </w14:textFill>
        </w:rPr>
      </w:pPr>
      <w:bookmarkStart w:id="28" w:name="_Toc27828"/>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《破产法》第八十二条第一款第一项规定</w:t>
      </w:r>
      <w:bookmarkEnd w:id="28"/>
    </w:p>
    <w:p>
      <w:pPr>
        <w:spacing w:before="78" w:line="221" w:lineRule="auto"/>
        <w:ind w:left="239" w:leftChars="114" w:firstLine="260" w:firstLineChars="100"/>
        <w:rPr>
          <w:rFonts w:hint="eastAsia" w:ascii="宋体" w:hAnsi="宋体" w:eastAsia="宋体" w:cs="宋体"/>
          <w:color w:val="000000" w:themeColor="text1"/>
          <w:spacing w:val="10"/>
          <w:sz w:val="24"/>
          <w:szCs w:val="24"/>
          <w:lang w:eastAsia="zh-CN"/>
          <w14:textFill>
            <w14:solidFill>
              <w14:schemeClr w14:val="tx1"/>
            </w14:solidFill>
          </w14:textFill>
        </w:rPr>
      </w:pPr>
      <w:bookmarkStart w:id="29" w:name="_Toc22805"/>
      <w:r>
        <w:rPr>
          <w:rFonts w:ascii="宋体" w:hAnsi="宋体" w:eastAsia="宋体" w:cs="宋体"/>
          <w:color w:val="000000" w:themeColor="text1"/>
          <w:spacing w:val="10"/>
          <w:sz w:val="24"/>
          <w:szCs w:val="24"/>
          <w14:textFill>
            <w14:solidFill>
              <w14:schemeClr w14:val="tx1"/>
            </w14:solidFill>
          </w14:textFill>
        </w:rPr>
        <w:t>的，对</w:t>
      </w:r>
      <w:r>
        <w:rPr>
          <w:rFonts w:hint="eastAsia" w:ascii="宋体" w:hAnsi="宋体" w:eastAsia="宋体" w:cs="宋体"/>
          <w:color w:val="000000" w:themeColor="text1"/>
          <w:spacing w:val="10"/>
          <w:sz w:val="24"/>
          <w:szCs w:val="24"/>
          <w:lang w:eastAsia="zh-CN"/>
          <w14:textFill>
            <w14:solidFill>
              <w14:schemeClr w14:val="tx1"/>
            </w14:solidFill>
          </w14:textFill>
        </w:rPr>
        <w:t>金鑫公司</w:t>
      </w:r>
      <w:r>
        <w:rPr>
          <w:rFonts w:ascii="宋体" w:hAnsi="宋体" w:eastAsia="宋体" w:cs="宋体"/>
          <w:color w:val="000000" w:themeColor="text1"/>
          <w:spacing w:val="10"/>
          <w:sz w:val="24"/>
          <w:szCs w:val="24"/>
          <w14:textFill>
            <w14:solidFill>
              <w14:schemeClr w14:val="tx1"/>
            </w14:solidFill>
          </w14:textFill>
        </w:rPr>
        <w:t>的特定资产享</w:t>
      </w:r>
      <w:r>
        <w:rPr>
          <w:rFonts w:hint="eastAsia" w:ascii="宋体" w:hAnsi="宋体" w:eastAsia="宋体" w:cs="宋体"/>
          <w:color w:val="000000" w:themeColor="text1"/>
          <w:spacing w:val="10"/>
          <w:sz w:val="24"/>
          <w:szCs w:val="24"/>
          <w:lang w:eastAsia="zh-CN"/>
          <w14:textFill>
            <w14:solidFill>
              <w14:schemeClr w14:val="tx1"/>
            </w14:solidFill>
          </w14:textFill>
        </w:rPr>
        <w:t>有抵押权利</w:t>
      </w:r>
    </w:p>
    <w:p>
      <w:pPr>
        <w:spacing w:before="78" w:line="221" w:lineRule="auto"/>
        <w:ind w:left="239" w:leftChars="114" w:firstLine="260" w:firstLineChars="100"/>
        <w:rPr>
          <w:rFonts w:hint="eastAsia" w:ascii="宋体" w:hAnsi="宋体" w:eastAsia="宋体" w:cs="宋体"/>
          <w:color w:val="000000" w:themeColor="text1"/>
          <w:spacing w:val="10"/>
          <w:sz w:val="24"/>
          <w:szCs w:val="24"/>
          <w:lang w:eastAsia="zh-CN"/>
          <w14:textFill>
            <w14:solidFill>
              <w14:schemeClr w14:val="tx1"/>
            </w14:solidFill>
          </w14:textFill>
        </w:rPr>
      </w:pPr>
      <w:r>
        <w:rPr>
          <w:rFonts w:hint="eastAsia" w:ascii="宋体" w:hAnsi="宋体" w:eastAsia="宋体" w:cs="宋体"/>
          <w:color w:val="000000" w:themeColor="text1"/>
          <w:spacing w:val="10"/>
          <w:sz w:val="24"/>
          <w:szCs w:val="24"/>
          <w:lang w:eastAsia="zh-CN"/>
          <w14:textFill>
            <w14:solidFill>
              <w14:schemeClr w14:val="tx1"/>
            </w14:solidFill>
          </w14:textFill>
        </w:rPr>
        <w:t>的债权</w:t>
      </w:r>
      <w:bookmarkEnd w:id="29"/>
    </w:p>
    <w:p>
      <w:pPr>
        <w:pStyle w:val="2"/>
        <w:rPr>
          <w:color w:val="000000" w:themeColor="text1"/>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eastAsia="zh-CN"/>
          <w14:textFill>
            <w14:solidFill>
              <w14:schemeClr w14:val="tx1"/>
            </w14:solidFill>
          </w14:textFill>
        </w:rPr>
      </w:pPr>
      <w:bookmarkStart w:id="30" w:name="_Toc12817"/>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已设定抵、 质押担保的</w:t>
      </w:r>
      <w:r>
        <w:rPr>
          <w:rFonts w:hint="eastAsia" w:ascii="宋体" w:hAnsi="宋体" w:eastAsia="宋体" w:cs="宋体"/>
          <w:color w:val="000000" w:themeColor="text1"/>
          <w:spacing w:val="10"/>
          <w:sz w:val="24"/>
          <w:szCs w:val="24"/>
          <w:lang w:eastAsia="zh-CN"/>
          <w14:textFill>
            <w14:solidFill>
              <w14:schemeClr w14:val="tx1"/>
            </w14:solidFill>
          </w14:textFill>
        </w:rPr>
        <w:t>金鑫公司的特定财产</w:t>
      </w:r>
      <w:bookmarkEnd w:id="30"/>
    </w:p>
    <w:p>
      <w:pPr>
        <w:pStyle w:val="2"/>
        <w:rPr>
          <w:color w:val="000000" w:themeColor="text1"/>
          <w14:textFill>
            <w14:solidFill>
              <w14:schemeClr w14:val="tx1"/>
            </w14:solidFill>
          </w14:textFill>
        </w:rPr>
      </w:pPr>
    </w:p>
    <w:p>
      <w:pPr>
        <w:spacing w:before="78" w:line="221" w:lineRule="auto"/>
        <w:ind w:left="520" w:hanging="520" w:hangingChars="2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 xml:space="preserve">指  </w:t>
      </w:r>
      <w:r>
        <w:rPr>
          <w:rFonts w:hint="eastAsia" w:ascii="宋体" w:hAnsi="宋体" w:eastAsia="宋体" w:cs="宋体"/>
          <w:color w:val="000000" w:themeColor="text1"/>
          <w:spacing w:val="10"/>
          <w:sz w:val="24"/>
          <w:szCs w:val="24"/>
          <w:lang w:eastAsia="zh-CN"/>
          <w14:textFill>
            <w14:solidFill>
              <w14:schemeClr w14:val="tx1"/>
            </w14:solidFill>
          </w14:textFill>
        </w:rPr>
        <w:t>依据法律、行政法规及公司章程，金鑫公司</w:t>
      </w:r>
      <w:r>
        <w:rPr>
          <w:rFonts w:ascii="宋体" w:hAnsi="宋体" w:eastAsia="宋体" w:cs="宋体"/>
          <w:color w:val="000000" w:themeColor="text1"/>
          <w:spacing w:val="10"/>
          <w:sz w:val="24"/>
          <w:szCs w:val="24"/>
          <w14:textFill>
            <w14:solidFill>
              <w14:schemeClr w14:val="tx1"/>
            </w14:solidFill>
          </w14:textFill>
        </w:rPr>
        <w:t>所欠职工的工资和医疗</w:t>
      </w:r>
      <w:r>
        <w:rPr>
          <w:rFonts w:hint="eastAsia" w:ascii="宋体" w:hAnsi="宋体" w:eastAsia="宋体" w:cs="宋体"/>
          <w:color w:val="000000" w:themeColor="text1"/>
          <w:spacing w:val="10"/>
          <w:sz w:val="24"/>
          <w:szCs w:val="24"/>
          <w:lang w:eastAsia="zh-CN"/>
          <w14:textFill>
            <w14:solidFill>
              <w14:schemeClr w14:val="tx1"/>
            </w14:solidFill>
          </w14:textFill>
        </w:rPr>
        <w:t>、</w:t>
      </w:r>
      <w:r>
        <w:rPr>
          <w:rFonts w:ascii="宋体" w:hAnsi="宋体" w:eastAsia="宋体" w:cs="宋体"/>
          <w:color w:val="000000" w:themeColor="text1"/>
          <w:spacing w:val="10"/>
          <w:sz w:val="24"/>
          <w:szCs w:val="24"/>
          <w14:textFill>
            <w14:solidFill>
              <w14:schemeClr w14:val="tx1"/>
            </w14:solidFill>
          </w14:textFill>
        </w:rPr>
        <w:t>伤残补助、抚恤费用</w:t>
      </w:r>
      <w:r>
        <w:rPr>
          <w:rFonts w:hint="eastAsia" w:ascii="宋体" w:hAnsi="宋体" w:eastAsia="宋体" w:cs="宋体"/>
          <w:color w:val="000000" w:themeColor="text1"/>
          <w:spacing w:val="10"/>
          <w:sz w:val="24"/>
          <w:szCs w:val="24"/>
          <w:lang w:eastAsia="zh-CN"/>
          <w14:textFill>
            <w14:solidFill>
              <w14:schemeClr w14:val="tx1"/>
            </w14:solidFill>
          </w14:textFill>
        </w:rPr>
        <w:t>、</w:t>
      </w:r>
      <w:r>
        <w:rPr>
          <w:rFonts w:ascii="宋体" w:hAnsi="宋体" w:eastAsia="宋体" w:cs="宋体"/>
          <w:color w:val="000000" w:themeColor="text1"/>
          <w:spacing w:val="10"/>
          <w:sz w:val="24"/>
          <w:szCs w:val="24"/>
          <w14:textFill>
            <w14:solidFill>
              <w14:schemeClr w14:val="tx1"/>
            </w14:solidFill>
          </w14:textFill>
        </w:rPr>
        <w:t>补偿金等费用</w:t>
      </w:r>
    </w:p>
    <w:p>
      <w:pPr>
        <w:pStyle w:val="2"/>
        <w:rPr>
          <w:color w:val="000000" w:themeColor="text1"/>
          <w14:textFill>
            <w14:solidFill>
              <w14:schemeClr w14:val="tx1"/>
            </w14:solidFill>
          </w14:textFill>
        </w:rPr>
      </w:pPr>
    </w:p>
    <w:p>
      <w:pPr>
        <w:spacing w:before="78" w:line="221" w:lineRule="auto"/>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《破产法》第八十二条第一款第三项规定</w:t>
      </w:r>
    </w:p>
    <w:p>
      <w:pPr>
        <w:spacing w:before="78" w:line="221" w:lineRule="auto"/>
        <w:ind w:firstLine="520" w:firstLineChars="2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的，</w:t>
      </w:r>
      <w:r>
        <w:rPr>
          <w:rFonts w:hint="eastAsia" w:ascii="宋体" w:hAnsi="宋体" w:eastAsia="宋体" w:cs="宋体"/>
          <w:color w:val="000000" w:themeColor="text1"/>
          <w:spacing w:val="10"/>
          <w:sz w:val="24"/>
          <w:szCs w:val="24"/>
          <w:lang w:eastAsia="zh-CN"/>
          <w14:textFill>
            <w14:solidFill>
              <w14:schemeClr w14:val="tx1"/>
            </w14:solidFill>
          </w14:textFill>
        </w:rPr>
        <w:t>金鑫公司</w:t>
      </w:r>
      <w:r>
        <w:rPr>
          <w:rFonts w:ascii="宋体" w:hAnsi="宋体" w:eastAsia="宋体" w:cs="宋体"/>
          <w:color w:val="000000" w:themeColor="text1"/>
          <w:spacing w:val="10"/>
          <w:sz w:val="24"/>
          <w:szCs w:val="24"/>
          <w14:textFill>
            <w14:solidFill>
              <w14:schemeClr w14:val="tx1"/>
            </w14:solidFill>
          </w14:textFill>
        </w:rPr>
        <w:t>所欠税款</w:t>
      </w:r>
    </w:p>
    <w:p>
      <w:pPr>
        <w:pStyle w:val="2"/>
        <w:rPr>
          <w:color w:val="000000" w:themeColor="text1"/>
          <w14:textFill>
            <w14:solidFill>
              <w14:schemeClr w14:val="tx1"/>
            </w14:solidFill>
          </w14:textFill>
        </w:rPr>
      </w:pPr>
    </w:p>
    <w:p>
      <w:pPr>
        <w:spacing w:before="78" w:line="221" w:lineRule="auto"/>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《破产法》第八十二条第一款第四项规定</w:t>
      </w:r>
    </w:p>
    <w:p>
      <w:pPr>
        <w:spacing w:before="78" w:line="221" w:lineRule="auto"/>
        <w:ind w:firstLine="520" w:firstLineChars="2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的，债权人对企业享有的普通债权</w:t>
      </w:r>
    </w:p>
    <w:p>
      <w:pPr>
        <w:pStyle w:val="2"/>
        <w:rPr>
          <w:rFonts w:ascii="宋体" w:hAnsi="宋体" w:eastAsia="宋体" w:cs="宋体"/>
          <w:color w:val="000000" w:themeColor="text1"/>
          <w:spacing w:val="-10"/>
          <w:sz w:val="24"/>
          <w:szCs w:val="24"/>
          <w14:textFill>
            <w14:solidFill>
              <w14:schemeClr w14:val="tx1"/>
            </w14:solidFill>
          </w14:textFill>
        </w:rPr>
      </w:pPr>
    </w:p>
    <w:p>
      <w:pPr>
        <w:pStyle w:val="2"/>
        <w:ind w:left="0" w:leftChars="0" w:firstLine="0" w:firstLineChars="0"/>
        <w:rPr>
          <w:rFonts w:ascii="宋体" w:hAnsi="宋体" w:eastAsia="宋体" w:cs="宋体"/>
          <w:color w:val="000000" w:themeColor="text1"/>
          <w:spacing w:val="10"/>
          <w:sz w:val="24"/>
          <w:szCs w:val="24"/>
          <w14:textFill>
            <w14:solidFill>
              <w14:schemeClr w14:val="tx1"/>
            </w14:solidFill>
          </w14:textFill>
        </w:rPr>
      </w:pPr>
    </w:p>
    <w:p>
      <w:pPr>
        <w:pStyle w:val="2"/>
        <w:ind w:left="0" w:leftChars="0" w:firstLine="0" w:firstLineChars="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《破产法》第四十一条规定的费用</w:t>
      </w:r>
    </w:p>
    <w:p>
      <w:pPr>
        <w:pStyle w:val="2"/>
        <w:rPr>
          <w:rFonts w:ascii="宋体" w:hAnsi="宋体" w:eastAsia="宋体" w:cs="宋体"/>
          <w:color w:val="000000" w:themeColor="text1"/>
          <w:spacing w:val="-10"/>
          <w:sz w:val="24"/>
          <w:szCs w:val="24"/>
          <w14:textFill>
            <w14:solidFill>
              <w14:schemeClr w14:val="tx1"/>
            </w14:solidFill>
          </w14:textFill>
        </w:rPr>
        <w:sectPr>
          <w:type w:val="continuous"/>
          <w:pgSz w:w="11907" w:h="16839"/>
          <w:pgMar w:top="1118" w:right="1740" w:bottom="1185" w:left="1771" w:header="1104" w:footer="1015" w:gutter="0"/>
          <w:pgNumType w:fmt="decimalFullWidth"/>
          <w:cols w:equalWidth="0" w:num="2" w:sep="1">
            <w:col w:w="3066" w:space="19"/>
            <w:col w:w="5310"/>
          </w:cols>
        </w:sectPr>
      </w:pPr>
    </w:p>
    <w:p>
      <w:pPr>
        <w:rPr>
          <w:color w:val="000000" w:themeColor="text1"/>
          <w14:textFill>
            <w14:solidFill>
              <w14:schemeClr w14:val="tx1"/>
            </w14:solidFill>
          </w14:textFill>
        </w:rPr>
        <w:sectPr>
          <w:headerReference r:id="rId8" w:type="default"/>
          <w:footerReference r:id="rId9" w:type="default"/>
          <w:pgSz w:w="11907" w:h="16839"/>
          <w:pgMar w:top="1118" w:right="1769" w:bottom="1185" w:left="1771" w:header="1104" w:footer="1016" w:gutter="0"/>
          <w:pgNumType w:fmt="decimalFullWidth"/>
          <w:cols w:equalWidth="0" w:num="1">
            <w:col w:w="8366"/>
          </w:cols>
        </w:sectPr>
      </w:pPr>
    </w:p>
    <w:p>
      <w:pPr>
        <w:spacing w:before="79" w:line="22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“共益债务</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pStyle w:val="5"/>
        <w:spacing w:line="241" w:lineRule="auto"/>
        <w:rPr>
          <w:color w:val="000000" w:themeColor="text1"/>
          <w14:textFill>
            <w14:solidFill>
              <w14:schemeClr w14:val="tx1"/>
            </w14:solidFill>
          </w14:textFill>
        </w:rPr>
      </w:pPr>
    </w:p>
    <w:p>
      <w:pPr>
        <w:pStyle w:val="5"/>
        <w:spacing w:line="242" w:lineRule="auto"/>
        <w:rPr>
          <w:color w:val="000000" w:themeColor="text1"/>
          <w14:textFill>
            <w14:solidFill>
              <w14:schemeClr w14:val="tx1"/>
            </w14:solidFill>
          </w14:textFill>
        </w:rPr>
      </w:pPr>
    </w:p>
    <w:p>
      <w:pPr>
        <w:spacing w:before="78" w:line="219" w:lineRule="auto"/>
        <w:rPr>
          <w:rFonts w:ascii="宋体" w:hAnsi="宋体" w:eastAsia="宋体" w:cs="宋体"/>
          <w:color w:val="000000" w:themeColor="text1"/>
          <w:spacing w:val="15"/>
          <w:sz w:val="24"/>
          <w:szCs w:val="24"/>
          <w14:textFill>
            <w14:solidFill>
              <w14:schemeClr w14:val="tx1"/>
            </w14:solidFill>
          </w14:textFill>
        </w:rPr>
      </w:pPr>
    </w:p>
    <w:p>
      <w:pPr>
        <w:spacing w:before="78" w:line="219"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“审计机构</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spacing w:before="79" w:line="218" w:lineRule="auto"/>
        <w:rPr>
          <w:rFonts w:ascii="宋体" w:hAnsi="宋体" w:eastAsia="宋体" w:cs="宋体"/>
          <w:color w:val="000000" w:themeColor="text1"/>
          <w:spacing w:val="15"/>
          <w:sz w:val="24"/>
          <w:szCs w:val="24"/>
          <w14:textFill>
            <w14:solidFill>
              <w14:schemeClr w14:val="tx1"/>
            </w14:solidFill>
          </w14:textFill>
        </w:rPr>
      </w:pPr>
    </w:p>
    <w:p>
      <w:pPr>
        <w:pStyle w:val="2"/>
        <w:rPr>
          <w:color w:val="000000" w:themeColor="text1"/>
          <w14:textFill>
            <w14:solidFill>
              <w14:schemeClr w14:val="tx1"/>
            </w14:solidFill>
          </w14:textFill>
        </w:rPr>
      </w:pPr>
    </w:p>
    <w:p>
      <w:pPr>
        <w:spacing w:before="79" w:line="218" w:lineRule="auto"/>
        <w:ind w:left="129"/>
        <w:rPr>
          <w:rFonts w:ascii="宋体" w:hAnsi="宋体" w:eastAsia="宋体" w:cs="宋体"/>
          <w:color w:val="000000" w:themeColor="text1"/>
          <w:spacing w:val="15"/>
          <w:sz w:val="24"/>
          <w:szCs w:val="24"/>
          <w14:textFill>
            <w14:solidFill>
              <w14:schemeClr w14:val="tx1"/>
            </w14:solidFill>
          </w14:textFill>
        </w:rPr>
      </w:pPr>
      <w:r>
        <w:rPr>
          <w:rFonts w:ascii="宋体" w:hAnsi="宋体" w:eastAsia="宋体" w:cs="宋体"/>
          <w:color w:val="000000" w:themeColor="text1"/>
          <w:spacing w:val="15"/>
          <w:sz w:val="24"/>
          <w:szCs w:val="24"/>
          <w14:textFill>
            <w14:solidFill>
              <w14:schemeClr w14:val="tx1"/>
            </w14:solidFill>
          </w14:textFill>
        </w:rPr>
        <w:t>“评估机构</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5"/>
          <w:sz w:val="24"/>
          <w:szCs w:val="24"/>
          <w14:textFill>
            <w14:solidFill>
              <w14:schemeClr w14:val="tx1"/>
            </w14:solidFill>
          </w14:textFill>
        </w:rPr>
        <w:t>”</w:t>
      </w:r>
    </w:p>
    <w:p>
      <w:pPr>
        <w:pStyle w:val="2"/>
        <w:rPr>
          <w:rFonts w:ascii="宋体" w:hAnsi="宋体" w:eastAsia="宋体" w:cs="宋体"/>
          <w:color w:val="000000" w:themeColor="text1"/>
          <w:spacing w:val="15"/>
          <w:sz w:val="24"/>
          <w:szCs w:val="24"/>
          <w14:textFill>
            <w14:solidFill>
              <w14:schemeClr w14:val="tx1"/>
            </w14:solidFill>
          </w14:textFill>
        </w:rPr>
      </w:pPr>
    </w:p>
    <w:p>
      <w:pPr>
        <w:pStyle w:val="2"/>
        <w:rPr>
          <w:rFonts w:ascii="宋体" w:hAnsi="宋体" w:eastAsia="宋体" w:cs="宋体"/>
          <w:color w:val="000000" w:themeColor="text1"/>
          <w:spacing w:val="15"/>
          <w:sz w:val="24"/>
          <w:szCs w:val="24"/>
          <w14:textFill>
            <w14:solidFill>
              <w14:schemeClr w14:val="tx1"/>
            </w14:solidFill>
          </w14:textFill>
        </w:rPr>
      </w:pPr>
    </w:p>
    <w:p>
      <w:pPr>
        <w:spacing w:before="78" w:line="218" w:lineRule="auto"/>
        <w:outlineLvl w:val="0"/>
        <w:rPr>
          <w:rFonts w:ascii="宋体" w:hAnsi="宋体" w:eastAsia="宋体" w:cs="宋体"/>
          <w:color w:val="000000" w:themeColor="text1"/>
          <w:sz w:val="24"/>
          <w:szCs w:val="24"/>
          <w14:textFill>
            <w14:solidFill>
              <w14:schemeClr w14:val="tx1"/>
            </w14:solidFill>
          </w14:textFill>
        </w:rPr>
      </w:pPr>
      <w:bookmarkStart w:id="31" w:name="_Toc23800"/>
      <w:bookmarkStart w:id="32" w:name="_Toc9694"/>
      <w:bookmarkStart w:id="33" w:name="_Toc17963"/>
      <w:r>
        <w:rPr>
          <w:rFonts w:ascii="宋体" w:hAnsi="宋体" w:eastAsia="宋体" w:cs="宋体"/>
          <w:color w:val="000000" w:themeColor="text1"/>
          <w:spacing w:val="-9"/>
          <w:sz w:val="24"/>
          <w:szCs w:val="24"/>
          <w14:textFill>
            <w14:solidFill>
              <w14:schemeClr w14:val="tx1"/>
            </w14:solidFill>
          </w14:textFill>
        </w:rPr>
        <w:t>“</w:t>
      </w:r>
      <w:r>
        <w:rPr>
          <w:rFonts w:ascii="宋体" w:hAnsi="宋体" w:eastAsia="宋体" w:cs="宋体"/>
          <w:color w:val="000000" w:themeColor="text1"/>
          <w:spacing w:val="-33"/>
          <w:sz w:val="24"/>
          <w:szCs w:val="24"/>
          <w14:textFill>
            <w14:solidFill>
              <w14:schemeClr w14:val="tx1"/>
            </w14:solidFill>
          </w14:textFill>
        </w:rPr>
        <w:t xml:space="preserve"> </w:t>
      </w:r>
      <w:r>
        <w:rPr>
          <w:rFonts w:ascii="宋体" w:hAnsi="宋体" w:eastAsia="宋体" w:cs="宋体"/>
          <w:color w:val="000000" w:themeColor="text1"/>
          <w:spacing w:val="-9"/>
          <w:sz w:val="24"/>
          <w:szCs w:val="24"/>
          <w14:textFill>
            <w14:solidFill>
              <w14:schemeClr w14:val="tx1"/>
            </w14:solidFill>
          </w14:textFill>
        </w:rPr>
        <w:t>《审计报告》 ”</w:t>
      </w:r>
      <w:bookmarkEnd w:id="31"/>
      <w:bookmarkEnd w:id="32"/>
      <w:bookmarkEnd w:id="33"/>
    </w:p>
    <w:p>
      <w:pPr>
        <w:spacing w:before="78" w:line="218" w:lineRule="auto"/>
        <w:outlineLvl w:val="0"/>
        <w:rPr>
          <w:rFonts w:ascii="宋体" w:hAnsi="宋体" w:eastAsia="宋体" w:cs="宋体"/>
          <w:color w:val="000000" w:themeColor="text1"/>
          <w:spacing w:val="-14"/>
          <w:sz w:val="24"/>
          <w:szCs w:val="24"/>
          <w14:textFill>
            <w14:solidFill>
              <w14:schemeClr w14:val="tx1"/>
            </w14:solidFill>
          </w14:textFill>
        </w:rPr>
      </w:pPr>
      <w:bookmarkStart w:id="34" w:name="_Toc2428"/>
      <w:bookmarkStart w:id="35" w:name="_Toc28796"/>
      <w:bookmarkStart w:id="36" w:name="_Toc10604"/>
    </w:p>
    <w:p>
      <w:pPr>
        <w:spacing w:before="78" w:line="218" w:lineRule="auto"/>
        <w:outlineLvl w:val="0"/>
        <w:rPr>
          <w:rFonts w:ascii="宋体" w:hAnsi="宋体" w:eastAsia="宋体" w:cs="宋体"/>
          <w:color w:val="000000" w:themeColor="text1"/>
          <w:spacing w:val="-9"/>
          <w:sz w:val="24"/>
          <w:szCs w:val="24"/>
          <w14:textFill>
            <w14:solidFill>
              <w14:schemeClr w14:val="tx1"/>
            </w14:solidFill>
          </w14:textFill>
        </w:rPr>
      </w:pPr>
    </w:p>
    <w:p>
      <w:pPr>
        <w:spacing w:before="78" w:line="218" w:lineRule="auto"/>
        <w:outlineLvl w:val="0"/>
        <w:rPr>
          <w:rFonts w:hint="eastAsia" w:eastAsia="宋体"/>
          <w:lang w:eastAsia="zh-CN"/>
        </w:rPr>
      </w:pPr>
      <w:r>
        <w:rPr>
          <w:rFonts w:ascii="宋体" w:hAnsi="宋体" w:eastAsia="宋体" w:cs="宋体"/>
          <w:color w:val="000000" w:themeColor="text1"/>
          <w:spacing w:val="-9"/>
          <w:sz w:val="24"/>
          <w:szCs w:val="24"/>
          <w14:textFill>
            <w14:solidFill>
              <w14:schemeClr w14:val="tx1"/>
            </w14:solidFill>
          </w14:textFill>
        </w:rPr>
        <w:t>“</w:t>
      </w:r>
      <w:r>
        <w:rPr>
          <w:rFonts w:ascii="宋体" w:hAnsi="宋体" w:eastAsia="宋体" w:cs="宋体"/>
          <w:color w:val="000000" w:themeColor="text1"/>
          <w:spacing w:val="-33"/>
          <w:sz w:val="24"/>
          <w:szCs w:val="24"/>
          <w14:textFill>
            <w14:solidFill>
              <w14:schemeClr w14:val="tx1"/>
            </w14:solidFill>
          </w14:textFill>
        </w:rPr>
        <w:t xml:space="preserve"> </w:t>
      </w:r>
      <w:r>
        <w:rPr>
          <w:rFonts w:ascii="宋体" w:hAnsi="宋体" w:eastAsia="宋体" w:cs="宋体"/>
          <w:color w:val="000000" w:themeColor="text1"/>
          <w:spacing w:val="-14"/>
          <w:sz w:val="24"/>
          <w:szCs w:val="24"/>
          <w14:textFill>
            <w14:solidFill>
              <w14:schemeClr w14:val="tx1"/>
            </w14:solidFill>
          </w14:textFill>
        </w:rPr>
        <w:t>《资</w:t>
      </w:r>
      <w:r>
        <w:rPr>
          <w:rFonts w:hint="eastAsia" w:ascii="宋体" w:hAnsi="宋体" w:eastAsia="宋体" w:cs="宋体"/>
          <w:color w:val="000000" w:themeColor="text1"/>
          <w:spacing w:val="-14"/>
          <w:sz w:val="24"/>
          <w:szCs w:val="24"/>
          <w:lang w:val="en-US" w:eastAsia="zh-CN"/>
          <w14:textFill>
            <w14:solidFill>
              <w14:schemeClr w14:val="tx1"/>
            </w14:solidFill>
          </w14:textFill>
        </w:rPr>
        <w:t xml:space="preserve"> </w:t>
      </w:r>
      <w:r>
        <w:rPr>
          <w:rFonts w:ascii="宋体" w:hAnsi="宋体" w:eastAsia="宋体" w:cs="宋体"/>
          <w:color w:val="000000" w:themeColor="text1"/>
          <w:spacing w:val="-14"/>
          <w:sz w:val="24"/>
          <w:szCs w:val="24"/>
          <w14:textFill>
            <w14:solidFill>
              <w14:schemeClr w14:val="tx1"/>
            </w14:solidFill>
          </w14:textFill>
        </w:rPr>
        <w:t>产评估报告</w:t>
      </w:r>
      <w:r>
        <w:rPr>
          <w:rFonts w:hint="eastAsia" w:ascii="宋体" w:hAnsi="宋体" w:eastAsia="宋体" w:cs="宋体"/>
          <w:color w:val="000000" w:themeColor="text1"/>
          <w:spacing w:val="-14"/>
          <w:sz w:val="24"/>
          <w:szCs w:val="24"/>
          <w:lang w:eastAsia="zh-CN"/>
          <w14:textFill>
            <w14:solidFill>
              <w14:schemeClr w14:val="tx1"/>
            </w14:solidFill>
          </w14:textFill>
        </w:rPr>
        <w:t>》</w:t>
      </w:r>
    </w:p>
    <w:bookmarkEnd w:id="34"/>
    <w:bookmarkEnd w:id="35"/>
    <w:bookmarkEnd w:id="36"/>
    <w:p>
      <w:pPr>
        <w:spacing w:before="78" w:line="218" w:lineRule="auto"/>
        <w:outlineLvl w:val="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pacing w:val="41"/>
          <w:sz w:val="24"/>
          <w:szCs w:val="24"/>
          <w:lang w:eastAsia="zh-CN"/>
          <w14:textFill>
            <w14:solidFill>
              <w14:schemeClr w14:val="tx1"/>
            </w14:solidFill>
          </w14:textFill>
        </w:rPr>
        <w:t>”</w:t>
      </w:r>
    </w:p>
    <w:p>
      <w:pPr>
        <w:pStyle w:val="5"/>
        <w:spacing w:line="244" w:lineRule="auto"/>
        <w:rPr>
          <w:color w:val="000000" w:themeColor="text1"/>
          <w14:textFill>
            <w14:solidFill>
              <w14:schemeClr w14:val="tx1"/>
            </w14:solidFill>
          </w14:textFill>
        </w:rPr>
      </w:pPr>
    </w:p>
    <w:p>
      <w:pPr>
        <w:pStyle w:val="5"/>
        <w:spacing w:line="245" w:lineRule="auto"/>
        <w:rPr>
          <w:color w:val="000000" w:themeColor="text1"/>
          <w14:textFill>
            <w14:solidFill>
              <w14:schemeClr w14:val="tx1"/>
            </w14:solidFill>
          </w14:textFill>
        </w:rPr>
      </w:pPr>
    </w:p>
    <w:p>
      <w:pPr>
        <w:spacing w:before="78" w:line="221"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“重整计划的通过</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w:t>
      </w:r>
    </w:p>
    <w:p>
      <w:pPr>
        <w:pStyle w:val="5"/>
        <w:spacing w:line="242" w:lineRule="auto"/>
        <w:rPr>
          <w:color w:val="000000" w:themeColor="text1"/>
          <w14:textFill>
            <w14:solidFill>
              <w14:schemeClr w14:val="tx1"/>
            </w14:solidFill>
          </w14:textFill>
        </w:rPr>
      </w:pPr>
    </w:p>
    <w:p>
      <w:pPr>
        <w:pStyle w:val="5"/>
        <w:spacing w:line="242" w:lineRule="auto"/>
        <w:rPr>
          <w:color w:val="000000" w:themeColor="text1"/>
          <w14:textFill>
            <w14:solidFill>
              <w14:schemeClr w14:val="tx1"/>
            </w14:solidFill>
          </w14:textFill>
        </w:rPr>
      </w:pPr>
    </w:p>
    <w:p>
      <w:pPr>
        <w:spacing w:before="78" w:line="221"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“重整计划的批准</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w:t>
      </w:r>
    </w:p>
    <w:p>
      <w:pPr>
        <w:pStyle w:val="5"/>
        <w:spacing w:line="287" w:lineRule="auto"/>
        <w:rPr>
          <w:color w:val="000000" w:themeColor="text1"/>
          <w14:textFill>
            <w14:solidFill>
              <w14:schemeClr w14:val="tx1"/>
            </w14:solidFill>
          </w14:textFill>
        </w:rPr>
      </w:pPr>
      <w:r>
        <w:rPr>
          <w:rFonts w:hint="eastAsia" w:eastAsia="宋体"/>
          <w:color w:val="000000" w:themeColor="text1"/>
          <w:lang w:val="en-US" w:eastAsia="zh-CN"/>
          <w14:textFill>
            <w14:solidFill>
              <w14:schemeClr w14:val="tx1"/>
            </w14:solidFill>
          </w14:textFill>
        </w:rPr>
        <w:t xml:space="preserve"> </w:t>
      </w:r>
    </w:p>
    <w:p>
      <w:pPr>
        <w:spacing w:before="79" w:line="22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9"/>
          <w:sz w:val="24"/>
          <w:szCs w:val="24"/>
          <w14:textFill>
            <w14:solidFill>
              <w14:schemeClr w14:val="tx1"/>
            </w14:solidFill>
          </w14:textFill>
        </w:rPr>
        <w:t>“重整计划执行期限</w:t>
      </w:r>
      <w:r>
        <w:rPr>
          <w:rFonts w:ascii="宋体" w:hAnsi="宋体" w:eastAsia="宋体" w:cs="宋体"/>
          <w:color w:val="000000" w:themeColor="text1"/>
          <w:spacing w:val="-84"/>
          <w:sz w:val="24"/>
          <w:szCs w:val="24"/>
          <w14:textFill>
            <w14:solidFill>
              <w14:schemeClr w14:val="tx1"/>
            </w14:solidFill>
          </w14:textFill>
        </w:rPr>
        <w:t xml:space="preserve"> </w:t>
      </w:r>
      <w:r>
        <w:rPr>
          <w:rFonts w:ascii="宋体" w:hAnsi="宋体" w:eastAsia="宋体" w:cs="宋体"/>
          <w:color w:val="000000" w:themeColor="text1"/>
          <w:spacing w:val="9"/>
          <w:sz w:val="24"/>
          <w:szCs w:val="24"/>
          <w14:textFill>
            <w14:solidFill>
              <w14:schemeClr w14:val="tx1"/>
            </w14:solidFill>
          </w14:textFill>
        </w:rPr>
        <w:t>”</w:t>
      </w:r>
    </w:p>
    <w:p>
      <w:pPr>
        <w:pStyle w:val="5"/>
        <w:spacing w:line="287" w:lineRule="auto"/>
        <w:rPr>
          <w:color w:val="000000" w:themeColor="text1"/>
          <w14:textFill>
            <w14:solidFill>
              <w14:schemeClr w14:val="tx1"/>
            </w14:solidFill>
          </w14:textFill>
        </w:rPr>
      </w:pPr>
    </w:p>
    <w:p>
      <w:pPr>
        <w:pStyle w:val="5"/>
        <w:spacing w:line="288" w:lineRule="auto"/>
        <w:rPr>
          <w:color w:val="000000" w:themeColor="text1"/>
          <w14:textFill>
            <w14:solidFill>
              <w14:schemeClr w14:val="tx1"/>
            </w14:solidFill>
          </w14:textFill>
        </w:rPr>
      </w:pPr>
    </w:p>
    <w:p>
      <w:pPr>
        <w:spacing w:before="79" w:line="501" w:lineRule="exact"/>
        <w:rPr>
          <w:rFonts w:hint="eastAsia" w:eastAsia="宋体"/>
          <w:color w:val="000000" w:themeColor="text1"/>
          <w:lang w:eastAsia="zh-CN"/>
          <w14:textFill>
            <w14:solidFill>
              <w14:schemeClr w14:val="tx1"/>
            </w14:solidFill>
          </w14:textFill>
        </w:rPr>
      </w:pPr>
      <w:r>
        <w:rPr>
          <w:rFonts w:ascii="宋体" w:hAnsi="宋体" w:eastAsia="宋体" w:cs="宋体"/>
          <w:color w:val="000000" w:themeColor="text1"/>
          <w:position w:val="19"/>
          <w:sz w:val="24"/>
          <w:szCs w:val="24"/>
          <w14:textFill>
            <w14:solidFill>
              <w14:schemeClr w14:val="tx1"/>
            </w14:solidFill>
          </w14:textFill>
        </w:rPr>
        <w:t>“重整计划执行监督期</w:t>
      </w:r>
      <w:r>
        <w:rPr>
          <w:rFonts w:hint="eastAsia" w:ascii="宋体" w:hAnsi="宋体" w:eastAsia="宋体" w:cs="宋体"/>
          <w:color w:val="000000" w:themeColor="text1"/>
          <w:position w:val="19"/>
          <w:sz w:val="24"/>
          <w:szCs w:val="24"/>
          <w:lang w:eastAsia="zh-CN"/>
          <w14:textFill>
            <w14:solidFill>
              <w14:schemeClr w14:val="tx1"/>
            </w14:solidFill>
          </w14:textFill>
        </w:rPr>
        <w:t>限”</w:t>
      </w:r>
    </w:p>
    <w:p>
      <w:pPr>
        <w:spacing w:before="96"/>
        <w:rPr>
          <w:rFonts w:ascii="宋体" w:hAnsi="宋体" w:eastAsia="宋体" w:cs="宋体"/>
          <w:color w:val="000000" w:themeColor="text1"/>
          <w:spacing w:val="31"/>
          <w:sz w:val="24"/>
          <w:szCs w:val="24"/>
          <w14:textFill>
            <w14:solidFill>
              <w14:schemeClr w14:val="tx1"/>
            </w14:solidFill>
          </w14:textFill>
        </w:rPr>
      </w:pPr>
    </w:p>
    <w:p>
      <w:pPr>
        <w:spacing w:before="78" w:line="220" w:lineRule="auto"/>
        <w:rPr>
          <w:rFonts w:hint="eastAsia" w:ascii="宋体" w:hAnsi="宋体" w:eastAsia="宋体" w:cs="宋体"/>
          <w:color w:val="000000" w:themeColor="text1"/>
          <w:spacing w:val="21"/>
          <w:sz w:val="24"/>
          <w:szCs w:val="24"/>
          <w:lang w:val="en-US" w:eastAsia="zh-CN"/>
          <w14:textFill>
            <w14:solidFill>
              <w14:schemeClr w14:val="tx1"/>
            </w14:solidFill>
          </w14:textFill>
        </w:rPr>
      </w:pPr>
      <w:r>
        <w:rPr>
          <w:rFonts w:hint="eastAsia" w:ascii="宋体" w:hAnsi="宋体" w:eastAsia="宋体" w:cs="宋体"/>
          <w:color w:val="000000" w:themeColor="text1"/>
          <w:spacing w:val="21"/>
          <w:sz w:val="24"/>
          <w:szCs w:val="24"/>
          <w:lang w:val="en-US" w:eastAsia="zh-CN"/>
          <w14:textFill>
            <w14:solidFill>
              <w14:schemeClr w14:val="tx1"/>
            </w14:solidFill>
          </w14:textFill>
        </w:rPr>
        <w:t>“元 ”</w:t>
      </w:r>
    </w:p>
    <w:p>
      <w:pPr>
        <w:spacing w:before="97"/>
        <w:rPr>
          <w:color w:val="000000" w:themeColor="text1"/>
          <w14:textFill>
            <w14:solidFill>
              <w14:schemeClr w14:val="tx1"/>
            </w14:solidFill>
          </w14:textFill>
        </w:rPr>
      </w:pPr>
    </w:p>
    <w:p>
      <w:pPr>
        <w:spacing w:before="97"/>
        <w:rPr>
          <w:color w:val="000000" w:themeColor="text1"/>
          <w14:textFill>
            <w14:solidFill>
              <w14:schemeClr w14:val="tx1"/>
            </w14:solidFill>
          </w14:textFill>
        </w:rPr>
      </w:pPr>
    </w:p>
    <w:p>
      <w:pPr>
        <w:pStyle w:val="5"/>
        <w:spacing w:line="14" w:lineRule="auto"/>
        <w:rPr>
          <w:color w:val="000000" w:themeColor="text1"/>
          <w:sz w:val="2"/>
          <w14:textFill>
            <w14:solidFill>
              <w14:schemeClr w14:val="tx1"/>
            </w14:solidFill>
          </w14:textFill>
        </w:rPr>
      </w:pPr>
      <w:r>
        <w:rPr>
          <w:color w:val="000000" w:themeColor="text1"/>
          <w:sz w:val="2"/>
          <w:szCs w:val="2"/>
          <w14:textFill>
            <w14:solidFill>
              <w14:schemeClr w14:val="tx1"/>
            </w14:solidFill>
          </w14:textFill>
        </w:rPr>
        <w:br w:type="column"/>
      </w:r>
    </w:p>
    <w:p>
      <w:pPr>
        <w:spacing w:before="78" w:line="221" w:lineRule="auto"/>
        <w:ind w:left="520" w:hanging="520" w:hangingChars="2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《破产法》第四十二条规定的自</w:t>
      </w:r>
      <w:r>
        <w:rPr>
          <w:rFonts w:hint="eastAsia" w:ascii="宋体" w:hAnsi="宋体" w:eastAsia="宋体" w:cs="宋体"/>
          <w:color w:val="000000" w:themeColor="text1"/>
          <w:spacing w:val="10"/>
          <w:sz w:val="24"/>
          <w:szCs w:val="24"/>
          <w:lang w:eastAsia="zh-CN"/>
          <w14:textFill>
            <w14:solidFill>
              <w14:schemeClr w14:val="tx1"/>
            </w14:solidFill>
          </w14:textFill>
        </w:rPr>
        <w:t>陇南中院</w:t>
      </w:r>
      <w:r>
        <w:rPr>
          <w:rFonts w:ascii="宋体" w:hAnsi="宋体" w:eastAsia="宋体" w:cs="宋体"/>
          <w:color w:val="000000" w:themeColor="text1"/>
          <w:spacing w:val="10"/>
          <w:sz w:val="24"/>
          <w:szCs w:val="24"/>
          <w14:textFill>
            <w14:solidFill>
              <w14:schemeClr w14:val="tx1"/>
            </w14:solidFill>
          </w14:textFill>
        </w:rPr>
        <w:t>裁定受理</w:t>
      </w:r>
      <w:r>
        <w:rPr>
          <w:rFonts w:hint="eastAsia" w:ascii="宋体" w:hAnsi="宋体" w:eastAsia="宋体" w:cs="宋体"/>
          <w:color w:val="000000" w:themeColor="text1"/>
          <w:spacing w:val="10"/>
          <w:sz w:val="24"/>
          <w:szCs w:val="24"/>
          <w:lang w:eastAsia="zh-CN"/>
          <w14:textFill>
            <w14:solidFill>
              <w14:schemeClr w14:val="tx1"/>
            </w14:solidFill>
          </w14:textFill>
        </w:rPr>
        <w:t>金鑫公司</w:t>
      </w:r>
      <w:r>
        <w:rPr>
          <w:rFonts w:ascii="宋体" w:hAnsi="宋体" w:eastAsia="宋体" w:cs="宋体"/>
          <w:color w:val="000000" w:themeColor="text1"/>
          <w:spacing w:val="10"/>
          <w:sz w:val="24"/>
          <w:szCs w:val="24"/>
          <w14:textFill>
            <w14:solidFill>
              <w14:schemeClr w14:val="tx1"/>
            </w14:solidFill>
          </w14:textFill>
        </w:rPr>
        <w:t>重整之日至重整计划执行完毕期间为了债权人的共同利益而负担的债务</w:t>
      </w:r>
    </w:p>
    <w:p>
      <w:pPr>
        <w:pStyle w:val="2"/>
        <w:rPr>
          <w:color w:val="000000" w:themeColor="text1"/>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val="en-US" w:eastAsia="zh-CN"/>
          <w14:textFill>
            <w14:solidFill>
              <w14:schemeClr w14:val="tx1"/>
            </w14:solidFill>
          </w14:textFill>
        </w:rPr>
      </w:pPr>
      <w:bookmarkStart w:id="37" w:name="_Toc22895"/>
      <w:r>
        <w:rPr>
          <w:rFonts w:ascii="宋体" w:hAnsi="宋体" w:eastAsia="宋体" w:cs="宋体"/>
          <w:color w:val="000000" w:themeColor="text1"/>
          <w:spacing w:val="10"/>
          <w:sz w:val="24"/>
          <w:szCs w:val="24"/>
          <w14:textFill>
            <w14:solidFill>
              <w14:schemeClr w14:val="tx1"/>
            </w14:solidFill>
          </w14:textFill>
        </w:rPr>
        <w:t>指</w:t>
      </w:r>
      <w:r>
        <w:rPr>
          <w:rFonts w:hint="eastAsia" w:ascii="宋体" w:hAnsi="宋体" w:eastAsia="宋体" w:cs="宋体"/>
          <w:color w:val="000000" w:themeColor="text1"/>
          <w:spacing w:val="10"/>
          <w:sz w:val="24"/>
          <w:szCs w:val="24"/>
          <w:lang w:val="en-US" w:eastAsia="zh-CN"/>
          <w14:textFill>
            <w14:solidFill>
              <w14:schemeClr w14:val="tx1"/>
            </w14:solidFill>
          </w14:textFill>
        </w:rPr>
        <w:t xml:space="preserve">  </w:t>
      </w:r>
      <w:r>
        <w:rPr>
          <w:rFonts w:ascii="宋体" w:hAnsi="宋体" w:eastAsia="宋体" w:cs="宋体"/>
          <w:color w:val="000000" w:themeColor="text1"/>
          <w:spacing w:val="10"/>
          <w:sz w:val="24"/>
          <w:szCs w:val="24"/>
          <w14:textFill>
            <w14:solidFill>
              <w14:schemeClr w14:val="tx1"/>
            </w14:solidFill>
          </w14:textFill>
        </w:rPr>
        <w:t>为</w:t>
      </w:r>
      <w:r>
        <w:rPr>
          <w:rFonts w:hint="eastAsia" w:ascii="宋体" w:hAnsi="宋体" w:eastAsia="宋体" w:cs="宋体"/>
          <w:color w:val="000000" w:themeColor="text1"/>
          <w:spacing w:val="10"/>
          <w:sz w:val="24"/>
          <w:szCs w:val="24"/>
          <w:lang w:eastAsia="zh-CN"/>
          <w14:textFill>
            <w14:solidFill>
              <w14:schemeClr w14:val="tx1"/>
            </w14:solidFill>
          </w14:textFill>
        </w:rPr>
        <w:t>金鑫公司</w:t>
      </w:r>
      <w:r>
        <w:rPr>
          <w:rFonts w:ascii="宋体" w:hAnsi="宋体" w:eastAsia="宋体" w:cs="宋体"/>
          <w:color w:val="000000" w:themeColor="text1"/>
          <w:spacing w:val="10"/>
          <w:sz w:val="24"/>
          <w:szCs w:val="24"/>
          <w14:textFill>
            <w14:solidFill>
              <w14:schemeClr w14:val="tx1"/>
            </w14:solidFill>
          </w14:textFill>
        </w:rPr>
        <w:t>重整提供审计服务的</w:t>
      </w:r>
      <w:r>
        <w:rPr>
          <w:rFonts w:hint="eastAsia" w:ascii="宋体" w:hAnsi="宋体" w:eastAsia="宋体" w:cs="宋体"/>
          <w:color w:val="000000" w:themeColor="text1"/>
          <w:spacing w:val="10"/>
          <w:sz w:val="24"/>
          <w:szCs w:val="24"/>
          <w:lang w:val="en-US" w:eastAsia="zh-CN"/>
          <w14:textFill>
            <w14:solidFill>
              <w14:schemeClr w14:val="tx1"/>
            </w14:solidFill>
          </w14:textFill>
        </w:rPr>
        <w:t>甘肃泰华会计师事务所有限公司</w:t>
      </w:r>
      <w:bookmarkEnd w:id="37"/>
    </w:p>
    <w:p>
      <w:pPr>
        <w:spacing w:before="78" w:line="221" w:lineRule="auto"/>
        <w:rPr>
          <w:rFonts w:ascii="宋体" w:hAnsi="宋体" w:eastAsia="宋体" w:cs="宋体"/>
          <w:color w:val="000000" w:themeColor="text1"/>
          <w:spacing w:val="10"/>
          <w:sz w:val="24"/>
          <w:szCs w:val="24"/>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eastAsia="zh-CN"/>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  为</w:t>
      </w:r>
      <w:r>
        <w:rPr>
          <w:rFonts w:hint="eastAsia" w:ascii="宋体" w:hAnsi="宋体" w:eastAsia="宋体" w:cs="宋体"/>
          <w:color w:val="000000" w:themeColor="text1"/>
          <w:spacing w:val="10"/>
          <w:sz w:val="24"/>
          <w:szCs w:val="24"/>
          <w:lang w:eastAsia="zh-CN"/>
          <w14:textFill>
            <w14:solidFill>
              <w14:schemeClr w14:val="tx1"/>
            </w14:solidFill>
          </w14:textFill>
        </w:rPr>
        <w:t>金鑫公司</w:t>
      </w:r>
      <w:r>
        <w:rPr>
          <w:rFonts w:ascii="宋体" w:hAnsi="宋体" w:eastAsia="宋体" w:cs="宋体"/>
          <w:color w:val="000000" w:themeColor="text1"/>
          <w:spacing w:val="10"/>
          <w:sz w:val="24"/>
          <w:szCs w:val="24"/>
          <w14:textFill>
            <w14:solidFill>
              <w14:schemeClr w14:val="tx1"/>
            </w14:solidFill>
          </w14:textFill>
        </w:rPr>
        <w:t>重整提供资产评估服务</w:t>
      </w:r>
      <w:r>
        <w:rPr>
          <w:rFonts w:hint="eastAsia" w:ascii="宋体" w:hAnsi="宋体" w:eastAsia="宋体" w:cs="宋体"/>
          <w:color w:val="000000" w:themeColor="text1"/>
          <w:spacing w:val="10"/>
          <w:sz w:val="24"/>
          <w:szCs w:val="24"/>
          <w:lang w:eastAsia="zh-CN"/>
          <w14:textFill>
            <w14:solidFill>
              <w14:schemeClr w14:val="tx1"/>
            </w14:solidFill>
          </w14:textFill>
        </w:rPr>
        <w:t>的甘肃中勤资产土地房地产评估有限公司</w:t>
      </w:r>
    </w:p>
    <w:p>
      <w:pPr>
        <w:spacing w:before="78" w:line="221" w:lineRule="auto"/>
        <w:rPr>
          <w:rFonts w:hint="eastAsia" w:ascii="宋体" w:hAnsi="宋体" w:eastAsia="宋体" w:cs="宋体"/>
          <w:color w:val="000000" w:themeColor="text1"/>
          <w:spacing w:val="10"/>
          <w:sz w:val="24"/>
          <w:szCs w:val="24"/>
          <w:lang w:eastAsia="zh-CN"/>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eastAsia="zh-CN"/>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  审计机构出具的</w:t>
      </w:r>
      <w:r>
        <w:rPr>
          <w:rFonts w:hint="eastAsia" w:ascii="宋体" w:hAnsi="宋体" w:eastAsia="宋体" w:cs="宋体"/>
          <w:color w:val="000000" w:themeColor="text1"/>
          <w:spacing w:val="10"/>
          <w:sz w:val="24"/>
          <w:szCs w:val="24"/>
          <w:lang w:eastAsia="zh-CN"/>
          <w14:textFill>
            <w14:solidFill>
              <w14:schemeClr w14:val="tx1"/>
            </w14:solidFill>
          </w14:textFill>
        </w:rPr>
        <w:t>甘泰专审字</w:t>
      </w:r>
      <w:r>
        <w:rPr>
          <w:rFonts w:hint="eastAsia" w:ascii="宋体" w:hAnsi="宋体" w:eastAsia="宋体" w:cs="宋体"/>
          <w:color w:val="000000" w:themeColor="text1"/>
          <w:spacing w:val="10"/>
          <w:sz w:val="24"/>
          <w:szCs w:val="24"/>
          <w:lang w:val="en-US" w:eastAsia="zh-CN"/>
          <w14:textFill>
            <w14:solidFill>
              <w14:schemeClr w14:val="tx1"/>
            </w14:solidFill>
          </w14:textFill>
        </w:rPr>
        <w:t>（2023）第55号</w:t>
      </w:r>
      <w:r>
        <w:rPr>
          <w:rFonts w:hint="eastAsia" w:ascii="宋体" w:hAnsi="宋体" w:eastAsia="宋体" w:cs="宋体"/>
          <w:color w:val="000000" w:themeColor="text1"/>
          <w:spacing w:val="10"/>
          <w:sz w:val="24"/>
          <w:szCs w:val="24"/>
          <w:lang w:eastAsia="zh-CN"/>
          <w14:textFill>
            <w14:solidFill>
              <w14:schemeClr w14:val="tx1"/>
            </w14:solidFill>
          </w14:textFill>
        </w:rPr>
        <w:t>《审计报告》</w:t>
      </w:r>
    </w:p>
    <w:p>
      <w:pPr>
        <w:spacing w:before="78" w:line="221" w:lineRule="auto"/>
        <w:rPr>
          <w:rFonts w:hint="eastAsia" w:ascii="宋体" w:hAnsi="宋体" w:eastAsia="宋体" w:cs="宋体"/>
          <w:color w:val="000000" w:themeColor="text1"/>
          <w:spacing w:val="10"/>
          <w:sz w:val="24"/>
          <w:szCs w:val="24"/>
          <w:lang w:eastAsia="zh-CN"/>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eastAsia="zh-CN"/>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  评估机构出具的</w:t>
      </w:r>
      <w:r>
        <w:rPr>
          <w:rFonts w:hint="eastAsia" w:ascii="宋体" w:hAnsi="宋体" w:eastAsia="宋体" w:cs="宋体"/>
          <w:color w:val="000000" w:themeColor="text1"/>
          <w:spacing w:val="10"/>
          <w:sz w:val="24"/>
          <w:szCs w:val="24"/>
          <w:lang w:eastAsia="zh-CN"/>
          <w14:textFill>
            <w14:solidFill>
              <w14:schemeClr w14:val="tx1"/>
            </w14:solidFill>
          </w14:textFill>
        </w:rPr>
        <w:t>甘中勤评</w:t>
      </w:r>
      <w:r>
        <w:rPr>
          <w:rFonts w:ascii="宋体" w:hAnsi="宋体" w:eastAsia="宋体" w:cs="宋体"/>
          <w:color w:val="000000" w:themeColor="text1"/>
          <w:spacing w:val="10"/>
          <w:sz w:val="24"/>
          <w:szCs w:val="24"/>
          <w14:textFill>
            <w14:solidFill>
              <w14:schemeClr w14:val="tx1"/>
            </w14:solidFill>
          </w14:textFill>
        </w:rPr>
        <w:t>字</w:t>
      </w:r>
      <w:r>
        <w:rPr>
          <w:rFonts w:hint="eastAsia" w:ascii="宋体" w:hAnsi="宋体" w:eastAsia="宋体" w:cs="宋体"/>
          <w:color w:val="000000" w:themeColor="text1"/>
          <w:spacing w:val="10"/>
          <w:sz w:val="24"/>
          <w:szCs w:val="24"/>
          <w:lang w:eastAsia="zh-CN"/>
          <w14:textFill>
            <w14:solidFill>
              <w14:schemeClr w14:val="tx1"/>
            </w14:solidFill>
          </w14:textFill>
        </w:rPr>
        <w:t>（</w:t>
      </w:r>
      <w:r>
        <w:rPr>
          <w:rFonts w:hint="eastAsia" w:ascii="宋体" w:hAnsi="宋体" w:eastAsia="宋体" w:cs="宋体"/>
          <w:color w:val="000000" w:themeColor="text1"/>
          <w:spacing w:val="10"/>
          <w:sz w:val="24"/>
          <w:szCs w:val="24"/>
          <w:lang w:val="en-US" w:eastAsia="zh-CN"/>
          <w14:textFill>
            <w14:solidFill>
              <w14:schemeClr w14:val="tx1"/>
            </w14:solidFill>
          </w14:textFill>
        </w:rPr>
        <w:t>2023</w:t>
      </w:r>
      <w:r>
        <w:rPr>
          <w:rFonts w:hint="eastAsia" w:ascii="宋体" w:hAnsi="宋体" w:eastAsia="宋体" w:cs="宋体"/>
          <w:color w:val="000000" w:themeColor="text1"/>
          <w:spacing w:val="10"/>
          <w:sz w:val="24"/>
          <w:szCs w:val="24"/>
          <w:lang w:eastAsia="zh-CN"/>
          <w14:textFill>
            <w14:solidFill>
              <w14:schemeClr w14:val="tx1"/>
            </w14:solidFill>
          </w14:textFill>
        </w:rPr>
        <w:t>）第</w:t>
      </w:r>
      <w:r>
        <w:rPr>
          <w:rFonts w:hint="eastAsia" w:ascii="宋体" w:hAnsi="宋体" w:eastAsia="宋体" w:cs="宋体"/>
          <w:color w:val="000000" w:themeColor="text1"/>
          <w:spacing w:val="10"/>
          <w:sz w:val="24"/>
          <w:szCs w:val="24"/>
          <w:lang w:val="en-US" w:eastAsia="zh-CN"/>
          <w14:textFill>
            <w14:solidFill>
              <w14:schemeClr w14:val="tx1"/>
            </w14:solidFill>
          </w14:textFill>
        </w:rPr>
        <w:t>194号</w:t>
      </w:r>
      <w:r>
        <w:rPr>
          <w:rFonts w:hint="eastAsia" w:ascii="宋体" w:hAnsi="宋体" w:eastAsia="宋体" w:cs="宋体"/>
          <w:color w:val="000000" w:themeColor="text1"/>
          <w:spacing w:val="10"/>
          <w:sz w:val="24"/>
          <w:szCs w:val="24"/>
          <w:lang w:eastAsia="zh-CN"/>
          <w14:textFill>
            <w14:solidFill>
              <w14:schemeClr w14:val="tx1"/>
            </w14:solidFill>
          </w14:textFill>
        </w:rPr>
        <w:t>《评估报告》</w:t>
      </w:r>
    </w:p>
    <w:p>
      <w:pPr>
        <w:spacing w:before="78" w:line="221" w:lineRule="auto"/>
        <w:rPr>
          <w:rFonts w:hint="eastAsia" w:ascii="宋体" w:hAnsi="宋体" w:eastAsia="宋体" w:cs="宋体"/>
          <w:color w:val="000000" w:themeColor="text1"/>
          <w:spacing w:val="10"/>
          <w:sz w:val="24"/>
          <w:szCs w:val="24"/>
          <w:lang w:eastAsia="zh-CN"/>
          <w14:textFill>
            <w14:solidFill>
              <w14:schemeClr w14:val="tx1"/>
            </w14:solidFill>
          </w14:textFill>
        </w:rPr>
      </w:pPr>
    </w:p>
    <w:p>
      <w:pPr>
        <w:spacing w:before="78" w:line="221" w:lineRule="auto"/>
        <w:ind w:left="520" w:hanging="520" w:hangingChars="2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  根据《破产法》第八十六条第一款、第八十五条第</w:t>
      </w:r>
      <w:r>
        <w:rPr>
          <w:rFonts w:hint="eastAsia" w:ascii="宋体" w:hAnsi="宋体" w:eastAsia="宋体" w:cs="宋体"/>
          <w:color w:val="000000" w:themeColor="text1"/>
          <w:spacing w:val="10"/>
          <w:sz w:val="24"/>
          <w:szCs w:val="24"/>
          <w:lang w:val="en-US" w:eastAsia="zh-CN"/>
          <w14:textFill>
            <w14:solidFill>
              <w14:schemeClr w14:val="tx1"/>
            </w14:solidFill>
          </w14:textFill>
        </w:rPr>
        <w:t>二款之规定，债权人会议各表决组及 出资人组会议均通过</w:t>
      </w:r>
      <w:r>
        <w:rPr>
          <w:rFonts w:ascii="宋体" w:hAnsi="宋体" w:eastAsia="宋体" w:cs="宋体"/>
          <w:color w:val="000000" w:themeColor="text1"/>
          <w:spacing w:val="10"/>
          <w:sz w:val="24"/>
          <w:szCs w:val="24"/>
          <w14:textFill>
            <w14:solidFill>
              <w14:schemeClr w14:val="tx1"/>
            </w14:solidFill>
          </w14:textFill>
        </w:rPr>
        <w:t>重整计划草案时，重整计划即为通过</w:t>
      </w:r>
    </w:p>
    <w:p>
      <w:pPr>
        <w:spacing w:before="78" w:line="221" w:lineRule="auto"/>
        <w:rPr>
          <w:rFonts w:hint="eastAsia" w:ascii="宋体" w:hAnsi="宋体" w:eastAsia="宋体" w:cs="宋体"/>
          <w:color w:val="000000" w:themeColor="text1"/>
          <w:spacing w:val="10"/>
          <w:sz w:val="24"/>
          <w:szCs w:val="24"/>
          <w:lang w:eastAsia="zh-CN"/>
          <w14:textFill>
            <w14:solidFill>
              <w14:schemeClr w14:val="tx1"/>
            </w14:solidFill>
          </w14:textFill>
        </w:rPr>
      </w:pPr>
    </w:p>
    <w:p>
      <w:pPr>
        <w:spacing w:before="78" w:line="221" w:lineRule="auto"/>
        <w:ind w:left="780" w:hanging="780" w:hangingChars="300"/>
        <w:rPr>
          <w:rFonts w:hint="eastAsia" w:ascii="宋体" w:hAnsi="宋体" w:eastAsia="宋体" w:cs="宋体"/>
          <w:color w:val="000000" w:themeColor="text1"/>
          <w:spacing w:val="10"/>
          <w:sz w:val="24"/>
          <w:szCs w:val="24"/>
          <w:lang w:val="en-US" w:eastAsia="zh-CN"/>
          <w14:textFill>
            <w14:solidFill>
              <w14:schemeClr w14:val="tx1"/>
            </w14:solidFill>
          </w14:textFill>
        </w:rPr>
      </w:pPr>
      <w:r>
        <w:rPr>
          <w:rFonts w:hint="eastAsia" w:ascii="宋体" w:hAnsi="宋体" w:eastAsia="宋体" w:cs="宋体"/>
          <w:color w:val="000000" w:themeColor="text1"/>
          <w:spacing w:val="10"/>
          <w:sz w:val="24"/>
          <w:szCs w:val="24"/>
          <w:lang w:val="en-US" w:eastAsia="zh-CN"/>
          <w14:textFill>
            <w14:solidFill>
              <w14:schemeClr w14:val="tx1"/>
            </w14:solidFill>
          </w14:textFill>
        </w:rPr>
        <w:t>指  根据《破产法》第八十六条第二款或第八十七第三款之规定，重整计划获得法院裁定批准</w:t>
      </w:r>
    </w:p>
    <w:p>
      <w:pPr>
        <w:spacing w:before="78" w:line="221" w:lineRule="auto"/>
        <w:rPr>
          <w:rFonts w:hint="eastAsia" w:ascii="宋体" w:hAnsi="宋体" w:eastAsia="宋体" w:cs="宋体"/>
          <w:color w:val="000000" w:themeColor="text1"/>
          <w:spacing w:val="10"/>
          <w:sz w:val="24"/>
          <w:szCs w:val="24"/>
          <w:lang w:val="en-US" w:eastAsia="zh-CN"/>
          <w14:textFill>
            <w14:solidFill>
              <w14:schemeClr w14:val="tx1"/>
            </w14:solidFill>
          </w14:textFill>
        </w:rPr>
      </w:pPr>
    </w:p>
    <w:p>
      <w:pPr>
        <w:spacing w:before="78" w:line="221" w:lineRule="auto"/>
        <w:ind w:left="520" w:hanging="520" w:hangingChars="200"/>
        <w:rPr>
          <w:rFonts w:ascii="宋体" w:hAnsi="宋体" w:eastAsia="宋体" w:cs="宋体"/>
          <w:color w:val="000000" w:themeColor="text1"/>
          <w:spacing w:val="10"/>
          <w:sz w:val="24"/>
          <w:szCs w:val="24"/>
          <w14:textFill>
            <w14:solidFill>
              <w14:schemeClr w14:val="tx1"/>
            </w14:solidFill>
          </w14:textFill>
        </w:rPr>
      </w:pPr>
      <w:r>
        <w:rPr>
          <w:rFonts w:ascii="宋体" w:hAnsi="宋体" w:eastAsia="宋体" w:cs="宋体"/>
          <w:color w:val="000000" w:themeColor="text1"/>
          <w:spacing w:val="10"/>
          <w:sz w:val="24"/>
          <w:szCs w:val="24"/>
          <w14:textFill>
            <w14:solidFill>
              <w14:schemeClr w14:val="tx1"/>
            </w14:solidFill>
          </w14:textFill>
        </w:rPr>
        <w:t>指  根据《破产法》第九十条之规定，本重整计划中规定的管理人监督重整计划执行的期限及法院裁定延长的重整计划执行监督期限</w:t>
      </w:r>
    </w:p>
    <w:p>
      <w:pPr>
        <w:spacing w:before="78" w:line="221" w:lineRule="auto"/>
        <w:rPr>
          <w:rFonts w:hint="eastAsia" w:ascii="宋体" w:hAnsi="宋体" w:eastAsia="宋体" w:cs="宋体"/>
          <w:color w:val="000000" w:themeColor="text1"/>
          <w:spacing w:val="10"/>
          <w:sz w:val="24"/>
          <w:szCs w:val="24"/>
          <w:lang w:val="en-US" w:eastAsia="zh-CN"/>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10"/>
          <w:sz w:val="24"/>
          <w:szCs w:val="24"/>
          <w:lang w:val="en-US" w:eastAsia="zh-CN"/>
          <w14:textFill>
            <w14:solidFill>
              <w14:schemeClr w14:val="tx1"/>
            </w14:solidFill>
          </w14:textFill>
        </w:rPr>
      </w:pPr>
      <w:r>
        <w:rPr>
          <w:rFonts w:hint="eastAsia" w:ascii="宋体" w:hAnsi="宋体" w:eastAsia="宋体" w:cs="宋体"/>
          <w:color w:val="000000" w:themeColor="text1"/>
          <w:spacing w:val="10"/>
          <w:sz w:val="24"/>
          <w:szCs w:val="24"/>
          <w:lang w:val="en-US" w:eastAsia="zh-CN"/>
          <w14:textFill>
            <w14:solidFill>
              <w14:schemeClr w14:val="tx1"/>
            </w14:solidFill>
          </w14:textFill>
        </w:rPr>
        <w:t>指  根据《破产法》第九十条之规定，本重整计划中规定的管理人监督重整计划执行的期限及法院裁定延长的重整计划执行监督期限</w:t>
      </w:r>
    </w:p>
    <w:p>
      <w:pPr>
        <w:spacing w:before="78" w:line="221" w:lineRule="auto"/>
        <w:rPr>
          <w:rFonts w:hint="eastAsia" w:ascii="宋体" w:hAnsi="宋体" w:eastAsia="宋体" w:cs="宋体"/>
          <w:color w:val="000000" w:themeColor="text1"/>
          <w:spacing w:val="10"/>
          <w:sz w:val="24"/>
          <w:szCs w:val="24"/>
          <w:lang w:val="en-US" w:eastAsia="zh-CN"/>
          <w14:textFill>
            <w14:solidFill>
              <w14:schemeClr w14:val="tx1"/>
            </w14:solidFill>
          </w14:textFill>
        </w:rPr>
      </w:pPr>
    </w:p>
    <w:p>
      <w:pPr>
        <w:spacing w:before="78" w:line="221" w:lineRule="auto"/>
        <w:ind w:left="520" w:hanging="520" w:hangingChars="200"/>
        <w:rPr>
          <w:rFonts w:hint="eastAsia" w:ascii="宋体" w:hAnsi="宋体" w:eastAsia="宋体" w:cs="宋体"/>
          <w:color w:val="000000" w:themeColor="text1"/>
          <w:spacing w:val="21"/>
          <w:sz w:val="24"/>
          <w:szCs w:val="24"/>
          <w:lang w:val="en-US" w:eastAsia="zh-CN"/>
          <w14:textFill>
            <w14:solidFill>
              <w14:schemeClr w14:val="tx1"/>
            </w14:solidFill>
          </w14:textFill>
        </w:rPr>
        <w:sectPr>
          <w:type w:val="continuous"/>
          <w:pgSz w:w="11907" w:h="16839"/>
          <w:pgMar w:top="1118" w:right="1769" w:bottom="1183" w:left="1771" w:header="1104" w:footer="1016" w:gutter="0"/>
          <w:pgNumType w:fmt="decimalFullWidth"/>
          <w:cols w:equalWidth="0" w:num="2" w:sep="1">
            <w:col w:w="2035" w:space="100"/>
            <w:col w:w="6232"/>
          </w:cols>
        </w:sectPr>
      </w:pPr>
      <w:r>
        <w:rPr>
          <w:rFonts w:hint="eastAsia" w:ascii="宋体" w:hAnsi="宋体" w:eastAsia="宋体" w:cs="宋体"/>
          <w:color w:val="000000" w:themeColor="text1"/>
          <w:spacing w:val="10"/>
          <w:sz w:val="24"/>
          <w:szCs w:val="24"/>
          <w:lang w:val="en-US" w:eastAsia="zh-CN"/>
          <w14:textFill>
            <w14:solidFill>
              <w14:schemeClr w14:val="tx1"/>
            </w14:solidFill>
          </w14:textFill>
        </w:rPr>
        <w:t>指  人民币元，本重整计划中货币单位除特别注明外，均为人民</w:t>
      </w:r>
    </w:p>
    <w:p>
      <w:pPr>
        <w:pStyle w:val="3"/>
        <w:pageBreakBefore w:val="0"/>
        <w:widowControl/>
        <w:kinsoku w:val="0"/>
        <w:wordWrap/>
        <w:overflowPunct/>
        <w:topLinePunct w:val="0"/>
        <w:autoSpaceDE w:val="0"/>
        <w:autoSpaceDN w:val="0"/>
        <w:bidi w:val="0"/>
        <w:adjustRightInd w:val="0"/>
        <w:snapToGrid w:val="0"/>
        <w:spacing w:line="360" w:lineRule="auto"/>
        <w:ind w:firstLine="3092" w:firstLineChars="700"/>
        <w:jc w:val="both"/>
        <w:textAlignment w:val="baseline"/>
        <w:rPr>
          <w:rFonts w:ascii="宋体" w:hAnsi="宋体" w:eastAsia="宋体" w:cs="宋体"/>
          <w:b/>
          <w:bCs/>
          <w:szCs w:val="36"/>
        </w:rPr>
      </w:pPr>
      <w:bookmarkStart w:id="38" w:name="_Toc11560"/>
      <w:r>
        <w:rPr>
          <w:rFonts w:hint="eastAsia" w:ascii="宋体" w:hAnsi="宋体" w:eastAsia="宋体" w:cs="宋体"/>
        </w:rPr>
        <w:t>前</w:t>
      </w:r>
      <w:r>
        <w:rPr>
          <w:rFonts w:hint="eastAsia" w:ascii="宋体" w:hAnsi="宋体" w:eastAsia="宋体" w:cs="宋体"/>
          <w:lang w:val="en-US" w:eastAsia="zh-CN"/>
        </w:rPr>
        <w:t xml:space="preserve">  </w:t>
      </w:r>
      <w:r>
        <w:rPr>
          <w:rFonts w:hint="eastAsia" w:ascii="宋体" w:hAnsi="宋体" w:eastAsia="宋体" w:cs="宋体"/>
        </w:rPr>
        <w:t>言</w:t>
      </w:r>
      <w:bookmarkEnd w:id="38"/>
    </w:p>
    <w:p>
      <w:pPr>
        <w:pStyle w:val="5"/>
        <w:pageBreakBefore w:val="0"/>
        <w:widowControl/>
        <w:kinsoku w:val="0"/>
        <w:wordWrap/>
        <w:overflowPunct/>
        <w:topLinePunct w:val="0"/>
        <w:autoSpaceDE w:val="0"/>
        <w:autoSpaceDN w:val="0"/>
        <w:bidi w:val="0"/>
        <w:adjustRightInd w:val="0"/>
        <w:snapToGrid w:val="0"/>
        <w:spacing w:line="360" w:lineRule="auto"/>
        <w:textAlignment w:val="baseline"/>
      </w:pPr>
    </w:p>
    <w:p>
      <w:pPr>
        <w:keepNext w:val="0"/>
        <w:keepLines w:val="0"/>
        <w:pageBreakBefore w:val="0"/>
        <w:widowControl/>
        <w:kinsoku w:val="0"/>
        <w:wordWrap/>
        <w:overflowPunct/>
        <w:topLinePunct w:val="0"/>
        <w:autoSpaceDE w:val="0"/>
        <w:autoSpaceDN w:val="0"/>
        <w:bidi w:val="0"/>
        <w:adjustRightInd w:val="0"/>
        <w:snapToGrid w:val="0"/>
        <w:spacing w:before="319" w:line="360" w:lineRule="auto"/>
        <w:ind w:right="74" w:firstLine="584" w:firstLineChars="200"/>
        <w:textAlignment w:val="baseline"/>
        <w:rPr>
          <w:rFonts w:hint="eastAsia" w:ascii="宋体" w:hAnsi="宋体" w:eastAsia="宋体" w:cs="宋体"/>
          <w:spacing w:val="-4"/>
          <w:sz w:val="30"/>
          <w:szCs w:val="30"/>
          <w:lang w:val="en-US" w:eastAsia="zh-CN"/>
        </w:rPr>
      </w:pPr>
      <w:r>
        <w:rPr>
          <w:rFonts w:hint="eastAsia" w:ascii="宋体" w:hAnsi="宋体" w:eastAsia="宋体" w:cs="宋体"/>
          <w:spacing w:val="-4"/>
          <w:sz w:val="30"/>
          <w:szCs w:val="30"/>
          <w:lang w:val="en-US" w:eastAsia="zh-CN"/>
        </w:rPr>
        <w:t>甘肃金鑫新材料科技股份有限公司（以下简称金鑫公司）是一家专门从事碳酸钙开采及碳酸钙系列产品研发制造的企业，成立于1998年12月。成立以来，金鑫公司一直是陇南市武都区的明星企业，纳税大户。2016年以后，由于受全球经济下行影响，尤其自2019年来新冠疫情肆虐，加之公司决策存在失误，致使公司资金链断裂，生产经营陷入困境，直至公司无法还债，濒临破产。</w:t>
      </w:r>
      <w:r>
        <w:rPr>
          <w:rFonts w:ascii="宋体" w:hAnsi="宋体" w:eastAsia="宋体" w:cs="宋体"/>
          <w:spacing w:val="-4"/>
          <w:sz w:val="30"/>
          <w:szCs w:val="30"/>
          <w:lang w:val="en-US" w:eastAsia="en-US"/>
        </w:rPr>
        <w:t>202</w:t>
      </w:r>
      <w:r>
        <w:rPr>
          <w:rFonts w:hint="eastAsia" w:ascii="宋体" w:hAnsi="宋体" w:eastAsia="宋体" w:cs="宋体"/>
          <w:spacing w:val="-4"/>
          <w:sz w:val="30"/>
          <w:szCs w:val="30"/>
          <w:lang w:val="en-US" w:eastAsia="zh-CN"/>
        </w:rPr>
        <w:t>2</w:t>
      </w:r>
      <w:r>
        <w:rPr>
          <w:rFonts w:ascii="宋体" w:hAnsi="宋体" w:eastAsia="宋体" w:cs="宋体"/>
          <w:spacing w:val="-4"/>
          <w:sz w:val="30"/>
          <w:szCs w:val="30"/>
          <w:lang w:val="en-US" w:eastAsia="en-US"/>
        </w:rPr>
        <w:t>年12月</w:t>
      </w:r>
      <w:r>
        <w:rPr>
          <w:rFonts w:hint="eastAsia" w:ascii="宋体" w:hAnsi="宋体" w:eastAsia="宋体" w:cs="宋体"/>
          <w:spacing w:val="-4"/>
          <w:sz w:val="30"/>
          <w:szCs w:val="30"/>
          <w:lang w:val="en-US" w:eastAsia="zh-CN"/>
        </w:rPr>
        <w:t>，金鑫公司依据《破产法》第七十条之规定，向陇南中院提出重整申请。2022年12月</w:t>
      </w:r>
      <w:r>
        <w:rPr>
          <w:rFonts w:ascii="宋体" w:hAnsi="宋体" w:eastAsia="宋体" w:cs="宋体"/>
          <w:spacing w:val="-4"/>
          <w:sz w:val="30"/>
          <w:szCs w:val="30"/>
          <w:lang w:val="en-US" w:eastAsia="en-US"/>
        </w:rPr>
        <w:t>1</w:t>
      </w:r>
      <w:r>
        <w:rPr>
          <w:rFonts w:hint="eastAsia" w:ascii="宋体" w:hAnsi="宋体" w:eastAsia="宋体" w:cs="宋体"/>
          <w:spacing w:val="-4"/>
          <w:sz w:val="30"/>
          <w:szCs w:val="30"/>
          <w:lang w:val="en-US" w:eastAsia="zh-CN"/>
        </w:rPr>
        <w:t>2</w:t>
      </w:r>
      <w:r>
        <w:rPr>
          <w:rFonts w:ascii="宋体" w:hAnsi="宋体" w:eastAsia="宋体" w:cs="宋体"/>
          <w:spacing w:val="-4"/>
          <w:sz w:val="30"/>
          <w:szCs w:val="30"/>
          <w:lang w:val="en-US" w:eastAsia="en-US"/>
        </w:rPr>
        <w:t>日</w:t>
      </w:r>
      <w:r>
        <w:rPr>
          <w:rFonts w:hint="eastAsia" w:ascii="宋体" w:hAnsi="宋体" w:eastAsia="宋体" w:cs="宋体"/>
          <w:spacing w:val="-4"/>
          <w:sz w:val="30"/>
          <w:szCs w:val="30"/>
          <w:lang w:val="en-US" w:eastAsia="zh-CN"/>
        </w:rPr>
        <w:t>，陇南中院</w:t>
      </w:r>
      <w:r>
        <w:rPr>
          <w:rFonts w:ascii="宋体" w:hAnsi="宋体" w:eastAsia="宋体" w:cs="宋体"/>
          <w:spacing w:val="-4"/>
          <w:sz w:val="30"/>
          <w:szCs w:val="30"/>
          <w:lang w:val="en-US" w:eastAsia="en-US"/>
        </w:rPr>
        <w:t>作出（202</w:t>
      </w:r>
      <w:r>
        <w:rPr>
          <w:rFonts w:hint="eastAsia" w:ascii="宋体" w:hAnsi="宋体" w:eastAsia="宋体" w:cs="宋体"/>
          <w:spacing w:val="-4"/>
          <w:sz w:val="30"/>
          <w:szCs w:val="30"/>
          <w:lang w:val="en-US" w:eastAsia="zh-CN"/>
        </w:rPr>
        <w:t>2）甘12破申2号《民事裁定书》，依法裁定受理金鑫公司重整一案，并于2022年12月16日作出（2022）甘12破2-1号《决定书》，指定甘肃正步律师事务所为金鑫公司重整一案的管理人。</w:t>
      </w:r>
    </w:p>
    <w:p>
      <w:pPr>
        <w:keepNext w:val="0"/>
        <w:keepLines w:val="0"/>
        <w:pageBreakBefore w:val="0"/>
        <w:widowControl/>
        <w:kinsoku w:val="0"/>
        <w:wordWrap/>
        <w:overflowPunct/>
        <w:topLinePunct w:val="0"/>
        <w:autoSpaceDE w:val="0"/>
        <w:autoSpaceDN w:val="0"/>
        <w:bidi w:val="0"/>
        <w:adjustRightInd w:val="0"/>
        <w:snapToGrid w:val="0"/>
        <w:spacing w:before="319" w:line="360" w:lineRule="auto"/>
        <w:ind w:right="74" w:firstLine="596" w:firstLineChars="200"/>
        <w:textAlignment w:val="baseline"/>
        <w:rPr>
          <w:rFonts w:hint="eastAsia" w:ascii="宋体" w:hAnsi="宋体" w:eastAsia="宋体" w:cs="宋体"/>
          <w:spacing w:val="-6"/>
          <w:sz w:val="30"/>
          <w:szCs w:val="30"/>
          <w:lang w:val="en-US" w:eastAsia="zh-CN"/>
        </w:rPr>
      </w:pPr>
      <w:r>
        <w:rPr>
          <w:rFonts w:hint="eastAsia" w:ascii="宋体" w:hAnsi="宋体" w:eastAsia="宋体" w:cs="宋体"/>
          <w:spacing w:val="-1"/>
          <w:sz w:val="30"/>
          <w:szCs w:val="30"/>
          <w:lang w:eastAsia="zh-CN"/>
        </w:rPr>
        <w:t>陇南中</w:t>
      </w:r>
      <w:r>
        <w:rPr>
          <w:rFonts w:ascii="宋体" w:hAnsi="宋体" w:eastAsia="宋体" w:cs="宋体"/>
          <w:spacing w:val="-1"/>
          <w:sz w:val="30"/>
          <w:szCs w:val="30"/>
        </w:rPr>
        <w:t>院对本重整案件高度重视，每个环节均严格把关和监督，并在重大事项上给予直接指导，确保重整程序依法开展，切</w:t>
      </w:r>
      <w:r>
        <w:rPr>
          <w:rFonts w:ascii="宋体" w:hAnsi="宋体" w:eastAsia="宋体" w:cs="宋体"/>
          <w:sz w:val="30"/>
          <w:szCs w:val="30"/>
        </w:rPr>
        <w:t>实保障各方主体的合法权益。为保证重整</w:t>
      </w:r>
      <w:r>
        <w:rPr>
          <w:rFonts w:ascii="宋体" w:hAnsi="宋体" w:eastAsia="宋体" w:cs="宋体"/>
          <w:spacing w:val="-1"/>
          <w:sz w:val="30"/>
          <w:szCs w:val="30"/>
        </w:rPr>
        <w:t>成功，避免</w:t>
      </w:r>
      <w:r>
        <w:rPr>
          <w:rFonts w:hint="eastAsia" w:ascii="宋体" w:hAnsi="宋体" w:eastAsia="宋体" w:cs="宋体"/>
          <w:spacing w:val="-1"/>
          <w:sz w:val="30"/>
          <w:szCs w:val="30"/>
          <w:lang w:eastAsia="zh-CN"/>
        </w:rPr>
        <w:t>金鑫公司</w:t>
      </w:r>
      <w:r>
        <w:rPr>
          <w:rFonts w:ascii="宋体" w:hAnsi="宋体" w:eastAsia="宋体" w:cs="宋体"/>
          <w:spacing w:val="-1"/>
          <w:sz w:val="30"/>
          <w:szCs w:val="30"/>
        </w:rPr>
        <w:t>破产清算，管理人在</w:t>
      </w:r>
      <w:r>
        <w:rPr>
          <w:rFonts w:hint="eastAsia" w:ascii="宋体" w:hAnsi="宋体" w:eastAsia="宋体" w:cs="宋体"/>
          <w:spacing w:val="-1"/>
          <w:sz w:val="30"/>
          <w:szCs w:val="30"/>
          <w:lang w:eastAsia="zh-CN"/>
        </w:rPr>
        <w:t>陇南中</w:t>
      </w:r>
      <w:r>
        <w:rPr>
          <w:rFonts w:ascii="宋体" w:hAnsi="宋体" w:eastAsia="宋体" w:cs="宋体"/>
          <w:spacing w:val="-1"/>
          <w:sz w:val="30"/>
          <w:szCs w:val="30"/>
        </w:rPr>
        <w:t>院的监督和指导下，管理人严格按照《破产法》的规定履行相关职责，全力以赴做好与重整程序相</w:t>
      </w:r>
      <w:r>
        <w:rPr>
          <w:rFonts w:ascii="宋体" w:hAnsi="宋体" w:eastAsia="宋体" w:cs="宋体"/>
          <w:spacing w:val="-6"/>
          <w:sz w:val="30"/>
          <w:szCs w:val="30"/>
        </w:rPr>
        <w:t>关的各项工作。</w:t>
      </w:r>
      <w:r>
        <w:rPr>
          <w:rFonts w:hint="eastAsia" w:ascii="宋体" w:hAnsi="宋体" w:eastAsia="宋体" w:cs="宋体"/>
          <w:spacing w:val="-6"/>
          <w:sz w:val="30"/>
          <w:szCs w:val="30"/>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91" w:line="360" w:lineRule="auto"/>
        <w:ind w:right="74" w:firstLine="596" w:firstLineChars="200"/>
        <w:textAlignment w:val="baseline"/>
        <w:rPr>
          <w:rFonts w:hint="eastAsia" w:ascii="宋体" w:hAnsi="宋体" w:eastAsia="宋体" w:cs="宋体"/>
          <w:color w:val="000000" w:themeColor="text1"/>
          <w:spacing w:val="-1"/>
          <w:sz w:val="30"/>
          <w:szCs w:val="30"/>
          <w:lang w:val="en-US" w:eastAsia="zh-CN"/>
          <w14:textFill>
            <w14:solidFill>
              <w14:schemeClr w14:val="tx1"/>
            </w14:solidFill>
          </w14:textFill>
        </w:rPr>
      </w:pPr>
      <w:r>
        <w:rPr>
          <w:rFonts w:hint="eastAsia" w:ascii="宋体" w:hAnsi="宋体" w:eastAsia="宋体" w:cs="宋体"/>
          <w:spacing w:val="-1"/>
          <w:sz w:val="30"/>
          <w:szCs w:val="30"/>
          <w:lang w:val="en-US" w:eastAsia="zh-CN"/>
        </w:rPr>
        <w:t>重整期间，经陇南中院批准同意，债务人在</w:t>
      </w:r>
      <w:r>
        <w:rPr>
          <w:rFonts w:ascii="宋体" w:hAnsi="宋体" w:eastAsia="宋体" w:cs="宋体"/>
          <w:spacing w:val="-1"/>
          <w:sz w:val="30"/>
          <w:szCs w:val="30"/>
        </w:rPr>
        <w:t>管理人</w:t>
      </w:r>
      <w:r>
        <w:rPr>
          <w:rFonts w:hint="eastAsia" w:ascii="宋体" w:hAnsi="宋体" w:eastAsia="宋体" w:cs="宋体"/>
          <w:spacing w:val="-1"/>
          <w:sz w:val="30"/>
          <w:szCs w:val="30"/>
          <w:lang w:eastAsia="zh-CN"/>
        </w:rPr>
        <w:t>的</w:t>
      </w:r>
      <w:r>
        <w:rPr>
          <w:rFonts w:hint="eastAsia" w:ascii="宋体" w:hAnsi="宋体" w:eastAsia="宋体" w:cs="宋体"/>
          <w:spacing w:val="-1"/>
          <w:sz w:val="30"/>
          <w:szCs w:val="30"/>
          <w:lang w:val="en-US" w:eastAsia="zh-CN"/>
        </w:rPr>
        <w:t>监督下对佛崖孟家村采石场开展矿山地质环境治理恢复工作取得了阶段性进展，陇南市自然资源局武都分局在2023年6月23日作出了同意批复。重整期间，管理人先后赴贵州铜仁、桐梓，甘肃兰州，青海西宁，北京等地考察对接投资人，债务人也多方对接意向投资人，但最终均未能签约投资。后管理人及债务人与陇南扬名中学洽谈成功，将公司位于吉石坝的厂区出租与陇南扬名中学用于学校新增校区之用，筹集了资金800万元，</w:t>
      </w:r>
      <w:r>
        <w:rPr>
          <w:rFonts w:hint="eastAsia" w:ascii="宋体" w:hAnsi="宋体" w:eastAsia="宋体" w:cs="宋体"/>
          <w:color w:val="000000" w:themeColor="text1"/>
          <w:spacing w:val="-1"/>
          <w:sz w:val="30"/>
          <w:szCs w:val="30"/>
          <w:lang w:val="en-US" w:eastAsia="zh-CN"/>
          <w14:textFill>
            <w14:solidFill>
              <w14:schemeClr w14:val="tx1"/>
            </w14:solidFill>
          </w14:textFill>
        </w:rPr>
        <w:t>另，债务人引进联合开采人（已签订协议）拟注资500万元用于更新生产设备，扩大生产规模。</w:t>
      </w:r>
    </w:p>
    <w:p>
      <w:pPr>
        <w:keepNext w:val="0"/>
        <w:keepLines w:val="0"/>
        <w:pageBreakBefore w:val="0"/>
        <w:widowControl/>
        <w:kinsoku w:val="0"/>
        <w:wordWrap/>
        <w:overflowPunct/>
        <w:topLinePunct w:val="0"/>
        <w:autoSpaceDE w:val="0"/>
        <w:autoSpaceDN w:val="0"/>
        <w:bidi w:val="0"/>
        <w:adjustRightInd w:val="0"/>
        <w:snapToGrid w:val="0"/>
        <w:spacing w:before="91" w:line="360" w:lineRule="auto"/>
        <w:ind w:right="74" w:firstLine="596" w:firstLineChars="200"/>
        <w:textAlignment w:val="baseline"/>
        <w:rPr>
          <w:rFonts w:hint="eastAsia" w:ascii="宋体" w:hAnsi="宋体" w:eastAsia="宋体" w:cs="宋体"/>
          <w:spacing w:val="-14"/>
          <w:sz w:val="30"/>
          <w:szCs w:val="30"/>
          <w:lang w:eastAsia="zh-CN"/>
        </w:rPr>
      </w:pPr>
      <w:r>
        <w:rPr>
          <w:rFonts w:hint="eastAsia" w:ascii="宋体" w:hAnsi="宋体" w:eastAsia="宋体" w:cs="宋体"/>
          <w:spacing w:val="-1"/>
          <w:sz w:val="30"/>
          <w:szCs w:val="30"/>
          <w:lang w:val="en-US" w:eastAsia="zh-CN"/>
        </w:rPr>
        <w:t>综上，</w:t>
      </w:r>
      <w:r>
        <w:rPr>
          <w:rFonts w:ascii="宋体" w:hAnsi="宋体" w:eastAsia="宋体" w:cs="宋体"/>
          <w:spacing w:val="-1"/>
          <w:sz w:val="30"/>
          <w:szCs w:val="30"/>
        </w:rPr>
        <w:t>基于</w:t>
      </w:r>
      <w:r>
        <w:rPr>
          <w:rFonts w:hint="eastAsia" w:ascii="宋体" w:hAnsi="宋体" w:eastAsia="宋体" w:cs="宋体"/>
          <w:spacing w:val="-1"/>
          <w:sz w:val="30"/>
          <w:szCs w:val="30"/>
          <w:lang w:eastAsia="zh-CN"/>
        </w:rPr>
        <w:t>金鑫公司的</w:t>
      </w:r>
      <w:r>
        <w:rPr>
          <w:rFonts w:ascii="宋体" w:hAnsi="宋体" w:eastAsia="宋体" w:cs="宋体"/>
          <w:spacing w:val="-1"/>
          <w:sz w:val="30"/>
          <w:szCs w:val="30"/>
        </w:rPr>
        <w:t>实际情况，</w:t>
      </w:r>
      <w:r>
        <w:rPr>
          <w:rFonts w:hint="eastAsia" w:ascii="宋体" w:hAnsi="宋体" w:eastAsia="宋体" w:cs="宋体"/>
          <w:spacing w:val="-1"/>
          <w:sz w:val="30"/>
          <w:szCs w:val="30"/>
          <w:lang w:val="en-US" w:eastAsia="zh-CN"/>
        </w:rPr>
        <w:t>在</w:t>
      </w:r>
      <w:r>
        <w:rPr>
          <w:rFonts w:ascii="宋体" w:hAnsi="宋体" w:eastAsia="宋体" w:cs="宋体"/>
          <w:spacing w:val="-1"/>
          <w:sz w:val="30"/>
          <w:szCs w:val="30"/>
        </w:rPr>
        <w:t>积极听取各专业机构和利益相关方意见</w:t>
      </w:r>
      <w:r>
        <w:rPr>
          <w:rFonts w:hint="eastAsia" w:ascii="宋体" w:hAnsi="宋体" w:eastAsia="宋体" w:cs="宋体"/>
          <w:spacing w:val="-1"/>
          <w:sz w:val="30"/>
          <w:szCs w:val="30"/>
          <w:lang w:eastAsia="zh-CN"/>
        </w:rPr>
        <w:t>的情形下</w:t>
      </w:r>
      <w:r>
        <w:rPr>
          <w:rFonts w:ascii="宋体" w:hAnsi="宋体" w:eastAsia="宋体" w:cs="宋体"/>
          <w:spacing w:val="-1"/>
          <w:sz w:val="30"/>
          <w:szCs w:val="30"/>
        </w:rPr>
        <w:t>，</w:t>
      </w:r>
      <w:r>
        <w:rPr>
          <w:rFonts w:hint="eastAsia" w:ascii="宋体" w:hAnsi="宋体" w:eastAsia="宋体" w:cs="宋体"/>
          <w:spacing w:val="-1"/>
          <w:sz w:val="30"/>
          <w:szCs w:val="30"/>
          <w:lang w:eastAsia="zh-CN"/>
        </w:rPr>
        <w:t>管理人</w:t>
      </w:r>
      <w:r>
        <w:rPr>
          <w:rFonts w:ascii="宋体" w:hAnsi="宋体" w:eastAsia="宋体" w:cs="宋体"/>
          <w:spacing w:val="-1"/>
          <w:sz w:val="30"/>
          <w:szCs w:val="30"/>
        </w:rPr>
        <w:t>根据《破产法》的相关规定，制定本重整</w:t>
      </w:r>
      <w:r>
        <w:rPr>
          <w:rFonts w:ascii="宋体" w:hAnsi="宋体" w:eastAsia="宋体" w:cs="宋体"/>
          <w:spacing w:val="-14"/>
          <w:sz w:val="30"/>
          <w:szCs w:val="30"/>
        </w:rPr>
        <w:t>计划</w:t>
      </w:r>
      <w:r>
        <w:rPr>
          <w:rFonts w:hint="eastAsia" w:ascii="宋体" w:hAnsi="宋体" w:eastAsia="宋体" w:cs="宋体"/>
          <w:spacing w:val="-14"/>
          <w:sz w:val="30"/>
          <w:szCs w:val="30"/>
          <w:lang w:eastAsia="zh-CN"/>
        </w:rPr>
        <w:t>。</w:t>
      </w:r>
    </w:p>
    <w:p>
      <w:pPr>
        <w:bidi w:val="0"/>
        <w:rPr>
          <w:rFonts w:hint="eastAsia" w:ascii="Arial" w:hAnsi="Arial" w:eastAsia="Arial" w:cs="Arial"/>
          <w:snapToGrid w:val="0"/>
          <w:color w:val="000000"/>
          <w:kern w:val="0"/>
          <w:sz w:val="21"/>
          <w:szCs w:val="21"/>
          <w:lang w:val="en-US" w:eastAsia="zh-CN" w:bidi="ar-SA"/>
        </w:rPr>
      </w:pPr>
    </w:p>
    <w:p>
      <w:pPr>
        <w:bidi w:val="0"/>
        <w:rPr>
          <w:rFonts w:hint="eastAsia"/>
          <w:lang w:val="en-US" w:eastAsia="zh-CN"/>
        </w:rPr>
      </w:pPr>
    </w:p>
    <w:p>
      <w:pPr>
        <w:tabs>
          <w:tab w:val="left" w:pos="1034"/>
        </w:tabs>
        <w:bidi w:val="0"/>
        <w:jc w:val="left"/>
        <w:rPr>
          <w:rFonts w:hint="eastAsia"/>
          <w:lang w:val="en-US" w:eastAsia="zh-CN"/>
        </w:rPr>
        <w:sectPr>
          <w:footerReference r:id="rId10" w:type="default"/>
          <w:pgSz w:w="11907" w:h="16839"/>
          <w:pgMar w:top="1118" w:right="1769" w:bottom="1185" w:left="1771" w:header="1104" w:footer="1015" w:gutter="0"/>
          <w:pgNumType w:fmt="decimalFullWidth"/>
          <w:cols w:space="720" w:num="1"/>
        </w:sectPr>
      </w:pPr>
    </w:p>
    <w:p>
      <w:pPr>
        <w:keepNext w:val="0"/>
        <w:keepLines w:val="0"/>
        <w:pageBreakBefore w:val="0"/>
        <w:widowControl/>
        <w:kinsoku w:val="0"/>
        <w:wordWrap/>
        <w:overflowPunct/>
        <w:topLinePunct w:val="0"/>
        <w:autoSpaceDE w:val="0"/>
        <w:autoSpaceDN w:val="0"/>
        <w:bidi w:val="0"/>
        <w:adjustRightInd w:val="0"/>
        <w:snapToGrid w:val="0"/>
        <w:spacing w:before="319" w:line="360" w:lineRule="auto"/>
        <w:ind w:right="74"/>
        <w:jc w:val="center"/>
        <w:textAlignment w:val="baseline"/>
        <w:outlineLvl w:val="0"/>
        <w:rPr>
          <w:rFonts w:hint="default" w:ascii="宋体" w:hAnsi="宋体" w:eastAsia="宋体" w:cs="宋体"/>
          <w:b/>
          <w:bCs/>
          <w:spacing w:val="-4"/>
          <w:sz w:val="44"/>
          <w:szCs w:val="44"/>
          <w:lang w:val="en-US" w:eastAsia="zh-CN"/>
        </w:rPr>
      </w:pPr>
      <w:bookmarkStart w:id="39" w:name="_Toc19180"/>
      <w:r>
        <w:rPr>
          <w:rFonts w:hint="eastAsia" w:ascii="宋体" w:hAnsi="宋体" w:eastAsia="宋体" w:cs="宋体"/>
          <w:b/>
          <w:bCs/>
          <w:spacing w:val="-4"/>
          <w:sz w:val="44"/>
          <w:szCs w:val="44"/>
          <w:lang w:val="en-US" w:eastAsia="zh-CN"/>
        </w:rPr>
        <w:t>正  文</w:t>
      </w:r>
      <w:bookmarkEnd w:id="39"/>
    </w:p>
    <w:p>
      <w:pPr>
        <w:pStyle w:val="3"/>
        <w:pageBreakBefore w:val="0"/>
        <w:widowControl/>
        <w:numPr>
          <w:ilvl w:val="0"/>
          <w:numId w:val="1"/>
        </w:numPr>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40" w:name="_Toc8810"/>
      <w:r>
        <w:rPr>
          <w:rFonts w:hint="eastAsia" w:ascii="宋体" w:hAnsi="宋体" w:eastAsia="宋体" w:cs="宋体"/>
          <w:sz w:val="30"/>
          <w:szCs w:val="30"/>
          <w:lang w:eastAsia="zh-CN"/>
        </w:rPr>
        <w:t>金鑫公司</w:t>
      </w:r>
      <w:r>
        <w:rPr>
          <w:rFonts w:hint="eastAsia" w:ascii="宋体" w:hAnsi="宋体" w:eastAsia="宋体" w:cs="宋体"/>
          <w:sz w:val="30"/>
          <w:szCs w:val="30"/>
          <w:lang w:val="en-US" w:eastAsia="zh-CN"/>
        </w:rPr>
        <w:t>的基本情况</w:t>
      </w:r>
      <w:bookmarkEnd w:id="40"/>
    </w:p>
    <w:p>
      <w:pPr>
        <w:pStyle w:val="3"/>
        <w:pageBreakBefore w:val="0"/>
        <w:widowControl/>
        <w:numPr>
          <w:ilvl w:val="0"/>
          <w:numId w:val="0"/>
        </w:numPr>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41" w:name="_Toc18050"/>
      <w:r>
        <w:rPr>
          <w:rFonts w:hint="eastAsia" w:ascii="宋体" w:hAnsi="宋体" w:eastAsia="宋体" w:cs="宋体"/>
          <w:sz w:val="30"/>
          <w:szCs w:val="30"/>
        </w:rPr>
        <w:t>（一）</w:t>
      </w:r>
      <w:r>
        <w:rPr>
          <w:rFonts w:hint="eastAsia" w:ascii="宋体" w:hAnsi="宋体" w:eastAsia="宋体" w:cs="宋体"/>
          <w:sz w:val="30"/>
          <w:szCs w:val="30"/>
          <w:lang w:eastAsia="zh-CN"/>
        </w:rPr>
        <w:t>金鑫</w:t>
      </w:r>
      <w:r>
        <w:rPr>
          <w:rFonts w:hint="eastAsia" w:ascii="宋体" w:hAnsi="宋体" w:eastAsia="宋体" w:cs="宋体"/>
          <w:sz w:val="30"/>
          <w:szCs w:val="30"/>
        </w:rPr>
        <w:t>公司设立与沿革</w:t>
      </w:r>
      <w:bookmarkEnd w:id="41"/>
    </w:p>
    <w:p>
      <w:pPr>
        <w:keepNext w:val="0"/>
        <w:keepLines w:val="0"/>
        <w:pageBreakBefore w:val="0"/>
        <w:widowControl/>
        <w:kinsoku w:val="0"/>
        <w:wordWrap/>
        <w:overflowPunct/>
        <w:topLinePunct w:val="0"/>
        <w:autoSpaceDE w:val="0"/>
        <w:autoSpaceDN w:val="0"/>
        <w:bidi w:val="0"/>
        <w:adjustRightInd w:val="0"/>
        <w:snapToGrid w:val="0"/>
        <w:spacing w:before="319" w:line="360" w:lineRule="auto"/>
        <w:ind w:right="74" w:firstLine="596" w:firstLineChars="200"/>
        <w:textAlignment w:val="baseline"/>
        <w:rPr>
          <w:rFonts w:hint="eastAsia" w:ascii="宋体" w:hAnsi="宋体" w:eastAsia="宋体" w:cs="宋体"/>
          <w:spacing w:val="-1"/>
          <w:sz w:val="30"/>
          <w:szCs w:val="30"/>
          <w:lang w:val="en-US" w:eastAsia="zh-CN"/>
        </w:rPr>
      </w:pPr>
      <w:r>
        <w:rPr>
          <w:rFonts w:hint="eastAsia" w:ascii="宋体" w:hAnsi="宋体" w:eastAsia="宋体" w:cs="宋体"/>
          <w:spacing w:val="-1"/>
          <w:sz w:val="30"/>
          <w:szCs w:val="30"/>
          <w:lang w:val="en-US" w:eastAsia="zh-CN"/>
        </w:rPr>
        <w:t>甘肃金鑫新材料科技股份有限公司（以下简称金鑫公司）成立于1998年12月，注册资金4980万元，主要经营非金属矿采选，复合材料、纳米粉体材料、油田化工助剂、新型塑料管材、板材、型材等新材料及环保设备的研发、生产、销售。主要产品有碳酸钙原矿白云石、碳酸钙系列产品等。</w:t>
      </w:r>
    </w:p>
    <w:p>
      <w:pPr>
        <w:keepNext w:val="0"/>
        <w:keepLines w:val="0"/>
        <w:pageBreakBefore w:val="0"/>
        <w:widowControl/>
        <w:kinsoku w:val="0"/>
        <w:wordWrap/>
        <w:overflowPunct/>
        <w:topLinePunct w:val="0"/>
        <w:autoSpaceDE w:val="0"/>
        <w:autoSpaceDN w:val="0"/>
        <w:bidi w:val="0"/>
        <w:adjustRightInd w:val="0"/>
        <w:snapToGrid w:val="0"/>
        <w:spacing w:before="319" w:line="360" w:lineRule="auto"/>
        <w:ind w:right="74" w:firstLine="596" w:firstLineChars="200"/>
        <w:textAlignment w:val="baseline"/>
        <w:rPr>
          <w:rFonts w:hint="eastAsia" w:ascii="宋体" w:hAnsi="宋体" w:eastAsia="宋体" w:cs="宋体"/>
          <w:sz w:val="30"/>
          <w:szCs w:val="30"/>
          <w:lang w:val="en-US" w:eastAsia="zh-CN"/>
        </w:rPr>
      </w:pPr>
      <w:r>
        <w:rPr>
          <w:rFonts w:hint="eastAsia" w:ascii="宋体" w:hAnsi="宋体" w:eastAsia="宋体" w:cs="宋体"/>
          <w:spacing w:val="-1"/>
          <w:sz w:val="30"/>
          <w:szCs w:val="30"/>
          <w:lang w:val="en-US" w:eastAsia="zh-CN"/>
        </w:rPr>
        <w:t>多年来，公司曾取得中石油集团公司产品质量认证证书，并通过了质量管理体系认证、职业健康安全管理体系认证、环境管理体系认证、节水产品认证，涉及饮用水卫生安全产品卫生许可证书。公司成立至今，曾多次受到省、市、区各级党委政府的各种奖励及大力支持，获评“A级纳税单位”、“纳税先进单位”、“纳税大户”、“重合同、守信用企业”、创先争优先进基层党组织”、“建设小康先锋号”,“AAA级信用企业”、“全市精准扶贫工作龙头示范企业”、2017年1月被甘肃省商业联合会评为“第二届甘肃省履行社会责任示范单位”等多项荣誉。2018年被武都区人民政府授予“政府金融奖”、2019年被陇南市人民政府授予“市长金融奖”。拥有相关技术实用新型专利10项</w:t>
      </w:r>
      <w:r>
        <w:rPr>
          <w:rFonts w:hint="eastAsia" w:ascii="宋体" w:hAnsi="宋体" w:eastAsia="宋体" w:cs="宋体"/>
          <w:sz w:val="30"/>
          <w:szCs w:val="30"/>
          <w:lang w:val="en-US" w:eastAsia="zh-CN"/>
        </w:rPr>
        <w:t>。</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rPr>
      </w:pPr>
      <w:bookmarkStart w:id="42" w:name="_Toc25527"/>
      <w:r>
        <w:rPr>
          <w:rFonts w:hint="eastAsia" w:ascii="宋体" w:hAnsi="宋体" w:eastAsia="宋体" w:cs="宋体"/>
          <w:sz w:val="30"/>
          <w:szCs w:val="30"/>
          <w:lang w:val="en-US" w:eastAsia="zh-CN"/>
        </w:rPr>
        <w:t>（二）金鑫公司的股权架构</w:t>
      </w:r>
      <w:bookmarkEnd w:id="42"/>
    </w:p>
    <w:tbl>
      <w:tblPr>
        <w:tblStyle w:val="14"/>
        <w:tblW w:w="8302"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6"/>
        <w:gridCol w:w="5241"/>
        <w:gridCol w:w="17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序号</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股东名称</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持股比例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1</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杜永忠</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67.0884</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2</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陇南太阳桥物业服务有限责任公司</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12.8514</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3</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杜威</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10.2610</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4</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潘红</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2.2088</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5</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田华</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2.0080</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6</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何东玻</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1.0040</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7</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焦海燕</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0.9036</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8</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刘春英</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0.8032</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9</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杨志福</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0.6024</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10</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苏小刚</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0.6024</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11</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焦菊英</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0.4016</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en-US"/>
              </w:rPr>
            </w:pPr>
            <w:r>
              <w:rPr>
                <w:rFonts w:hint="eastAsia" w:ascii="宋体" w:hAnsi="宋体" w:eastAsia="宋体" w:cs="宋体"/>
                <w:sz w:val="30"/>
                <w:szCs w:val="30"/>
              </w:rPr>
              <w:t>12</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eastAsia="zh-CN"/>
              </w:rPr>
              <w:t>赵瑞利</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0.4016</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en-US"/>
              </w:rPr>
            </w:pPr>
            <w:r>
              <w:rPr>
                <w:rFonts w:hint="eastAsia" w:ascii="宋体" w:hAnsi="宋体" w:eastAsia="宋体" w:cs="宋体"/>
                <w:sz w:val="30"/>
                <w:szCs w:val="30"/>
              </w:rPr>
              <w:t>13</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eastAsia="zh-CN"/>
              </w:rPr>
              <w:t>杜朝霞</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0.3614</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en-US"/>
              </w:rPr>
            </w:pPr>
            <w:r>
              <w:rPr>
                <w:rFonts w:hint="eastAsia" w:ascii="宋体" w:hAnsi="宋体" w:eastAsia="宋体" w:cs="宋体"/>
                <w:sz w:val="30"/>
                <w:szCs w:val="30"/>
              </w:rPr>
              <w:t>14</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eastAsia="zh-CN"/>
              </w:rPr>
              <w:t>谈秀琴</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0.3012</w:t>
            </w:r>
            <w:r>
              <w:rPr>
                <w:rFonts w:hint="eastAsia" w:ascii="宋体" w:hAnsi="宋体" w:eastAsia="宋体" w:cs="宋体"/>
                <w:sz w:val="30"/>
                <w:szCs w:val="30"/>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trPr>
        <w:tc>
          <w:tcPr>
            <w:tcW w:w="1276"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en-US"/>
              </w:rPr>
            </w:pPr>
            <w:r>
              <w:rPr>
                <w:rFonts w:hint="eastAsia" w:ascii="宋体" w:hAnsi="宋体" w:eastAsia="宋体" w:cs="宋体"/>
                <w:sz w:val="30"/>
                <w:szCs w:val="30"/>
              </w:rPr>
              <w:t>15</w:t>
            </w:r>
          </w:p>
        </w:tc>
        <w:tc>
          <w:tcPr>
            <w:tcW w:w="5241"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eastAsia="zh-CN"/>
              </w:rPr>
              <w:t>杨林英</w:t>
            </w:r>
          </w:p>
        </w:tc>
        <w:tc>
          <w:tcPr>
            <w:tcW w:w="1785" w:type="dxa"/>
            <w:vAlign w:val="top"/>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val="en-US" w:eastAsia="zh-CN"/>
              </w:rPr>
            </w:pPr>
            <w:r>
              <w:rPr>
                <w:rFonts w:hint="eastAsia" w:ascii="宋体" w:hAnsi="宋体" w:eastAsia="宋体" w:cs="宋体"/>
                <w:sz w:val="30"/>
                <w:szCs w:val="30"/>
              </w:rPr>
              <w:t>0</w:t>
            </w:r>
            <w:r>
              <w:rPr>
                <w:rFonts w:hint="eastAsia" w:ascii="宋体" w:hAnsi="宋体" w:eastAsia="宋体" w:cs="宋体"/>
                <w:sz w:val="30"/>
                <w:szCs w:val="30"/>
                <w:lang w:val="en-US" w:eastAsia="zh-CN"/>
              </w:rPr>
              <w:t>.2008</w:t>
            </w:r>
            <w:r>
              <w:rPr>
                <w:rFonts w:hint="eastAsia" w:ascii="宋体" w:hAnsi="宋体" w:eastAsia="宋体" w:cs="宋体"/>
                <w:sz w:val="30"/>
                <w:szCs w:val="30"/>
              </w:rPr>
              <w:t>%</w:t>
            </w:r>
          </w:p>
        </w:tc>
      </w:tr>
    </w:tbl>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43" w:name="_Toc5131"/>
      <w:r>
        <w:rPr>
          <w:rFonts w:hint="eastAsia" w:ascii="宋体" w:hAnsi="宋体" w:eastAsia="宋体" w:cs="宋体"/>
          <w:sz w:val="30"/>
          <w:szCs w:val="30"/>
          <w:lang w:val="en-US" w:eastAsia="zh-CN"/>
        </w:rPr>
        <w:t>（三）金鑫公司对外投资情况：</w:t>
      </w:r>
      <w:bookmarkEnd w:id="43"/>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00" w:firstLineChars="200"/>
        <w:textAlignment w:val="baseline"/>
        <w:rPr>
          <w:rFonts w:hint="eastAsia" w:ascii="宋体" w:hAnsi="宋体" w:eastAsia="宋体" w:cs="宋体"/>
          <w:sz w:val="30"/>
          <w:szCs w:val="30"/>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00" w:firstLineChars="200"/>
        <w:textAlignment w:val="baseline"/>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金鑫公司共有2笔对外投资，具体情况如下表：</w:t>
      </w:r>
    </w:p>
    <w:p>
      <w:pPr>
        <w:pStyle w:val="2"/>
        <w:ind w:left="0" w:leftChars="0" w:firstLine="0" w:firstLineChars="0"/>
        <w:rPr>
          <w:rFonts w:hint="eastAsia" w:ascii="宋体" w:hAnsi="宋体" w:eastAsia="宋体" w:cs="宋体"/>
          <w:sz w:val="30"/>
          <w:szCs w:val="30"/>
          <w:lang w:val="en-US" w:eastAsia="zh-CN"/>
        </w:rPr>
      </w:pPr>
    </w:p>
    <w:tbl>
      <w:tblPr>
        <w:tblStyle w:val="14"/>
        <w:tblpPr w:leftFromText="180" w:rightFromText="180" w:vertAnchor="text" w:horzAnchor="page" w:tblpX="1759" w:tblpY="143"/>
        <w:tblOverlap w:val="never"/>
        <w:tblW w:w="882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1"/>
        <w:gridCol w:w="3947"/>
        <w:gridCol w:w="1423"/>
        <w:gridCol w:w="25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911"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序号</w:t>
            </w:r>
          </w:p>
        </w:tc>
        <w:tc>
          <w:tcPr>
            <w:tcW w:w="394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eastAsia="zh-CN"/>
              </w:rPr>
              <w:t>公司</w:t>
            </w:r>
            <w:r>
              <w:rPr>
                <w:rFonts w:hint="eastAsia" w:ascii="宋体" w:hAnsi="宋体" w:eastAsia="宋体" w:cs="宋体"/>
                <w:sz w:val="30"/>
                <w:szCs w:val="30"/>
              </w:rPr>
              <w:t>名称</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eastAsia="zh-CN"/>
              </w:rPr>
              <w:t>持股比例</w:t>
            </w:r>
          </w:p>
        </w:tc>
        <w:tc>
          <w:tcPr>
            <w:tcW w:w="2545"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经营状态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5" w:hRule="atLeast"/>
        </w:trPr>
        <w:tc>
          <w:tcPr>
            <w:tcW w:w="911"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1</w:t>
            </w:r>
          </w:p>
        </w:tc>
        <w:tc>
          <w:tcPr>
            <w:tcW w:w="394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甘肃艾瑞斯新材料科技有限公司</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100%</w:t>
            </w:r>
          </w:p>
        </w:tc>
        <w:tc>
          <w:tcPr>
            <w:tcW w:w="2545"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存续（在营、开业册）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3" w:hRule="atLeast"/>
        </w:trPr>
        <w:tc>
          <w:tcPr>
            <w:tcW w:w="911"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ind w:firstLine="300" w:firstLineChars="100"/>
              <w:jc w:val="both"/>
              <w:textAlignment w:val="baseline"/>
              <w:rPr>
                <w:rFonts w:hint="eastAsia" w:ascii="宋体" w:hAnsi="宋体" w:eastAsia="宋体" w:cs="宋体"/>
                <w:sz w:val="30"/>
                <w:szCs w:val="30"/>
              </w:rPr>
            </w:pPr>
            <w:r>
              <w:rPr>
                <w:rFonts w:hint="eastAsia" w:ascii="宋体" w:hAnsi="宋体" w:eastAsia="宋体" w:cs="宋体"/>
                <w:sz w:val="30"/>
                <w:szCs w:val="30"/>
                <w:lang w:val="en-US" w:eastAsia="zh-CN"/>
              </w:rPr>
              <w:t>2</w:t>
            </w:r>
          </w:p>
        </w:tc>
        <w:tc>
          <w:tcPr>
            <w:tcW w:w="3947"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陇南橄榄树酒店管理有限公司</w:t>
            </w:r>
          </w:p>
        </w:tc>
        <w:tc>
          <w:tcPr>
            <w:tcW w:w="1423"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rPr>
            </w:pPr>
            <w:r>
              <w:rPr>
                <w:rFonts w:hint="eastAsia" w:ascii="宋体" w:hAnsi="宋体" w:eastAsia="宋体" w:cs="宋体"/>
                <w:sz w:val="30"/>
                <w:szCs w:val="30"/>
              </w:rPr>
              <w:t>100%</w:t>
            </w:r>
          </w:p>
        </w:tc>
        <w:tc>
          <w:tcPr>
            <w:tcW w:w="2545"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sz w:val="30"/>
                <w:szCs w:val="30"/>
                <w:lang w:eastAsia="zh-CN"/>
              </w:rPr>
            </w:pPr>
            <w:r>
              <w:rPr>
                <w:rFonts w:hint="eastAsia" w:ascii="宋体" w:hAnsi="宋体" w:eastAsia="宋体" w:cs="宋体"/>
                <w:sz w:val="30"/>
                <w:szCs w:val="30"/>
                <w:lang w:eastAsia="zh-CN"/>
              </w:rPr>
              <w:t>注销</w:t>
            </w:r>
          </w:p>
        </w:tc>
      </w:tr>
    </w:tbl>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30"/>
          <w:szCs w:val="30"/>
          <w:lang w:val="en-US" w:eastAsia="zh-CN"/>
        </w:rPr>
      </w:pP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44" w:name="_Toc15841"/>
      <w:r>
        <w:rPr>
          <w:rFonts w:hint="eastAsia" w:ascii="宋体" w:hAnsi="宋体" w:eastAsia="宋体" w:cs="宋体"/>
          <w:sz w:val="30"/>
          <w:szCs w:val="30"/>
          <w:lang w:val="en-US" w:eastAsia="zh-CN"/>
        </w:rPr>
        <w:t>（四）重整受理及重整投资人情况</w:t>
      </w:r>
      <w:bookmarkEnd w:id="44"/>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4" w:firstLineChars="200"/>
        <w:textAlignment w:val="baseline"/>
        <w:rPr>
          <w:rFonts w:hint="eastAsia" w:ascii="宋体" w:hAnsi="宋体" w:eastAsia="宋体" w:cs="宋体"/>
          <w:spacing w:val="-4"/>
          <w:sz w:val="30"/>
          <w:szCs w:val="30"/>
          <w:lang w:val="en-US" w:eastAsia="zh-CN"/>
        </w:rPr>
      </w:pPr>
      <w:r>
        <w:rPr>
          <w:rFonts w:hint="eastAsia" w:ascii="宋体" w:hAnsi="宋体" w:eastAsia="宋体" w:cs="宋体"/>
          <w:spacing w:val="-4"/>
          <w:sz w:val="30"/>
          <w:szCs w:val="30"/>
          <w:lang w:val="en-US" w:eastAsia="en-US"/>
        </w:rPr>
        <w:t>202</w:t>
      </w:r>
      <w:r>
        <w:rPr>
          <w:rFonts w:hint="eastAsia" w:ascii="宋体" w:hAnsi="宋体" w:eastAsia="宋体" w:cs="宋体"/>
          <w:spacing w:val="-4"/>
          <w:sz w:val="30"/>
          <w:szCs w:val="30"/>
          <w:lang w:val="en-US" w:eastAsia="zh-CN"/>
        </w:rPr>
        <w:t>2</w:t>
      </w:r>
      <w:r>
        <w:rPr>
          <w:rFonts w:hint="eastAsia" w:ascii="宋体" w:hAnsi="宋体" w:eastAsia="宋体" w:cs="宋体"/>
          <w:spacing w:val="-4"/>
          <w:sz w:val="30"/>
          <w:szCs w:val="30"/>
          <w:lang w:val="en-US" w:eastAsia="en-US"/>
        </w:rPr>
        <w:t>年12月1</w:t>
      </w:r>
      <w:r>
        <w:rPr>
          <w:rFonts w:hint="eastAsia" w:ascii="宋体" w:hAnsi="宋体" w:eastAsia="宋体" w:cs="宋体"/>
          <w:spacing w:val="-4"/>
          <w:sz w:val="30"/>
          <w:szCs w:val="30"/>
          <w:lang w:val="en-US" w:eastAsia="zh-CN"/>
        </w:rPr>
        <w:t>2</w:t>
      </w:r>
      <w:r>
        <w:rPr>
          <w:rFonts w:hint="eastAsia" w:ascii="宋体" w:hAnsi="宋体" w:eastAsia="宋体" w:cs="宋体"/>
          <w:spacing w:val="-4"/>
          <w:sz w:val="30"/>
          <w:szCs w:val="30"/>
          <w:lang w:val="en-US" w:eastAsia="en-US"/>
        </w:rPr>
        <w:t>日</w:t>
      </w:r>
      <w:r>
        <w:rPr>
          <w:rFonts w:hint="eastAsia" w:ascii="宋体" w:hAnsi="宋体" w:eastAsia="宋体" w:cs="宋体"/>
          <w:spacing w:val="-4"/>
          <w:sz w:val="30"/>
          <w:szCs w:val="30"/>
          <w:lang w:val="en-US" w:eastAsia="zh-CN"/>
        </w:rPr>
        <w:t>陇南中院</w:t>
      </w:r>
      <w:r>
        <w:rPr>
          <w:rFonts w:hint="eastAsia" w:ascii="宋体" w:hAnsi="宋体" w:eastAsia="宋体" w:cs="宋体"/>
          <w:spacing w:val="-4"/>
          <w:sz w:val="30"/>
          <w:szCs w:val="30"/>
          <w:lang w:val="en-US" w:eastAsia="en-US"/>
        </w:rPr>
        <w:t>作出（202</w:t>
      </w:r>
      <w:r>
        <w:rPr>
          <w:rFonts w:hint="eastAsia" w:ascii="宋体" w:hAnsi="宋体" w:eastAsia="宋体" w:cs="宋体"/>
          <w:spacing w:val="-4"/>
          <w:sz w:val="30"/>
          <w:szCs w:val="30"/>
          <w:lang w:val="en-US" w:eastAsia="zh-CN"/>
        </w:rPr>
        <w:t>2）甘12破申2号《民事裁定书》，裁定受理金鑫公司重整一案，并于2022年12月16日作出（2022）甘12破2-1号《决定书》指定甘肃正步律师事务所为金鑫公司管理人。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4" w:firstLineChars="200"/>
        <w:textAlignment w:val="baseline"/>
        <w:rPr>
          <w:rFonts w:hint="eastAsia"/>
          <w:lang w:val="en-US" w:eastAsia="zh-CN"/>
        </w:rPr>
      </w:pPr>
      <w:r>
        <w:rPr>
          <w:rFonts w:hint="eastAsia" w:ascii="宋体" w:hAnsi="宋体" w:eastAsia="宋体" w:cs="宋体"/>
          <w:spacing w:val="-4"/>
          <w:sz w:val="30"/>
          <w:szCs w:val="30"/>
          <w:lang w:val="en-US" w:eastAsia="zh-CN"/>
        </w:rPr>
        <w:t>2023年3月9日，为推动金鑫公司的重整工作顺利进行，维护各方当事人合法权益，管理人依照《破产法》及相关法律规定，在全国企业破产重整信息网、甘肃法治报、陇南日报等有影响力的平台公开发布《公开招募和遴选重整投资人的公告》，公开招募和遴选投资人。重整期间，管理人与债务人先后赴北京，成都，贵州铜仁、桐梓等地实地考察意向投资人，由于临近2023年6月12日重整期限届满尚未有实际投资人。2023年6月5日，管理人依法向陇南中院提出《关于延长金鑫新材料公司破产重整案提交重整计划草案三个月的请示》，陇南中院作出了（2023）甘12破2-7号民事裁定书，同意重整计划草案提交期限延长至2023年9月11日。延长提交重整计划草案期间，管理人于2023年6月12日再次在上述平台发布《公开招募和遴选重整投资人的公告》，管理人还通过北京产权交易所、甘肃省产权交易中心发布了《公开招募和遴选重整投资人的公告》，</w:t>
      </w:r>
      <w:r>
        <w:rPr>
          <w:rFonts w:hint="eastAsia" w:ascii="宋体" w:hAnsi="宋体" w:eastAsia="宋体" w:cs="宋体"/>
          <w:color w:val="000000" w:themeColor="text1"/>
          <w:spacing w:val="-3"/>
          <w:sz w:val="30"/>
          <w:szCs w:val="30"/>
          <w:lang w:val="en-US" w:eastAsia="zh-CN"/>
          <w14:textFill>
            <w14:solidFill>
              <w14:schemeClr w14:val="tx1"/>
            </w14:solidFill>
          </w14:textFill>
        </w:rPr>
        <w:t>截止本重整计划草案第一次提交债权人会议之日</w:t>
      </w:r>
      <w:r>
        <w:rPr>
          <w:rFonts w:hint="eastAsia" w:ascii="宋体" w:hAnsi="宋体" w:eastAsia="宋体" w:cs="宋体"/>
          <w:spacing w:val="-4"/>
          <w:sz w:val="30"/>
          <w:szCs w:val="30"/>
          <w:lang w:val="en-US" w:eastAsia="zh-CN"/>
        </w:rPr>
        <w:t>，无意向投资人进行投资。</w:t>
      </w:r>
    </w:p>
    <w:p>
      <w:pPr>
        <w:pStyle w:val="3"/>
        <w:pageBreakBefore w:val="0"/>
        <w:widowControl/>
        <w:numPr>
          <w:ilvl w:val="0"/>
          <w:numId w:val="1"/>
        </w:numPr>
        <w:kinsoku w:val="0"/>
        <w:wordWrap/>
        <w:overflowPunct/>
        <w:topLinePunct w:val="0"/>
        <w:autoSpaceDE w:val="0"/>
        <w:autoSpaceDN w:val="0"/>
        <w:bidi w:val="0"/>
        <w:adjustRightInd w:val="0"/>
        <w:snapToGrid w:val="0"/>
        <w:spacing w:line="360" w:lineRule="auto"/>
        <w:ind w:left="0" w:leftChars="0" w:firstLine="602" w:firstLineChars="200"/>
        <w:textAlignment w:val="baseline"/>
        <w:rPr>
          <w:rFonts w:hint="eastAsia" w:ascii="宋体" w:hAnsi="宋体" w:eastAsia="宋体" w:cs="宋体"/>
          <w:sz w:val="30"/>
          <w:szCs w:val="30"/>
          <w:lang w:val="en-US" w:eastAsia="zh-CN"/>
        </w:rPr>
      </w:pPr>
      <w:bookmarkStart w:id="45" w:name="_Toc22491"/>
      <w:r>
        <w:rPr>
          <w:rFonts w:hint="eastAsia" w:ascii="宋体" w:hAnsi="宋体" w:eastAsia="宋体" w:cs="宋体"/>
          <w:sz w:val="30"/>
          <w:szCs w:val="30"/>
          <w:lang w:val="en-US" w:eastAsia="zh-CN"/>
        </w:rPr>
        <w:t>金鑫公司的资产情况</w:t>
      </w:r>
      <w:bookmarkEnd w:id="45"/>
    </w:p>
    <w:p>
      <w:pPr>
        <w:pStyle w:val="4"/>
        <w:bidi w:val="0"/>
        <w:ind w:firstLine="602" w:firstLineChars="200"/>
        <w:rPr>
          <w:rFonts w:hint="eastAsia" w:ascii="宋体" w:hAnsi="宋体" w:eastAsia="宋体" w:cs="宋体"/>
          <w:b/>
          <w:bCs w:val="0"/>
          <w:sz w:val="30"/>
          <w:szCs w:val="30"/>
          <w:lang w:val="en-US" w:eastAsia="zh-CN"/>
        </w:rPr>
      </w:pPr>
      <w:bookmarkStart w:id="46" w:name="_Toc11177"/>
      <w:r>
        <w:rPr>
          <w:rFonts w:hint="eastAsia" w:ascii="宋体" w:hAnsi="宋体" w:eastAsia="宋体" w:cs="宋体"/>
          <w:b/>
          <w:bCs w:val="0"/>
          <w:sz w:val="30"/>
          <w:szCs w:val="30"/>
          <w:lang w:val="en-US" w:eastAsia="zh-CN"/>
        </w:rPr>
        <w:t>（一）资产审计情况</w:t>
      </w:r>
      <w:bookmarkEnd w:id="46"/>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92" w:firstLineChars="200"/>
        <w:textAlignment w:val="baseline"/>
        <w:rPr>
          <w:rFonts w:hint="eastAsia" w:ascii="新宋体" w:hAnsi="新宋体" w:eastAsia="新宋体" w:cs="新宋体"/>
          <w:spacing w:val="-2"/>
          <w:sz w:val="30"/>
          <w:szCs w:val="30"/>
          <w:lang w:val="en-US" w:eastAsia="zh-CN"/>
        </w:rPr>
      </w:pPr>
      <w:r>
        <w:rPr>
          <w:rFonts w:hint="eastAsia" w:ascii="宋体" w:hAnsi="宋体" w:eastAsia="宋体" w:cs="宋体"/>
          <w:spacing w:val="-2"/>
          <w:sz w:val="30"/>
          <w:szCs w:val="30"/>
          <w:lang w:val="en-US" w:eastAsia="zh-CN"/>
        </w:rPr>
        <w:t>重整受理后，管理人委托</w:t>
      </w:r>
      <w:r>
        <w:rPr>
          <w:rFonts w:hint="eastAsia" w:ascii="宋体" w:hAnsi="宋体" w:eastAsia="宋体" w:cs="宋体"/>
          <w:spacing w:val="-5"/>
          <w:sz w:val="30"/>
          <w:szCs w:val="30"/>
          <w:lang w:eastAsia="zh-CN"/>
        </w:rPr>
        <w:t>甘肃泰华会计师事务所</w:t>
      </w:r>
      <w:r>
        <w:rPr>
          <w:rFonts w:hint="eastAsia" w:ascii="宋体" w:hAnsi="宋体" w:eastAsia="宋体" w:cs="宋体"/>
          <w:spacing w:val="-4"/>
          <w:sz w:val="30"/>
          <w:szCs w:val="30"/>
        </w:rPr>
        <w:t>有限公司</w:t>
      </w:r>
      <w:r>
        <w:rPr>
          <w:rFonts w:hint="eastAsia" w:ascii="宋体" w:hAnsi="宋体" w:eastAsia="宋体" w:cs="宋体"/>
          <w:spacing w:val="-4"/>
          <w:sz w:val="30"/>
          <w:szCs w:val="30"/>
          <w:lang w:val="en-US" w:eastAsia="zh-CN"/>
        </w:rPr>
        <w:t>开展金鑫公司破产重整的审计工作，根据审计机构出具的《审计报告》，</w:t>
      </w:r>
      <w:r>
        <w:rPr>
          <w:rFonts w:hint="eastAsia" w:ascii="宋体" w:hAnsi="宋体" w:eastAsia="宋体" w:cs="宋体"/>
          <w:spacing w:val="-2"/>
          <w:sz w:val="30"/>
          <w:szCs w:val="30"/>
          <w:lang w:val="en-US" w:eastAsia="zh-CN"/>
        </w:rPr>
        <w:t>以2022年12月12日为基准日，金鑫公司账面资产总计102566968.97元,</w:t>
      </w:r>
      <w:r>
        <w:rPr>
          <w:rFonts w:hint="eastAsia" w:ascii="新宋体" w:hAnsi="新宋体" w:eastAsia="新宋体" w:cs="新宋体"/>
          <w:spacing w:val="-2"/>
          <w:sz w:val="30"/>
          <w:szCs w:val="30"/>
          <w:lang w:val="en-US" w:eastAsia="zh-CN"/>
        </w:rPr>
        <w:t>负债账面总计110336181.34元，所有者权益账面总计-7769212.37元。审定后账面资产总计103827631.73元。</w:t>
      </w:r>
    </w:p>
    <w:p>
      <w:pPr>
        <w:pStyle w:val="4"/>
        <w:bidi w:val="0"/>
        <w:ind w:firstLine="602" w:firstLineChars="200"/>
        <w:rPr>
          <w:rFonts w:hint="eastAsia" w:ascii="宋体" w:hAnsi="宋体" w:eastAsia="宋体" w:cs="宋体"/>
          <w:sz w:val="30"/>
          <w:szCs w:val="30"/>
          <w:lang w:val="en-US" w:eastAsia="zh-CN"/>
        </w:rPr>
      </w:pPr>
      <w:bookmarkStart w:id="47" w:name="_Toc21117"/>
      <w:r>
        <w:rPr>
          <w:rFonts w:hint="eastAsia" w:ascii="宋体" w:hAnsi="宋体" w:eastAsia="宋体" w:cs="宋体"/>
          <w:sz w:val="30"/>
          <w:szCs w:val="30"/>
          <w:lang w:val="en-US" w:eastAsia="zh-CN"/>
        </w:rPr>
        <w:t>（二）资产评估情况</w:t>
      </w:r>
      <w:bookmarkEnd w:id="47"/>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92" w:firstLineChars="200"/>
        <w:textAlignment w:val="baseline"/>
        <w:rPr>
          <w:rFonts w:hint="eastAsia" w:ascii="新宋体" w:hAnsi="新宋体" w:eastAsia="新宋体" w:cs="新宋体"/>
          <w:spacing w:val="-2"/>
          <w:sz w:val="30"/>
          <w:szCs w:val="30"/>
          <w:lang w:val="en-US" w:eastAsia="zh-CN"/>
        </w:rPr>
      </w:pPr>
      <w:r>
        <w:rPr>
          <w:rFonts w:hint="eastAsia" w:ascii="宋体" w:hAnsi="宋体" w:eastAsia="宋体" w:cs="宋体"/>
          <w:spacing w:val="-2"/>
          <w:sz w:val="30"/>
          <w:szCs w:val="30"/>
          <w:lang w:val="en-US" w:eastAsia="zh-CN"/>
        </w:rPr>
        <w:t>重整受理后，管理人委托</w:t>
      </w:r>
      <w:r>
        <w:rPr>
          <w:rFonts w:hint="eastAsia" w:ascii="宋体" w:hAnsi="宋体" w:eastAsia="宋体" w:cs="宋体"/>
          <w:spacing w:val="-5"/>
          <w:sz w:val="30"/>
          <w:szCs w:val="30"/>
          <w:lang w:eastAsia="zh-CN"/>
        </w:rPr>
        <w:t>甘肃中勤资产土地房地产评估有限公司</w:t>
      </w:r>
      <w:r>
        <w:rPr>
          <w:rFonts w:hint="eastAsia" w:ascii="宋体" w:hAnsi="宋体" w:eastAsia="宋体" w:cs="宋体"/>
          <w:spacing w:val="-5"/>
          <w:sz w:val="30"/>
          <w:szCs w:val="30"/>
          <w:lang w:val="en-US" w:eastAsia="zh-CN"/>
        </w:rPr>
        <w:t>开展金鑫公司破产重整的资产评估工作。根据评估机构出具的《评估报告》，以2022年12月12日为基准日，</w:t>
      </w:r>
      <w:r>
        <w:rPr>
          <w:rFonts w:hint="eastAsia" w:ascii="宋体" w:hAnsi="宋体" w:eastAsia="宋体" w:cs="宋体"/>
          <w:spacing w:val="-2"/>
          <w:sz w:val="30"/>
          <w:szCs w:val="30"/>
          <w:lang w:val="en-US" w:eastAsia="zh-CN"/>
        </w:rPr>
        <w:t>金鑫公司资产评估值9972.88万元，</w:t>
      </w:r>
      <w:r>
        <w:rPr>
          <w:rFonts w:hint="eastAsia" w:ascii="新宋体" w:hAnsi="新宋体" w:eastAsia="新宋体" w:cs="新宋体"/>
          <w:spacing w:val="-2"/>
          <w:sz w:val="30"/>
          <w:szCs w:val="30"/>
          <w:lang w:val="en-US" w:eastAsia="zh-CN"/>
        </w:rPr>
        <w:t>负债评估值10324.53万元，净资产评估价值-351.65万元。</w:t>
      </w:r>
    </w:p>
    <w:p>
      <w:pPr>
        <w:pStyle w:val="4"/>
        <w:numPr>
          <w:ilvl w:val="0"/>
          <w:numId w:val="2"/>
        </w:numPr>
        <w:tabs>
          <w:tab w:val="center" w:pos="4153"/>
        </w:tabs>
        <w:bidi w:val="0"/>
        <w:ind w:firstLine="602" w:firstLineChars="200"/>
        <w:rPr>
          <w:rFonts w:hint="eastAsia" w:ascii="宋体" w:hAnsi="宋体" w:eastAsia="宋体" w:cs="宋体"/>
          <w:sz w:val="30"/>
          <w:szCs w:val="30"/>
          <w:lang w:val="en-US" w:eastAsia="zh-CN"/>
        </w:rPr>
      </w:pPr>
      <w:bookmarkStart w:id="48" w:name="_Toc8438"/>
      <w:r>
        <w:rPr>
          <w:rFonts w:hint="eastAsia" w:ascii="宋体" w:hAnsi="宋体" w:eastAsia="宋体" w:cs="宋体"/>
          <w:sz w:val="30"/>
          <w:szCs w:val="30"/>
          <w:lang w:val="en-US" w:eastAsia="zh-CN"/>
        </w:rPr>
        <w:t>偿债能力分析</w:t>
      </w:r>
      <w:bookmarkEnd w:id="48"/>
      <w:r>
        <w:rPr>
          <w:rFonts w:hint="eastAsia" w:ascii="宋体" w:hAnsi="宋体" w:eastAsia="宋体" w:cs="宋体"/>
          <w:sz w:val="30"/>
          <w:szCs w:val="30"/>
          <w:lang w:val="en-US" w:eastAsia="zh-CN"/>
        </w:rPr>
        <w:tab/>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88" w:firstLineChars="200"/>
        <w:textAlignment w:val="baseline"/>
        <w:rPr>
          <w:rFonts w:hint="eastAsia" w:ascii="宋体" w:hAnsi="宋体" w:eastAsia="宋体" w:cs="宋体"/>
          <w:snapToGrid w:val="0"/>
          <w:color w:val="000000" w:themeColor="text1"/>
          <w:spacing w:val="-3"/>
          <w:kern w:val="0"/>
          <w:sz w:val="30"/>
          <w:szCs w:val="30"/>
          <w:lang w:val="en-US" w:eastAsia="zh-CN" w:bidi="ar-SA"/>
          <w14:textFill>
            <w14:solidFill>
              <w14:schemeClr w14:val="tx1"/>
            </w14:solidFill>
          </w14:textFill>
        </w:rPr>
      </w:pPr>
      <w:r>
        <w:rPr>
          <w:rFonts w:hint="eastAsia" w:ascii="宋体" w:hAnsi="宋体" w:eastAsia="宋体" w:cs="宋体"/>
          <w:snapToGrid w:val="0"/>
          <w:color w:val="000000" w:themeColor="text1"/>
          <w:spacing w:val="-3"/>
          <w:kern w:val="0"/>
          <w:sz w:val="30"/>
          <w:szCs w:val="30"/>
          <w:lang w:val="en-US" w:eastAsia="zh-CN" w:bidi="ar-SA"/>
          <w14:textFill>
            <w14:solidFill>
              <w14:schemeClr w14:val="tx1"/>
            </w14:solidFill>
          </w14:textFill>
        </w:rPr>
        <w:t>管理人根据评估机构出具了《评估报告》，按照《企业破产法》规定的清偿顺序，在破产清算状态下，债务人的担保财产变现价款优先用于清偿有财产担保债权后，剩余部分以及非担保财产优先清偿破产费用、共益费用后按照职工债权、税收债权、普通债权的顺序依次清偿。在金鑫公司模拟破产清算状态下，假设金鑫公司全部资产能够按照评估机构评估确定的清算价值变现，金鑫公司的普通债权所能获得的清偿比例为0%-20%之间。</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588" w:firstLineChars="200"/>
        <w:textAlignment w:val="baseline"/>
        <w:rPr>
          <w:rFonts w:hint="default" w:ascii="宋体" w:hAnsi="宋体" w:eastAsia="宋体" w:cs="宋体"/>
          <w:snapToGrid w:val="0"/>
          <w:color w:val="000000" w:themeColor="text1"/>
          <w:spacing w:val="-3"/>
          <w:kern w:val="0"/>
          <w:sz w:val="30"/>
          <w:szCs w:val="30"/>
          <w:lang w:val="en-US" w:eastAsia="zh-CN" w:bidi="ar-SA"/>
          <w14:textFill>
            <w14:solidFill>
              <w14:schemeClr w14:val="tx1"/>
            </w14:solidFill>
          </w14:textFill>
        </w:rPr>
      </w:pPr>
      <w:r>
        <w:rPr>
          <w:rFonts w:hint="eastAsia" w:ascii="宋体" w:hAnsi="宋体" w:eastAsia="宋体" w:cs="宋体"/>
          <w:snapToGrid w:val="0"/>
          <w:color w:val="000000" w:themeColor="text1"/>
          <w:spacing w:val="-3"/>
          <w:kern w:val="0"/>
          <w:sz w:val="30"/>
          <w:szCs w:val="30"/>
          <w:lang w:val="en-US" w:eastAsia="zh-CN" w:bidi="ar-SA"/>
          <w14:textFill>
            <w14:solidFill>
              <w14:schemeClr w14:val="tx1"/>
            </w14:solidFill>
          </w14:textFill>
        </w:rPr>
        <w:t>根据破产清算的司法实际经验，破产清算程序耗时较长，资产处置难度较大，处置的时间预计较长，变现困难；基于前述原因，如金鑫公司最终破产清算，普通债权清偿率较低。</w:t>
      </w:r>
    </w:p>
    <w:p>
      <w:pPr>
        <w:pStyle w:val="3"/>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49" w:name="_Toc12192"/>
      <w:r>
        <w:rPr>
          <w:rFonts w:hint="eastAsia" w:ascii="宋体" w:hAnsi="宋体" w:eastAsia="宋体" w:cs="宋体"/>
          <w:sz w:val="30"/>
          <w:szCs w:val="30"/>
          <w:lang w:val="en-US" w:eastAsia="zh-CN"/>
        </w:rPr>
        <w:t>三、金鑫公司的负债情况</w:t>
      </w:r>
      <w:bookmarkEnd w:id="49"/>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0" w:name="_Toc3220"/>
      <w:r>
        <w:rPr>
          <w:rFonts w:hint="eastAsia" w:ascii="宋体" w:hAnsi="宋体" w:eastAsia="宋体" w:cs="宋体"/>
          <w:sz w:val="30"/>
          <w:szCs w:val="30"/>
          <w:lang w:val="en-US" w:eastAsia="zh-CN"/>
        </w:rPr>
        <w:t>（一）已申报债权情况</w:t>
      </w:r>
      <w:bookmarkEnd w:id="50"/>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92" w:firstLineChars="200"/>
        <w:textAlignment w:val="baseline"/>
        <w:rPr>
          <w:rFonts w:hint="default" w:ascii="宋体" w:hAnsi="宋体" w:eastAsia="宋体" w:cs="宋体"/>
          <w:b w:val="0"/>
          <w:bCs w:val="0"/>
          <w:spacing w:val="-2"/>
          <w:sz w:val="30"/>
          <w:szCs w:val="30"/>
          <w:lang w:val="en-US" w:eastAsia="zh-CN"/>
        </w:rPr>
      </w:pPr>
      <w:r>
        <w:rPr>
          <w:rFonts w:hint="eastAsia" w:ascii="宋体" w:hAnsi="宋体" w:eastAsia="宋体" w:cs="宋体"/>
          <w:b w:val="0"/>
          <w:bCs w:val="0"/>
          <w:spacing w:val="-2"/>
          <w:sz w:val="30"/>
          <w:szCs w:val="30"/>
          <w:lang w:val="en-US" w:eastAsia="zh-CN"/>
        </w:rPr>
        <w:t>1、债权申报及审查情况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color w:val="000000" w:themeColor="text1"/>
          <w:spacing w:val="-3"/>
          <w:sz w:val="30"/>
          <w:szCs w:val="30"/>
          <w:lang w:val="en-US"/>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截止第一次债权人会议</w:t>
      </w:r>
      <w:r>
        <w:rPr>
          <w:rFonts w:hint="eastAsia" w:ascii="宋体" w:hAnsi="宋体" w:eastAsia="宋体" w:cs="宋体"/>
          <w:color w:val="000000" w:themeColor="text1"/>
          <w:spacing w:val="-3"/>
          <w:sz w:val="30"/>
          <w:szCs w:val="30"/>
          <w14:textFill>
            <w14:solidFill>
              <w14:schemeClr w14:val="tx1"/>
            </w14:solidFill>
          </w14:textFill>
        </w:rPr>
        <w:t>，管理人共接</w:t>
      </w:r>
      <w:r>
        <w:rPr>
          <w:rFonts w:hint="eastAsia" w:ascii="宋体" w:hAnsi="宋体" w:eastAsia="宋体" w:cs="宋体"/>
          <w:color w:val="000000" w:themeColor="text1"/>
          <w:spacing w:val="-3"/>
          <w:sz w:val="30"/>
          <w:szCs w:val="30"/>
          <w:lang w:val="en-US" w:eastAsia="zh-CN"/>
          <w14:textFill>
            <w14:solidFill>
              <w14:schemeClr w14:val="tx1"/>
            </w14:solidFill>
          </w14:textFill>
        </w:rPr>
        <w:t>收</w:t>
      </w:r>
      <w:r>
        <w:rPr>
          <w:rFonts w:hint="eastAsia" w:ascii="宋体" w:hAnsi="宋体" w:eastAsia="宋体" w:cs="宋体"/>
          <w:color w:val="000000" w:themeColor="text1"/>
          <w:spacing w:val="-3"/>
          <w:sz w:val="30"/>
          <w:szCs w:val="30"/>
          <w14:textFill>
            <w14:solidFill>
              <w14:schemeClr w14:val="tx1"/>
            </w14:solidFill>
          </w14:textFill>
        </w:rPr>
        <w:t>38家债权人的债权申报，申报债权金额合计人民币1368</w:t>
      </w:r>
      <w:r>
        <w:rPr>
          <w:rFonts w:hint="eastAsia" w:ascii="宋体" w:hAnsi="宋体" w:eastAsia="宋体" w:cs="宋体"/>
          <w:color w:val="000000" w:themeColor="text1"/>
          <w:spacing w:val="-3"/>
          <w:sz w:val="30"/>
          <w:szCs w:val="30"/>
          <w:lang w:val="en-US" w:eastAsia="zh-CN"/>
          <w14:textFill>
            <w14:solidFill>
              <w14:schemeClr w14:val="tx1"/>
            </w14:solidFill>
          </w14:textFill>
        </w:rPr>
        <w:t>69180.93</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w:t>
      </w:r>
      <w:r>
        <w:rPr>
          <w:rFonts w:hint="eastAsia" w:ascii="宋体" w:hAnsi="宋体" w:eastAsia="宋体" w:cs="宋体"/>
          <w:color w:val="000000" w:themeColor="text1"/>
          <w:spacing w:val="-3"/>
          <w:sz w:val="30"/>
          <w:szCs w:val="30"/>
          <w:lang w:val="en-US" w:eastAsia="zh-CN"/>
          <w14:textFill>
            <w14:solidFill>
              <w14:schemeClr w14:val="tx1"/>
            </w14:solidFill>
          </w14:textFill>
        </w:rPr>
        <w:t>其中：</w:t>
      </w:r>
      <w:r>
        <w:rPr>
          <w:rFonts w:hint="eastAsia" w:ascii="宋体" w:hAnsi="宋体" w:eastAsia="宋体" w:cs="宋体"/>
          <w:color w:val="000000" w:themeColor="text1"/>
          <w:spacing w:val="-3"/>
          <w:sz w:val="30"/>
          <w:szCs w:val="30"/>
          <w14:textFill>
            <w14:solidFill>
              <w14:schemeClr w14:val="tx1"/>
            </w14:solidFill>
          </w14:textFill>
        </w:rPr>
        <w:t>有财产担保债权</w:t>
      </w:r>
      <w:r>
        <w:rPr>
          <w:rFonts w:hint="eastAsia" w:ascii="宋体" w:hAnsi="宋体" w:eastAsia="宋体" w:cs="宋体"/>
          <w:color w:val="000000" w:themeColor="text1"/>
          <w:spacing w:val="-3"/>
          <w:sz w:val="30"/>
          <w:szCs w:val="30"/>
          <w:lang w:eastAsia="zh-CN"/>
          <w14:textFill>
            <w14:solidFill>
              <w14:schemeClr w14:val="tx1"/>
            </w14:solidFill>
          </w14:textFill>
        </w:rPr>
        <w:t>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6400000</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不予确认债权金额为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22096874.15元，普通债权金额为47291587.68</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w:t>
      </w:r>
      <w:r>
        <w:rPr>
          <w:rFonts w:hint="eastAsia" w:ascii="宋体" w:hAnsi="宋体" w:eastAsia="宋体" w:cs="宋体"/>
          <w:b w:val="0"/>
          <w:bCs w:val="0"/>
          <w:color w:val="000000" w:themeColor="text1"/>
          <w:spacing w:val="-3"/>
          <w:sz w:val="30"/>
          <w:szCs w:val="30"/>
          <w:lang w:eastAsia="zh-CN"/>
          <w14:textFill>
            <w14:solidFill>
              <w14:schemeClr w14:val="tx1"/>
            </w14:solidFill>
          </w14:textFill>
        </w:rPr>
        <w:t>税收债权金额为</w:t>
      </w: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3493156.43元，</w:t>
      </w:r>
      <w:r>
        <w:rPr>
          <w:rFonts w:hint="eastAsia" w:ascii="宋体" w:hAnsi="宋体" w:eastAsia="宋体" w:cs="宋体"/>
          <w:color w:val="000000" w:themeColor="text1"/>
          <w:spacing w:val="-3"/>
          <w:sz w:val="30"/>
          <w:szCs w:val="30"/>
          <w:lang w:val="en-US" w:eastAsia="zh-CN"/>
          <w14:textFill>
            <w14:solidFill>
              <w14:schemeClr w14:val="tx1"/>
            </w14:solidFill>
          </w14:textFill>
        </w:rPr>
        <w:t>暂缓债权金额为57587562.67元。经陇南中院裁定确认：有财产担保债权金额为64000000元，普通债权金额为47291587.68</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，税收债权金额为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3493156.43元。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截止</w:t>
      </w:r>
      <w:r>
        <w:rPr>
          <w:rFonts w:hint="eastAsia" w:ascii="宋体" w:hAnsi="宋体" w:eastAsia="宋体" w:cs="宋体"/>
          <w:color w:val="000000" w:themeColor="text1"/>
          <w:spacing w:val="-3"/>
          <w:sz w:val="30"/>
          <w:szCs w:val="30"/>
          <w:lang w:eastAsia="zh-CN"/>
          <w14:textFill>
            <w14:solidFill>
              <w14:schemeClr w14:val="tx1"/>
            </w14:solidFill>
          </w14:textFill>
        </w:rPr>
        <w:t>第二次债权人会议</w:t>
      </w:r>
      <w:r>
        <w:rPr>
          <w:rFonts w:hint="eastAsia" w:ascii="宋体" w:hAnsi="宋体" w:eastAsia="宋体" w:cs="宋体"/>
          <w:color w:val="000000" w:themeColor="text1"/>
          <w:spacing w:val="-3"/>
          <w:sz w:val="30"/>
          <w:szCs w:val="30"/>
          <w:lang w:val="en-US" w:eastAsia="zh-CN"/>
          <w14:textFill>
            <w14:solidFill>
              <w14:schemeClr w14:val="tx1"/>
            </w14:solidFill>
          </w14:textFill>
        </w:rPr>
        <w:t>，</w:t>
      </w:r>
      <w:r>
        <w:rPr>
          <w:rFonts w:hint="eastAsia" w:ascii="新宋体" w:hAnsi="新宋体" w:eastAsia="新宋体" w:cs="新宋体"/>
          <w:color w:val="000000" w:themeColor="text1"/>
          <w:spacing w:val="-3"/>
          <w:sz w:val="30"/>
          <w:szCs w:val="30"/>
          <w14:textFill>
            <w14:solidFill>
              <w14:schemeClr w14:val="tx1"/>
            </w14:solidFill>
          </w14:textFill>
        </w:rPr>
        <w:t>管理人</w:t>
      </w:r>
      <w:r>
        <w:rPr>
          <w:rFonts w:hint="eastAsia" w:ascii="新宋体" w:hAnsi="新宋体" w:eastAsia="新宋体" w:cs="新宋体"/>
          <w:color w:val="000000" w:themeColor="text1"/>
          <w:spacing w:val="-3"/>
          <w:sz w:val="30"/>
          <w:szCs w:val="30"/>
          <w:lang w:eastAsia="zh-CN"/>
          <w14:textFill>
            <w14:solidFill>
              <w14:schemeClr w14:val="tx1"/>
            </w14:solidFill>
          </w14:textFill>
        </w:rPr>
        <w:t>共接收</w:t>
      </w:r>
      <w:r>
        <w:rPr>
          <w:rFonts w:hint="eastAsia" w:ascii="新宋体" w:hAnsi="新宋体" w:eastAsia="新宋体" w:cs="新宋体"/>
          <w:color w:val="000000" w:themeColor="text1"/>
          <w:spacing w:val="-3"/>
          <w:sz w:val="30"/>
          <w:szCs w:val="30"/>
          <w:lang w:val="en-US" w:eastAsia="zh-CN"/>
          <w14:textFill>
            <w14:solidFill>
              <w14:schemeClr w14:val="tx1"/>
            </w14:solidFill>
          </w14:textFill>
        </w:rPr>
        <w:t>4</w:t>
      </w:r>
      <w:r>
        <w:rPr>
          <w:rFonts w:hint="eastAsia" w:ascii="新宋体" w:hAnsi="新宋体" w:eastAsia="新宋体" w:cs="新宋体"/>
          <w:color w:val="000000" w:themeColor="text1"/>
          <w:spacing w:val="-3"/>
          <w:sz w:val="30"/>
          <w:szCs w:val="30"/>
          <w14:textFill>
            <w14:solidFill>
              <w14:schemeClr w14:val="tx1"/>
            </w14:solidFill>
          </w14:textFill>
        </w:rPr>
        <w:t>家债权人</w:t>
      </w:r>
      <w:r>
        <w:rPr>
          <w:rFonts w:hint="eastAsia" w:ascii="新宋体" w:hAnsi="新宋体" w:eastAsia="新宋体" w:cs="新宋体"/>
          <w:color w:val="000000" w:themeColor="text1"/>
          <w:spacing w:val="-3"/>
          <w:sz w:val="30"/>
          <w:szCs w:val="30"/>
          <w:lang w:eastAsia="zh-CN"/>
          <w14:textFill>
            <w14:solidFill>
              <w14:schemeClr w14:val="tx1"/>
            </w14:solidFill>
          </w14:textFill>
        </w:rPr>
        <w:t>补充申报</w:t>
      </w:r>
      <w:r>
        <w:rPr>
          <w:rFonts w:hint="eastAsia" w:ascii="新宋体" w:hAnsi="新宋体" w:eastAsia="新宋体" w:cs="新宋体"/>
          <w:color w:val="000000" w:themeColor="text1"/>
          <w:spacing w:val="-3"/>
          <w:sz w:val="30"/>
          <w:szCs w:val="30"/>
          <w14:textFill>
            <w14:solidFill>
              <w14:schemeClr w14:val="tx1"/>
            </w14:solidFill>
          </w14:textFill>
        </w:rPr>
        <w:t>的债权</w:t>
      </w:r>
      <w:r>
        <w:rPr>
          <w:rFonts w:hint="eastAsia" w:ascii="新宋体" w:hAnsi="新宋体" w:eastAsia="新宋体" w:cs="新宋体"/>
          <w:color w:val="000000" w:themeColor="text1"/>
          <w:spacing w:val="-3"/>
          <w:sz w:val="30"/>
          <w:szCs w:val="30"/>
          <w:lang w:eastAsia="zh-CN"/>
          <w14:textFill>
            <w14:solidFill>
              <w14:schemeClr w14:val="tx1"/>
            </w14:solidFill>
          </w14:textFill>
        </w:rPr>
        <w:t>，</w:t>
      </w:r>
      <w:r>
        <w:rPr>
          <w:rFonts w:hint="eastAsia" w:ascii="新宋体" w:hAnsi="新宋体" w:eastAsia="新宋体" w:cs="新宋体"/>
          <w:color w:val="000000" w:themeColor="text1"/>
          <w:spacing w:val="-3"/>
          <w:sz w:val="30"/>
          <w:szCs w:val="30"/>
          <w14:textFill>
            <w14:solidFill>
              <w14:schemeClr w14:val="tx1"/>
            </w14:solidFill>
          </w14:textFill>
        </w:rPr>
        <w:t>申报债权金额合计人民币</w:t>
      </w:r>
      <w:r>
        <w:rPr>
          <w:rFonts w:hint="eastAsia" w:ascii="新宋体" w:hAnsi="新宋体" w:eastAsia="新宋体" w:cs="新宋体"/>
          <w:color w:val="000000" w:themeColor="text1"/>
          <w:spacing w:val="-3"/>
          <w:sz w:val="30"/>
          <w:szCs w:val="30"/>
          <w:lang w:val="en-US" w:eastAsia="zh-CN"/>
          <w14:textFill>
            <w14:solidFill>
              <w14:schemeClr w14:val="tx1"/>
            </w14:solidFill>
          </w14:textFill>
        </w:rPr>
        <w:t>400829.04</w:t>
      </w:r>
      <w:r>
        <w:rPr>
          <w:rFonts w:hint="eastAsia" w:ascii="新宋体" w:hAnsi="新宋体" w:eastAsia="新宋体" w:cs="新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val="en-US" w:eastAsia="zh-CN"/>
          <w14:textFill>
            <w14:solidFill>
              <w14:schemeClr w14:val="tx1"/>
            </w14:solidFill>
          </w14:textFill>
        </w:rPr>
        <w:t>,其中：</w:t>
      </w:r>
      <w:r>
        <w:rPr>
          <w:rFonts w:hint="eastAsia" w:ascii="宋体" w:hAnsi="宋体" w:eastAsia="宋体" w:cs="宋体"/>
          <w:color w:val="000000" w:themeColor="text1"/>
          <w:spacing w:val="-3"/>
          <w:sz w:val="30"/>
          <w:szCs w:val="30"/>
          <w14:textFill>
            <w14:solidFill>
              <w14:schemeClr w14:val="tx1"/>
            </w14:solidFill>
          </w14:textFill>
        </w:rPr>
        <w:t>有财产担保债权</w:t>
      </w:r>
      <w:r>
        <w:rPr>
          <w:rFonts w:hint="eastAsia" w:ascii="宋体" w:hAnsi="宋体" w:eastAsia="宋体" w:cs="宋体"/>
          <w:color w:val="000000" w:themeColor="text1"/>
          <w:spacing w:val="-3"/>
          <w:sz w:val="30"/>
          <w:szCs w:val="30"/>
          <w:lang w:eastAsia="zh-CN"/>
          <w14:textFill>
            <w14:solidFill>
              <w14:schemeClr w14:val="tx1"/>
            </w14:solidFill>
          </w14:textFill>
        </w:rPr>
        <w:t>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0</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不予确认债权金额为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48543.04元，普通债权金额为352286</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，税收债权金额为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0元，暂缓债权金额为0元。经陇南中院裁定确认：普通债权金额为352286</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val="en-US" w:eastAsia="zh-CN"/>
          <w14:textFill>
            <w14:solidFill>
              <w14:schemeClr w14:val="tx1"/>
            </w14:solidFill>
          </w14:textFill>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截止本重整计划草案第一次提交债权人会议之日，管理人共</w:t>
      </w:r>
      <w:r>
        <w:rPr>
          <w:rFonts w:hint="eastAsia" w:ascii="新宋体" w:hAnsi="新宋体" w:eastAsia="新宋体" w:cs="新宋体"/>
          <w:color w:val="000000" w:themeColor="text1"/>
          <w:spacing w:val="-3"/>
          <w:sz w:val="30"/>
          <w:szCs w:val="30"/>
          <w:lang w:val="en-US" w:eastAsia="zh-CN"/>
          <w14:textFill>
            <w14:solidFill>
              <w14:schemeClr w14:val="tx1"/>
            </w14:solidFill>
          </w14:textFill>
        </w:rPr>
        <w:t>接收7家债权人补充申报的债权，</w:t>
      </w:r>
      <w:r>
        <w:rPr>
          <w:rFonts w:hint="eastAsia" w:ascii="新宋体" w:hAnsi="新宋体" w:eastAsia="新宋体" w:cs="新宋体"/>
          <w:b w:val="0"/>
          <w:bCs w:val="0"/>
          <w:color w:val="000000" w:themeColor="text1"/>
          <w:spacing w:val="-3"/>
          <w:sz w:val="30"/>
          <w:szCs w:val="30"/>
          <w14:textFill>
            <w14:solidFill>
              <w14:schemeClr w14:val="tx1"/>
            </w14:solidFill>
          </w14:textFill>
        </w:rPr>
        <w:t>申报债权金额合计人民币</w:t>
      </w:r>
      <w:r>
        <w:rPr>
          <w:rFonts w:hint="eastAsia" w:ascii="新宋体" w:hAnsi="新宋体" w:eastAsia="新宋体" w:cs="新宋体"/>
          <w:b w:val="0"/>
          <w:bCs w:val="0"/>
          <w:color w:val="000000" w:themeColor="text1"/>
          <w:spacing w:val="-3"/>
          <w:sz w:val="30"/>
          <w:szCs w:val="30"/>
          <w:lang w:val="en-US" w:eastAsia="zh-CN"/>
          <w14:textFill>
            <w14:solidFill>
              <w14:schemeClr w14:val="tx1"/>
            </w14:solidFill>
          </w14:textFill>
        </w:rPr>
        <w:t>780440</w:t>
      </w:r>
      <w:r>
        <w:rPr>
          <w:rFonts w:hint="eastAsia" w:ascii="新宋体" w:hAnsi="新宋体" w:eastAsia="新宋体" w:cs="新宋体"/>
          <w:b w:val="0"/>
          <w:bCs w:val="0"/>
          <w:color w:val="000000" w:themeColor="text1"/>
          <w:spacing w:val="-3"/>
          <w:sz w:val="30"/>
          <w:szCs w:val="30"/>
          <w14:textFill>
            <w14:solidFill>
              <w14:schemeClr w14:val="tx1"/>
            </w14:solidFill>
          </w14:textFill>
        </w:rPr>
        <w:t>元</w:t>
      </w:r>
      <w:r>
        <w:rPr>
          <w:rFonts w:hint="eastAsia" w:ascii="新宋体" w:hAnsi="新宋体" w:eastAsia="新宋体" w:cs="新宋体"/>
          <w:color w:val="000000" w:themeColor="text1"/>
          <w:spacing w:val="-3"/>
          <w:sz w:val="30"/>
          <w:szCs w:val="30"/>
          <w:lang w:val="en-US" w:eastAsia="zh-CN"/>
          <w14:textFill>
            <w14:solidFill>
              <w14:schemeClr w14:val="tx1"/>
            </w14:solidFill>
          </w14:textFill>
        </w:rPr>
        <w:t>,</w:t>
      </w:r>
      <w:r>
        <w:rPr>
          <w:rFonts w:hint="eastAsia" w:ascii="宋体" w:hAnsi="宋体" w:eastAsia="宋体" w:cs="宋体"/>
          <w:color w:val="000000" w:themeColor="text1"/>
          <w:sz w:val="30"/>
          <w:szCs w:val="30"/>
          <w:lang w:val="en-US" w:eastAsia="zh-CN"/>
          <w14:textFill>
            <w14:solidFill>
              <w14:schemeClr w14:val="tx1"/>
            </w14:solidFill>
          </w14:textFill>
        </w:rPr>
        <w:t>其中：</w:t>
      </w:r>
      <w:r>
        <w:rPr>
          <w:rFonts w:hint="eastAsia" w:ascii="宋体" w:hAnsi="宋体" w:eastAsia="宋体" w:cs="宋体"/>
          <w:color w:val="000000" w:themeColor="text1"/>
          <w:spacing w:val="-3"/>
          <w:sz w:val="30"/>
          <w:szCs w:val="30"/>
          <w14:textFill>
            <w14:solidFill>
              <w14:schemeClr w14:val="tx1"/>
            </w14:solidFill>
          </w14:textFill>
        </w:rPr>
        <w:t>有财产担保债权</w:t>
      </w:r>
      <w:r>
        <w:rPr>
          <w:rFonts w:hint="eastAsia" w:ascii="宋体" w:hAnsi="宋体" w:eastAsia="宋体" w:cs="宋体"/>
          <w:color w:val="000000" w:themeColor="text1"/>
          <w:spacing w:val="-3"/>
          <w:sz w:val="30"/>
          <w:szCs w:val="30"/>
          <w:lang w:eastAsia="zh-CN"/>
          <w14:textFill>
            <w14:solidFill>
              <w14:schemeClr w14:val="tx1"/>
            </w14:solidFill>
          </w14:textFill>
        </w:rPr>
        <w:t>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0</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不予确认债权金额为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17500元，普通债权金额为762940</w:t>
      </w:r>
      <w:r>
        <w:rPr>
          <w:rFonts w:hint="eastAsia" w:ascii="宋体" w:hAnsi="宋体" w:eastAsia="宋体" w:cs="宋体"/>
          <w:color w:val="000000" w:themeColor="text1"/>
          <w:spacing w:val="-3"/>
          <w:sz w:val="30"/>
          <w:szCs w:val="30"/>
          <w14:textFill>
            <w14:solidFill>
              <w14:schemeClr w14:val="tx1"/>
            </w14:solidFill>
          </w14:textFill>
        </w:rPr>
        <w:t>元</w:t>
      </w:r>
      <w:r>
        <w:rPr>
          <w:rFonts w:hint="eastAsia" w:ascii="宋体" w:hAnsi="宋体" w:eastAsia="宋体" w:cs="宋体"/>
          <w:color w:val="000000" w:themeColor="text1"/>
          <w:spacing w:val="-3"/>
          <w:sz w:val="30"/>
          <w:szCs w:val="30"/>
          <w:lang w:eastAsia="zh-CN"/>
          <w14:textFill>
            <w14:solidFill>
              <w14:schemeClr w14:val="tx1"/>
            </w14:solidFill>
          </w14:textFill>
        </w:rPr>
        <w:t>，税收债权金额为</w:t>
      </w:r>
      <w:r>
        <w:rPr>
          <w:rFonts w:hint="eastAsia" w:ascii="宋体" w:hAnsi="宋体" w:eastAsia="宋体" w:cs="宋体"/>
          <w:color w:val="000000" w:themeColor="text1"/>
          <w:spacing w:val="-3"/>
          <w:sz w:val="30"/>
          <w:szCs w:val="30"/>
          <w:lang w:val="en-US" w:eastAsia="zh-CN"/>
          <w14:textFill>
            <w14:solidFill>
              <w14:schemeClr w14:val="tx1"/>
            </w14:solidFill>
          </w14:textFill>
        </w:rPr>
        <w:t>0元，暂缓债权金额为0元。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color w:val="000000" w:themeColor="text1"/>
          <w:spacing w:val="-3"/>
          <w:sz w:val="30"/>
          <w:szCs w:val="30"/>
          <w:lang w:val="en-US"/>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截止本重整计划草案第一次提交债权人会议之日，管理人</w:t>
      </w:r>
      <w:r>
        <w:rPr>
          <w:rFonts w:hint="eastAsia" w:ascii="新宋体" w:hAnsi="新宋体" w:eastAsia="新宋体" w:cs="新宋体"/>
          <w:color w:val="000000" w:themeColor="text1"/>
          <w:spacing w:val="-3"/>
          <w:sz w:val="30"/>
          <w:szCs w:val="30"/>
          <w:lang w:val="en-US" w:eastAsia="zh-CN"/>
          <w14:textFill>
            <w14:solidFill>
              <w14:schemeClr w14:val="tx1"/>
            </w14:solidFill>
          </w14:textFill>
        </w:rPr>
        <w:t>对2家暂缓债权进行了确认，申报债权金额合计人民币4787630</w:t>
      </w:r>
      <w:r>
        <w:rPr>
          <w:rFonts w:hint="eastAsia" w:ascii="宋体" w:hAnsi="宋体" w:eastAsia="宋体" w:cs="宋体"/>
          <w:color w:val="000000" w:themeColor="text1"/>
          <w:spacing w:val="-3"/>
          <w:sz w:val="30"/>
          <w:szCs w:val="30"/>
          <w:lang w:val="en-US" w:eastAsia="zh-CN"/>
          <w14:textFill>
            <w14:solidFill>
              <w14:schemeClr w14:val="tx1"/>
            </w14:solidFill>
          </w14:textFill>
        </w:rPr>
        <w:t>元，其中：有财产担保债权0元，不予确认债权金额为291096.91元，普通债权金额为4496533.09元，税收债权金额为0元。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2、债权审查结果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截止本重整计划草案第一次提交债权人会议之日，管理人共接收49家债权人申报的债权，申报债权金额合计人民币为138050449.97元。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color w:val="000000" w:themeColor="text1"/>
          <w:spacing w:val="-3"/>
          <w:sz w:val="30"/>
          <w:szCs w:val="30"/>
          <w:lang w:val="en-US"/>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审查结果为：有财产担保债权金额为6400000元；税收债权金额为3493156.43元；不予确认债权金额为34948672.10元；普通债权金额为：52903346.77元；暂缓债权金额为40305274.67元。</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1" w:name="_Toc13644"/>
      <w:r>
        <w:rPr>
          <w:rFonts w:hint="eastAsia" w:ascii="宋体" w:hAnsi="宋体" w:eastAsia="宋体" w:cs="宋体"/>
          <w:sz w:val="30"/>
          <w:szCs w:val="30"/>
          <w:lang w:val="en-US" w:eastAsia="zh-CN"/>
        </w:rPr>
        <w:t>（二）职工债权调查情况</w:t>
      </w:r>
      <w:bookmarkEnd w:id="51"/>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据管理人调查，金鑫公司欠付职工工资债权共计182013.73元，管理人己于2023年3月11日将职工债权列出清单并向全体职工进行了公示，公示期满无职工提出异议。</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2" w:name="_Toc11543"/>
      <w:r>
        <w:rPr>
          <w:rFonts w:hint="eastAsia" w:ascii="宋体" w:hAnsi="宋体" w:eastAsia="宋体" w:cs="宋体"/>
          <w:sz w:val="30"/>
          <w:szCs w:val="30"/>
          <w:lang w:val="en-US" w:eastAsia="zh-CN"/>
        </w:rPr>
        <w:t>（三）未申报债权情况</w:t>
      </w:r>
      <w:bookmarkEnd w:id="52"/>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auto"/>
          <w:spacing w:val="-3"/>
          <w:sz w:val="30"/>
          <w:szCs w:val="30"/>
          <w:shd w:val="clear" w:color="auto" w:fill="auto"/>
          <w:lang w:val="en-US" w:eastAsia="zh-CN"/>
        </w:rPr>
      </w:pPr>
      <w:r>
        <w:rPr>
          <w:rFonts w:hint="eastAsia" w:ascii="宋体" w:hAnsi="宋体" w:eastAsia="宋体" w:cs="宋体"/>
          <w:color w:val="auto"/>
          <w:spacing w:val="-3"/>
          <w:sz w:val="30"/>
          <w:szCs w:val="30"/>
          <w:shd w:val="clear" w:color="auto" w:fill="auto"/>
          <w:lang w:val="en-US" w:eastAsia="zh-CN"/>
        </w:rPr>
        <w:t>根据债权的申报情況和审计机构的审计情况，金鑫公司账面有4家债权人（四川立成矿业评估咨询有限公司、海通证券、浙江双林机械股份有限公司、陇南辉润酒店有限公司）未向管理人申报债权，共计金额985500元。</w:t>
      </w:r>
    </w:p>
    <w:p>
      <w:pPr>
        <w:pStyle w:val="4"/>
        <w:pageBreakBefore w:val="0"/>
        <w:widowControl/>
        <w:numPr>
          <w:ilvl w:val="0"/>
          <w:numId w:val="0"/>
        </w:numPr>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3" w:name="_Toc7631"/>
      <w:r>
        <w:rPr>
          <w:rFonts w:hint="eastAsia" w:ascii="宋体" w:hAnsi="宋体" w:eastAsia="宋体" w:cs="宋体"/>
          <w:b/>
          <w:snapToGrid w:val="0"/>
          <w:color w:val="000000"/>
          <w:kern w:val="0"/>
          <w:sz w:val="30"/>
          <w:szCs w:val="30"/>
          <w:lang w:val="en-US" w:eastAsia="zh-CN" w:bidi="ar-SA"/>
        </w:rPr>
        <w:t>（四）</w:t>
      </w:r>
      <w:r>
        <w:rPr>
          <w:rFonts w:hint="eastAsia" w:ascii="宋体" w:hAnsi="宋体" w:eastAsia="宋体" w:cs="宋体"/>
          <w:sz w:val="30"/>
          <w:szCs w:val="30"/>
          <w:lang w:val="en-US" w:eastAsia="zh-CN"/>
        </w:rPr>
        <w:t>重整费用与共益债务</w:t>
      </w:r>
      <w:bookmarkEnd w:id="53"/>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90" w:firstLineChars="200"/>
        <w:textAlignment w:val="baseline"/>
        <w:rPr>
          <w:rFonts w:hint="eastAsia" w:ascii="宋体" w:hAnsi="宋体" w:eastAsia="宋体" w:cs="宋体"/>
          <w:b/>
          <w:bCs/>
          <w:color w:val="000000" w:themeColor="text1"/>
          <w:spacing w:val="-3"/>
          <w:sz w:val="30"/>
          <w:szCs w:val="30"/>
          <w:lang w:val="en-US" w:eastAsia="zh-CN"/>
          <w14:textFill>
            <w14:solidFill>
              <w14:schemeClr w14:val="tx1"/>
            </w14:solidFill>
          </w14:textFill>
        </w:rPr>
      </w:pPr>
      <w:r>
        <w:rPr>
          <w:rFonts w:hint="eastAsia" w:ascii="宋体" w:hAnsi="宋体" w:eastAsia="宋体" w:cs="宋体"/>
          <w:b/>
          <w:bCs/>
          <w:color w:val="000000" w:themeColor="text1"/>
          <w:spacing w:val="-3"/>
          <w:sz w:val="30"/>
          <w:szCs w:val="30"/>
          <w:lang w:val="en-US" w:eastAsia="zh-CN"/>
          <w14:textFill>
            <w14:solidFill>
              <w14:schemeClr w14:val="tx1"/>
            </w14:solidFill>
          </w14:textFill>
        </w:rPr>
        <w:t>该项费用有以下几笔：</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78"/>
        <w:textAlignment w:val="baseline"/>
        <w:rPr>
          <w:rFonts w:hint="default"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1、案件受理费由陇南中院依据最高人民法院《诉讼费用交纳办法》有关规定确定。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2、管理人报酬按照最高人民法院《关于审理企业破产案件确定管理人报酬的规定》由陇南中院确定。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3、审计和评估费用46万元：系重整期间管理人聘请审计机构、评估机构的费用，其中，</w:t>
      </w:r>
      <w:r>
        <w:rPr>
          <w:rFonts w:hint="eastAsia" w:ascii="新宋体" w:hAnsi="新宋体" w:eastAsia="新宋体" w:cs="新宋体"/>
          <w:spacing w:val="-5"/>
          <w:sz w:val="30"/>
          <w:szCs w:val="30"/>
          <w:lang w:eastAsia="zh-CN"/>
        </w:rPr>
        <w:t>甘肃泰华会计师事务所</w:t>
      </w:r>
      <w:r>
        <w:rPr>
          <w:rFonts w:hint="eastAsia" w:ascii="新宋体" w:hAnsi="新宋体" w:eastAsia="新宋体" w:cs="新宋体"/>
          <w:spacing w:val="-4"/>
          <w:sz w:val="30"/>
          <w:szCs w:val="30"/>
        </w:rPr>
        <w:t>有限公司审计费用</w:t>
      </w:r>
      <w:r>
        <w:rPr>
          <w:rFonts w:hint="eastAsia" w:ascii="新宋体" w:hAnsi="新宋体" w:eastAsia="新宋体" w:cs="新宋体"/>
          <w:spacing w:val="-4"/>
          <w:sz w:val="30"/>
          <w:szCs w:val="30"/>
          <w:lang w:val="en-US" w:eastAsia="zh-CN"/>
        </w:rPr>
        <w:t>24万</w:t>
      </w:r>
      <w:r>
        <w:rPr>
          <w:rFonts w:hint="eastAsia" w:ascii="新宋体" w:hAnsi="新宋体" w:eastAsia="新宋体" w:cs="新宋体"/>
          <w:spacing w:val="-5"/>
          <w:sz w:val="30"/>
          <w:szCs w:val="30"/>
        </w:rPr>
        <w:t>元</w:t>
      </w:r>
      <w:r>
        <w:rPr>
          <w:rFonts w:hint="eastAsia" w:ascii="新宋体" w:hAnsi="新宋体" w:eastAsia="新宋体" w:cs="新宋体"/>
          <w:spacing w:val="-5"/>
          <w:sz w:val="30"/>
          <w:szCs w:val="30"/>
          <w:lang w:eastAsia="zh-CN"/>
        </w:rPr>
        <w:t>，甘肃中勤资产土地房地产评估有限公司</w:t>
      </w:r>
      <w:r>
        <w:rPr>
          <w:rFonts w:hint="eastAsia" w:ascii="新宋体" w:hAnsi="新宋体" w:eastAsia="新宋体" w:cs="新宋体"/>
          <w:spacing w:val="-4"/>
          <w:sz w:val="30"/>
          <w:szCs w:val="30"/>
        </w:rPr>
        <w:t>评估费用</w:t>
      </w:r>
      <w:r>
        <w:rPr>
          <w:rFonts w:hint="eastAsia" w:ascii="新宋体" w:hAnsi="新宋体" w:eastAsia="新宋体" w:cs="新宋体"/>
          <w:spacing w:val="-4"/>
          <w:sz w:val="30"/>
          <w:szCs w:val="30"/>
          <w:lang w:val="en-US" w:eastAsia="zh-CN"/>
        </w:rPr>
        <w:t>22万</w:t>
      </w:r>
      <w:r>
        <w:rPr>
          <w:rFonts w:hint="eastAsia" w:ascii="新宋体" w:hAnsi="新宋体" w:eastAsia="新宋体" w:cs="新宋体"/>
          <w:spacing w:val="-4"/>
          <w:sz w:val="30"/>
          <w:szCs w:val="30"/>
        </w:rPr>
        <w:t>元</w:t>
      </w:r>
      <w:r>
        <w:rPr>
          <w:rFonts w:hint="eastAsia" w:ascii="新宋体" w:hAnsi="新宋体" w:eastAsia="新宋体" w:cs="新宋体"/>
          <w:spacing w:val="-4"/>
          <w:sz w:val="30"/>
          <w:szCs w:val="30"/>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4、共益债务：因继续履行重整受理前双方均未履行完毕的合同所须支付的相关费用，因继续营业而应支付的劳动报酬、社会保险费用以及由此产生的其他债务。</w:t>
      </w:r>
    </w:p>
    <w:p>
      <w:pPr>
        <w:pStyle w:val="3"/>
        <w:bidi w:val="0"/>
        <w:rPr>
          <w:rFonts w:hint="eastAsia" w:ascii="宋体" w:hAnsi="宋体" w:eastAsia="宋体" w:cs="宋体"/>
          <w:sz w:val="30"/>
          <w:szCs w:val="30"/>
          <w:lang w:val="en-US" w:eastAsia="zh-CN"/>
        </w:rPr>
      </w:pPr>
      <w:bookmarkStart w:id="54" w:name="_Toc31120"/>
      <w:r>
        <w:rPr>
          <w:rFonts w:hint="eastAsia" w:ascii="宋体" w:hAnsi="宋体" w:eastAsia="宋体" w:cs="宋体"/>
          <w:sz w:val="30"/>
          <w:szCs w:val="30"/>
          <w:lang w:val="en-US" w:eastAsia="zh-CN"/>
        </w:rPr>
        <w:t>四、债权分类及调整方案</w:t>
      </w:r>
      <w:bookmarkEnd w:id="54"/>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5" w:name="_Toc31234"/>
      <w:r>
        <w:rPr>
          <w:rFonts w:hint="eastAsia" w:ascii="宋体" w:hAnsi="宋体" w:eastAsia="宋体" w:cs="宋体"/>
          <w:sz w:val="30"/>
          <w:szCs w:val="30"/>
          <w:lang w:val="en-US" w:eastAsia="zh-CN"/>
        </w:rPr>
        <w:t>（一）债权分类方案</w:t>
      </w:r>
      <w:bookmarkEnd w:id="55"/>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截至本重整计划草案第一次提交债权人会议之日，根据《破产法》的相关规定和债权审查确认情况，金鑫公司债权分为职工债权、有财产担保债权、税收债权和普通债权四类，具体情况如下：</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1、职工债权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经管理人调查，债权金额总计182013.73元。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2、有财产担保债权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经管理人审查确认，债权金额总计6400000元。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3、税收债权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b/>
          <w:bCs/>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经管理人审查确认，债权金额总计3493156.43元。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因本重整计划草案对职工债权所涉权益不作调整，相关债权人权益不受影响，根据《最高人民法院关于适用&lt;中华人民共和国企业破产法&gt;若干问题的规定（三）》第十一条之规定，职工债权人将不参加重整计划草案的表决。故债权人会议由有财产担保债权组、普通债权组、税收债权组对重整计划草案进行分组表决。</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4、普通债权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经管理人审查确认，债权金额总计52903346.77元。</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6" w:name="_Toc9529"/>
      <w:r>
        <w:rPr>
          <w:rFonts w:hint="eastAsia" w:ascii="宋体" w:hAnsi="宋体" w:eastAsia="宋体" w:cs="宋体"/>
          <w:sz w:val="30"/>
          <w:szCs w:val="30"/>
          <w:lang w:val="en-US" w:eastAsia="zh-CN"/>
        </w:rPr>
        <w:t>(二）债权调整方案</w:t>
      </w:r>
      <w:bookmarkEnd w:id="56"/>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1、有财产担保债权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FF0000"/>
          <w:spacing w:val="-3"/>
          <w:sz w:val="30"/>
          <w:szCs w:val="30"/>
          <w:lang w:val="en-US" w:eastAsia="zh-CN"/>
        </w:rPr>
      </w:pPr>
      <w:r>
        <w:rPr>
          <w:rFonts w:hint="eastAsia" w:ascii="宋体" w:hAnsi="宋体" w:eastAsia="宋体" w:cs="宋体"/>
          <w:color w:val="000000" w:themeColor="text1"/>
          <w:spacing w:val="-3"/>
          <w:sz w:val="30"/>
          <w:szCs w:val="30"/>
          <w:lang w:val="en-US" w:eastAsia="zh-CN"/>
          <w14:textFill>
            <w14:solidFill>
              <w14:schemeClr w14:val="tx1"/>
            </w14:solidFill>
          </w14:textFill>
        </w:rPr>
        <w:t>有财产担保债权在对应担保财产市场评估价值范围内优先获得清偿，超出担保财产市场评估价值范围的部分将作为普通债权，按照普通债权的受偿方案获得清偿。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2、职工债权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职工债权不作调整，以现金方式一次性全额清偿。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jc w:val="both"/>
        <w:textAlignment w:val="baseline"/>
        <w:rPr>
          <w:rFonts w:hint="eastAsia" w:ascii="宋体" w:hAnsi="宋体" w:eastAsia="宋体" w:cs="宋体"/>
          <w:b w:val="0"/>
          <w:bCs w:val="0"/>
          <w:color w:val="000000" w:themeColor="text1"/>
          <w:spacing w:val="-3"/>
          <w:sz w:val="30"/>
          <w:szCs w:val="30"/>
          <w:shd w:val="clear" w:color="auto" w:fill="auto"/>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shd w:val="clear" w:color="auto" w:fill="auto"/>
          <w:lang w:val="en-US" w:eastAsia="zh-CN"/>
          <w14:textFill>
            <w14:solidFill>
              <w14:schemeClr w14:val="tx1"/>
            </w14:solidFill>
          </w14:textFill>
        </w:rPr>
        <w:t>3、税收债权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jc w:val="both"/>
        <w:textAlignment w:val="baseline"/>
        <w:rPr>
          <w:rFonts w:hint="default" w:ascii="宋体" w:hAnsi="宋体" w:eastAsia="宋体" w:cs="宋体"/>
          <w:b w:val="0"/>
          <w:bCs w:val="0"/>
          <w:color w:val="000000" w:themeColor="text1"/>
          <w:spacing w:val="-3"/>
          <w:sz w:val="30"/>
          <w:szCs w:val="30"/>
          <w:shd w:val="clear" w:color="auto" w:fill="auto"/>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shd w:val="clear" w:color="auto" w:fill="auto"/>
          <w:lang w:val="en-US" w:eastAsia="zh-CN"/>
          <w14:textFill>
            <w14:solidFill>
              <w14:schemeClr w14:val="tx1"/>
            </w14:solidFill>
          </w14:textFill>
        </w:rPr>
        <w:t>税收债权数额不作调整，以现金方式分期清偿。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4、普通债权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依据双方签订的协议书内容通过现金方式分期清偿。</w:t>
      </w:r>
    </w:p>
    <w:p>
      <w:pPr>
        <w:pStyle w:val="3"/>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7" w:name="_Toc9950"/>
      <w:r>
        <w:rPr>
          <w:rFonts w:hint="eastAsia" w:ascii="宋体" w:hAnsi="宋体" w:eastAsia="宋体" w:cs="宋体"/>
          <w:sz w:val="30"/>
          <w:szCs w:val="30"/>
          <w:lang w:val="en-US" w:eastAsia="zh-CN"/>
        </w:rPr>
        <w:t>五、债权清偿方案</w:t>
      </w:r>
      <w:bookmarkEnd w:id="57"/>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8" w:name="_Toc15688"/>
      <w:r>
        <w:rPr>
          <w:rFonts w:hint="eastAsia" w:ascii="宋体" w:hAnsi="宋体" w:eastAsia="宋体" w:cs="宋体"/>
          <w:sz w:val="30"/>
          <w:szCs w:val="30"/>
          <w:lang w:val="en-US" w:eastAsia="zh-CN"/>
        </w:rPr>
        <w:t>（一）偿债资金来源</w:t>
      </w:r>
      <w:bookmarkEnd w:id="58"/>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本次重整中，金鑫公司按照本重整计划草案规定支付重整费用、共益债务并清偿各类债权所需的资金，将通过以下方式筹集：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1、位于武都区吉石坝土地及地上建筑物出租所得的租金。</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2、金鑫公司生产经营收益。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3、金鑫公司自筹资金。</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59" w:name="_Toc30828"/>
      <w:r>
        <w:rPr>
          <w:rFonts w:hint="eastAsia" w:ascii="宋体" w:hAnsi="宋体" w:eastAsia="宋体" w:cs="宋体"/>
          <w:sz w:val="30"/>
          <w:szCs w:val="30"/>
          <w:lang w:val="en-US" w:eastAsia="zh-CN"/>
        </w:rPr>
        <w:t>(二）债权清偿方案</w:t>
      </w:r>
      <w:bookmarkEnd w:id="59"/>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1、 有财产担保债权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有财产担保债权在担保财产市场评估价值范围内100%清偿，超出市场评估价值范围的部分转为普通债权清偿。市场评佔价值范围内的有财产担保债权，在陇南中院作出终结重整程序裁定书之日起15日内，一次性以现金方式清偿5%。剩余部分予以留债分期清偿，留债安排具体如下：</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留债期限：4年。</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还款安排：以陇南中院作出终结重整程序裁定书之日的次年为首年，每年的12月31日前为还款时间。分四期偿还完毕，还款金额分别为留债部分的 20%、20%、40%、 20%。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(3）担保方式：留债期间原有的财产担保关系不发生变化。即留债期间有财产担保债权人享有的原有担保措施.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金鑫公司及金鑫公司外的第三方提供的抵（质）押）的效力不受重整计划的影响；有财产担保债权因担保物价值未能覆盖而转为按照普通债权清偿的部分或享有金鑫公司外的第三方提供担保的普通债权，债权人享有的原有担保措施（金鑫公司外的第三方提供的抵质押或保证等）的效力不受重整计划的影响。但债权人应配合金鑫公司办理抵、质押变更登记手续。在金鑫公司履行完毕上述有财产担保债权清偿义务后，有财产担保债权人应当解除以担保财产设定的抵质押手续，并不再就担保财产享有优先受偿权。未及时办理解除抵质押手续的，不影响担保物权的消灭。</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4）有财产担保债权对应的担保财产予以处置变现的，则相应有财产担保债权人在其留债余额范围内，就处置担保财产所获得价款享有优先受偿权。如处置担保财产所获得价款未覆盖留债余额，则未覆盖部分仍将根据重整计划的留债安排继续留债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2、职工债权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职工债权在陇南中院作出终结重整程序裁定书之日起15日内以现金方式一次性全额清偿。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3、税收债权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在陇南中院作出终结重整程序裁定书之日起15日内，一次性以现金方式清偿5%。剩余部分予以留债分期清偿，留债安排具体如下：</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留债期限：4年。</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auto"/>
          <w:spacing w:val="-3"/>
          <w:sz w:val="30"/>
          <w:szCs w:val="30"/>
          <w:lang w:val="en-US" w:eastAsia="zh-CN"/>
        </w:rPr>
      </w:pPr>
      <w:r>
        <w:rPr>
          <w:rFonts w:hint="eastAsia" w:ascii="宋体" w:hAnsi="宋体" w:eastAsia="宋体" w:cs="宋体"/>
          <w:b w:val="0"/>
          <w:bCs w:val="0"/>
          <w:color w:val="auto"/>
          <w:spacing w:val="-3"/>
          <w:sz w:val="30"/>
          <w:szCs w:val="30"/>
          <w:lang w:val="en-US" w:eastAsia="zh-CN"/>
        </w:rPr>
        <w:t>还款安排：以陇南中院作出终结重整程序裁定书之日的次年为首年，每年的12月31日前为还款时间。分四期偿还完毕，还款金额分别为留债部分的 20%、20%、40%、 20%。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4、普通债权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对于已经人民法院裁定确认的普通债权金额，金鑫公司将按照以下方式清偿：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（1）债权金额在5万元以下（含5万元）的债权将获得一次性现金清偿，在陇南中院作出终结重整程序裁定书之日起15日内清偿。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（2）债权金额超过5万元的债权将获得首期5万元现金清偿，在陇南中院作出终结重整程序裁定书之日起15日内清偿，剩余债权部分进行留债分期清偿，留债安排具体如下：</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1） 留债期限：4年。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2）还款安排：以陇南中院作出终结重整程序裁定书之日的次年为首年，每年的12月31日前为还款时间。分四期偿还完毕，还款金额分别为留债部分的 20%、20%、40%、 20%。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(3）金鑫公司为第三方债务提供担保形成的债权的特别安排：因金鑫公司为第三方债务提供担保形成的债权，债权人在选择按照本重整计划草案确定的同类债权的清偿方案获得受偿之前，相关主债务人己进行全部或部分清偿的，债权人己获受偿部分将不在金鑫公司重整程序内重复受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3"/>
          <w:sz w:val="30"/>
          <w:szCs w:val="30"/>
          <w:lang w:val="en-US" w:eastAsia="zh-CN"/>
          <w14:textFill>
            <w14:solidFill>
              <w14:schemeClr w14:val="tx1"/>
            </w14:solidFill>
          </w14:textFill>
        </w:rPr>
        <w:t>5、已申报但暂时无法审查确认债权</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因诉讼、仲裁未决导致暂时无法确认的债权，待其符合债权确认条件后，可以按照本重整计划草案规定的同类债权的清偿方案受偿。在债权经生效法律文书确认之前，在重整计划执行期间一次性现金受偿的部分提存至管理人指定的银行账户。</w:t>
      </w:r>
    </w:p>
    <w:p>
      <w:pPr>
        <w:pStyle w:val="3"/>
        <w:pageBreakBefore w:val="0"/>
        <w:widowControl/>
        <w:numPr>
          <w:ilvl w:val="0"/>
          <w:numId w:val="0"/>
        </w:numPr>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60" w:name="_Toc6788"/>
      <w:r>
        <w:rPr>
          <w:rFonts w:hint="eastAsia" w:ascii="宋体" w:hAnsi="宋体" w:eastAsia="宋体" w:cs="宋体"/>
          <w:sz w:val="30"/>
          <w:szCs w:val="30"/>
          <w:lang w:val="en-US" w:eastAsia="zh-CN"/>
        </w:rPr>
        <w:t>六、经营方案</w:t>
      </w:r>
      <w:bookmarkEnd w:id="60"/>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auto"/>
          <w:spacing w:val="-3"/>
          <w:sz w:val="30"/>
          <w:szCs w:val="30"/>
          <w:lang w:val="en-US" w:eastAsia="zh-CN"/>
        </w:rPr>
      </w:pPr>
      <w:r>
        <w:rPr>
          <w:rFonts w:hint="eastAsia" w:ascii="宋体" w:hAnsi="宋体" w:eastAsia="宋体" w:cs="宋体"/>
          <w:b w:val="0"/>
          <w:bCs w:val="0"/>
          <w:color w:val="auto"/>
          <w:spacing w:val="-3"/>
          <w:sz w:val="30"/>
          <w:szCs w:val="30"/>
          <w:lang w:val="en-US" w:eastAsia="zh-CN"/>
        </w:rPr>
        <w:t>金鑫公司共有三处资产，一处是佛崖镇孟家山村碳酸钙矿山，一处是吉石坝厂区，还有一处是武都区盘旋路西口金鑫优选酒店。目前吉石坝厂区已出租给扬名中学，租金800万已收取；金鑫优选酒店每年营业纯利润约100万左右。佛崖镇孟家山村碳酸钙矿山是金鑫公司最具潜力、最有发展前途的核心资产，佛崖镇孟家山村碳酸钙储量初步探明为3000万吨。金鑫公司该矿山第一资阶段的采矿许可证已于2023年4月到期。目前续证工作正在办理，可望于2024年上半年完成续证工作，续证工作完成之日，就是金鑫公司全力生产之时。为恢复扩大生产规模，力争早日还清债务，金鑫公司将采取以下措施：</w:t>
      </w:r>
    </w:p>
    <w:p>
      <w:pPr>
        <w:bidi w:val="0"/>
        <w:ind w:firstLine="602" w:firstLineChars="20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（一）引进联合开采人（目前已找到联合开采人），引进新设备，扩大生产面，增设生产线，扩大产能。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eastAsia" w:ascii="宋体" w:hAnsi="宋体" w:eastAsia="宋体" w:cs="宋体"/>
          <w:b w:val="0"/>
          <w:bCs w:val="0"/>
          <w:color w:val="auto"/>
          <w:spacing w:val="-3"/>
          <w:sz w:val="30"/>
          <w:szCs w:val="30"/>
          <w:lang w:val="en-US" w:eastAsia="zh-CN"/>
        </w:rPr>
      </w:pPr>
      <w:r>
        <w:rPr>
          <w:rFonts w:hint="eastAsia" w:ascii="宋体" w:hAnsi="宋体" w:eastAsia="宋体" w:cs="宋体"/>
          <w:b w:val="0"/>
          <w:bCs w:val="0"/>
          <w:color w:val="auto"/>
          <w:spacing w:val="-3"/>
          <w:sz w:val="30"/>
          <w:szCs w:val="30"/>
          <w:lang w:val="en-US" w:eastAsia="zh-CN"/>
        </w:rPr>
        <w:t>扩大产能后预计每年开采原矿石100万吨，其中生产销量4x8CM碎石60万吨,每吨含税单价55元，年收入3300万元；生产普通碳酸钙10万吨，每吨含税价220元，年收入2200万元；生产活性碳酸钙5万吨，每吨含税价800元，年收入4000万元；生产纳米级碳酸钙1万吨，每吨含税价2000元，年收入2000万元。以上四项年毛收入1.15亿元。其中，本年度2023年10月-12月31日期间预计产量达12万吨，预计收益达660万元。</w:t>
      </w:r>
    </w:p>
    <w:p>
      <w:pPr>
        <w:bidi w:val="0"/>
        <w:ind w:firstLine="602" w:firstLineChars="200"/>
        <w:rPr>
          <w:rFonts w:hint="eastAsia" w:ascii="宋体" w:hAnsi="宋体" w:eastAsia="宋体" w:cs="宋体"/>
          <w:b/>
          <w:bCs/>
          <w:sz w:val="30"/>
          <w:szCs w:val="30"/>
          <w:lang w:val="en-US" w:eastAsia="zh-CN"/>
        </w:rPr>
      </w:pPr>
      <w:bookmarkStart w:id="61" w:name="_Toc29119"/>
      <w:r>
        <w:rPr>
          <w:rFonts w:hint="eastAsia" w:ascii="宋体" w:hAnsi="宋体" w:eastAsia="宋体" w:cs="宋体"/>
          <w:b/>
          <w:bCs/>
          <w:sz w:val="30"/>
          <w:szCs w:val="30"/>
          <w:lang w:val="en-US" w:eastAsia="zh-CN"/>
        </w:rPr>
        <w:t>（二）进一步完善公司管理制度，努力提升管理能力。</w:t>
      </w:r>
      <w:bookmarkEnd w:id="61"/>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b w:val="0"/>
          <w:bCs w:val="0"/>
          <w:color w:val="auto"/>
          <w:spacing w:val="-3"/>
          <w:sz w:val="30"/>
          <w:szCs w:val="30"/>
          <w:lang w:val="en-US" w:eastAsia="zh-CN"/>
        </w:rPr>
      </w:pPr>
      <w:r>
        <w:rPr>
          <w:rFonts w:hint="eastAsia" w:ascii="宋体" w:hAnsi="宋体" w:eastAsia="宋体" w:cs="宋体"/>
          <w:b w:val="0"/>
          <w:bCs w:val="0"/>
          <w:color w:val="auto"/>
          <w:spacing w:val="-3"/>
          <w:sz w:val="30"/>
          <w:szCs w:val="30"/>
          <w:lang w:val="en-US" w:eastAsia="zh-CN"/>
        </w:rPr>
        <w:t>金鑫</w:t>
      </w:r>
      <w:r>
        <w:rPr>
          <w:rFonts w:hint="default" w:ascii="宋体" w:hAnsi="宋体" w:eastAsia="宋体" w:cs="宋体"/>
          <w:b w:val="0"/>
          <w:bCs w:val="0"/>
          <w:color w:val="auto"/>
          <w:spacing w:val="-3"/>
          <w:sz w:val="30"/>
          <w:szCs w:val="30"/>
          <w:lang w:val="en-US" w:eastAsia="zh-CN"/>
        </w:rPr>
        <w:t>公司之</w:t>
      </w:r>
      <w:r>
        <w:rPr>
          <w:rFonts w:hint="eastAsia" w:ascii="宋体" w:hAnsi="宋体" w:eastAsia="宋体" w:cs="宋体"/>
          <w:b w:val="0"/>
          <w:bCs w:val="0"/>
          <w:color w:val="auto"/>
          <w:spacing w:val="-3"/>
          <w:sz w:val="30"/>
          <w:szCs w:val="30"/>
          <w:lang w:val="en-US" w:eastAsia="zh-CN"/>
        </w:rPr>
        <w:t>所以走</w:t>
      </w:r>
      <w:r>
        <w:rPr>
          <w:rFonts w:hint="default" w:ascii="宋体" w:hAnsi="宋体" w:eastAsia="宋体" w:cs="宋体"/>
          <w:b w:val="0"/>
          <w:bCs w:val="0"/>
          <w:color w:val="auto"/>
          <w:spacing w:val="-3"/>
          <w:sz w:val="30"/>
          <w:szCs w:val="30"/>
          <w:lang w:val="en-US" w:eastAsia="zh-CN"/>
        </w:rPr>
        <w:t>到重整地步</w:t>
      </w:r>
      <w:r>
        <w:rPr>
          <w:rFonts w:hint="eastAsia" w:ascii="宋体" w:hAnsi="宋体" w:eastAsia="宋体" w:cs="宋体"/>
          <w:b w:val="0"/>
          <w:bCs w:val="0"/>
          <w:color w:val="auto"/>
          <w:spacing w:val="-3"/>
          <w:sz w:val="30"/>
          <w:szCs w:val="30"/>
          <w:lang w:val="en-US" w:eastAsia="zh-CN"/>
        </w:rPr>
        <w:t>，</w:t>
      </w:r>
      <w:r>
        <w:rPr>
          <w:rFonts w:hint="default" w:ascii="宋体" w:hAnsi="宋体" w:eastAsia="宋体" w:cs="宋体"/>
          <w:b w:val="0"/>
          <w:bCs w:val="0"/>
          <w:color w:val="auto"/>
          <w:spacing w:val="-3"/>
          <w:sz w:val="30"/>
          <w:szCs w:val="30"/>
          <w:lang w:val="en-US" w:eastAsia="zh-CN"/>
        </w:rPr>
        <w:t>与公司管理能力落后也有很大关系。通过这次重整，公司将引进优秀的管理人才和销售人才，用现代管理理念管理制度提升管理能力，使公司</w:t>
      </w:r>
      <w:r>
        <w:rPr>
          <w:rFonts w:hint="eastAsia" w:ascii="宋体" w:hAnsi="宋体" w:eastAsia="宋体" w:cs="宋体"/>
          <w:b w:val="0"/>
          <w:bCs w:val="0"/>
          <w:color w:val="auto"/>
          <w:spacing w:val="-3"/>
          <w:sz w:val="30"/>
          <w:szCs w:val="30"/>
          <w:lang w:val="en-US" w:eastAsia="zh-CN"/>
        </w:rPr>
        <w:t>软实力</w:t>
      </w:r>
      <w:r>
        <w:rPr>
          <w:rFonts w:hint="default" w:ascii="宋体" w:hAnsi="宋体" w:eastAsia="宋体" w:cs="宋体"/>
          <w:b w:val="0"/>
          <w:bCs w:val="0"/>
          <w:color w:val="auto"/>
          <w:spacing w:val="-3"/>
          <w:sz w:val="30"/>
          <w:szCs w:val="30"/>
          <w:lang w:val="en-US" w:eastAsia="zh-CN"/>
        </w:rPr>
        <w:t>得到飞跃式提升</w:t>
      </w:r>
      <w:r>
        <w:rPr>
          <w:rFonts w:hint="eastAsia" w:ascii="宋体" w:hAnsi="宋体" w:eastAsia="宋体" w:cs="宋体"/>
          <w:b w:val="0"/>
          <w:bCs w:val="0"/>
          <w:color w:val="auto"/>
          <w:spacing w:val="-3"/>
          <w:sz w:val="30"/>
          <w:szCs w:val="30"/>
          <w:lang w:val="en-US" w:eastAsia="zh-CN"/>
        </w:rPr>
        <w:t>；使</w:t>
      </w:r>
      <w:r>
        <w:rPr>
          <w:rFonts w:hint="default" w:ascii="宋体" w:hAnsi="宋体" w:eastAsia="宋体" w:cs="宋体"/>
          <w:b w:val="0"/>
          <w:bCs w:val="0"/>
          <w:color w:val="auto"/>
          <w:spacing w:val="-3"/>
          <w:sz w:val="30"/>
          <w:szCs w:val="30"/>
          <w:lang w:val="en-US" w:eastAsia="zh-CN"/>
        </w:rPr>
        <w:t>优质资源、新的生产设施、优秀管理人才相结合</w:t>
      </w:r>
      <w:r>
        <w:rPr>
          <w:rFonts w:hint="eastAsia" w:ascii="宋体" w:hAnsi="宋体" w:eastAsia="宋体" w:cs="宋体"/>
          <w:b w:val="0"/>
          <w:bCs w:val="0"/>
          <w:color w:val="auto"/>
          <w:spacing w:val="-3"/>
          <w:sz w:val="30"/>
          <w:szCs w:val="30"/>
          <w:lang w:val="en-US" w:eastAsia="zh-CN"/>
        </w:rPr>
        <w:t>。</w:t>
      </w:r>
      <w:r>
        <w:rPr>
          <w:rFonts w:hint="default" w:ascii="宋体" w:hAnsi="宋体" w:eastAsia="宋体" w:cs="宋体"/>
          <w:b w:val="0"/>
          <w:bCs w:val="0"/>
          <w:color w:val="auto"/>
          <w:spacing w:val="-3"/>
          <w:sz w:val="30"/>
          <w:szCs w:val="30"/>
          <w:lang w:val="en-US" w:eastAsia="zh-CN"/>
        </w:rPr>
        <w:t>重整后的</w:t>
      </w:r>
      <w:r>
        <w:rPr>
          <w:rFonts w:hint="eastAsia" w:ascii="宋体" w:hAnsi="宋体" w:eastAsia="宋体" w:cs="宋体"/>
          <w:b w:val="0"/>
          <w:bCs w:val="0"/>
          <w:color w:val="auto"/>
          <w:spacing w:val="-3"/>
          <w:sz w:val="30"/>
          <w:szCs w:val="30"/>
          <w:lang w:val="en-US" w:eastAsia="zh-CN"/>
        </w:rPr>
        <w:t>金鑫</w:t>
      </w:r>
      <w:r>
        <w:rPr>
          <w:rFonts w:hint="default" w:ascii="宋体" w:hAnsi="宋体" w:eastAsia="宋体" w:cs="宋体"/>
          <w:b w:val="0"/>
          <w:bCs w:val="0"/>
          <w:color w:val="auto"/>
          <w:spacing w:val="-3"/>
          <w:sz w:val="30"/>
          <w:szCs w:val="30"/>
          <w:lang w:val="en-US" w:eastAsia="zh-CN"/>
        </w:rPr>
        <w:t>公司将达到凤凰涅槃、浴火重生的境界。</w:t>
      </w:r>
    </w:p>
    <w:p>
      <w:pPr>
        <w:bidi w:val="0"/>
        <w:ind w:firstLine="602" w:firstLineChars="20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（三）公司重整后的经营收益及资金使用情况。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b w:val="0"/>
          <w:bCs w:val="0"/>
          <w:color w:val="auto"/>
          <w:spacing w:val="-3"/>
          <w:sz w:val="30"/>
          <w:szCs w:val="30"/>
          <w:lang w:val="en-US" w:eastAsia="zh-CN"/>
        </w:rPr>
      </w:pPr>
      <w:r>
        <w:rPr>
          <w:rFonts w:hint="eastAsia" w:ascii="宋体" w:hAnsi="宋体" w:eastAsia="宋体" w:cs="宋体"/>
          <w:b w:val="0"/>
          <w:bCs w:val="0"/>
          <w:color w:val="auto"/>
          <w:spacing w:val="-3"/>
          <w:sz w:val="30"/>
          <w:szCs w:val="30"/>
          <w:lang w:val="en-US" w:eastAsia="zh-CN"/>
        </w:rPr>
        <w:t>采石场</w:t>
      </w:r>
      <w:r>
        <w:rPr>
          <w:rFonts w:hint="default" w:ascii="宋体" w:hAnsi="宋体" w:eastAsia="宋体" w:cs="宋体"/>
          <w:b w:val="0"/>
          <w:bCs w:val="0"/>
          <w:color w:val="auto"/>
          <w:spacing w:val="-3"/>
          <w:sz w:val="30"/>
          <w:szCs w:val="30"/>
          <w:lang w:val="en-US" w:eastAsia="zh-CN"/>
        </w:rPr>
        <w:t>扩大产能后毛利润</w:t>
      </w:r>
      <w:r>
        <w:rPr>
          <w:rFonts w:hint="eastAsia" w:ascii="宋体" w:hAnsi="宋体" w:eastAsia="宋体" w:cs="宋体"/>
          <w:b w:val="0"/>
          <w:bCs w:val="0"/>
          <w:color w:val="auto"/>
          <w:spacing w:val="-3"/>
          <w:sz w:val="30"/>
          <w:szCs w:val="30"/>
          <w:lang w:val="en-US" w:eastAsia="zh-CN"/>
        </w:rPr>
        <w:t>预计</w:t>
      </w:r>
      <w:r>
        <w:rPr>
          <w:rFonts w:hint="default" w:ascii="宋体" w:hAnsi="宋体" w:eastAsia="宋体" w:cs="宋体"/>
          <w:b w:val="0"/>
          <w:bCs w:val="0"/>
          <w:color w:val="auto"/>
          <w:spacing w:val="-3"/>
          <w:sz w:val="30"/>
          <w:szCs w:val="30"/>
          <w:lang w:val="en-US" w:eastAsia="zh-CN"/>
        </w:rPr>
        <w:t>达1.15亿元。支出</w:t>
      </w:r>
      <w:r>
        <w:rPr>
          <w:rFonts w:hint="eastAsia" w:ascii="宋体" w:hAnsi="宋体" w:eastAsia="宋体" w:cs="宋体"/>
          <w:b w:val="0"/>
          <w:bCs w:val="0"/>
          <w:color w:val="auto"/>
          <w:spacing w:val="-3"/>
          <w:sz w:val="30"/>
          <w:szCs w:val="30"/>
          <w:lang w:val="en-US" w:eastAsia="zh-CN"/>
        </w:rPr>
        <w:t>约</w:t>
      </w:r>
      <w:r>
        <w:rPr>
          <w:rFonts w:hint="default" w:ascii="宋体" w:hAnsi="宋体" w:eastAsia="宋体" w:cs="宋体"/>
          <w:b w:val="0"/>
          <w:bCs w:val="0"/>
          <w:color w:val="auto"/>
          <w:spacing w:val="-3"/>
          <w:sz w:val="30"/>
          <w:szCs w:val="30"/>
          <w:lang w:val="en-US" w:eastAsia="zh-CN"/>
        </w:rPr>
        <w:t>需8000万元</w:t>
      </w:r>
      <w:r>
        <w:rPr>
          <w:rFonts w:hint="eastAsia" w:ascii="宋体" w:hAnsi="宋体" w:eastAsia="宋体" w:cs="宋体"/>
          <w:b w:val="0"/>
          <w:bCs w:val="0"/>
          <w:color w:val="auto"/>
          <w:spacing w:val="-3"/>
          <w:sz w:val="30"/>
          <w:szCs w:val="30"/>
          <w:lang w:val="en-US" w:eastAsia="zh-CN"/>
        </w:rPr>
        <w:t>，</w:t>
      </w:r>
      <w:r>
        <w:rPr>
          <w:rFonts w:hint="default" w:ascii="宋体" w:hAnsi="宋体" w:eastAsia="宋体" w:cs="宋体"/>
          <w:b w:val="0"/>
          <w:bCs w:val="0"/>
          <w:color w:val="auto"/>
          <w:spacing w:val="-3"/>
          <w:sz w:val="30"/>
          <w:szCs w:val="30"/>
          <w:lang w:val="en-US" w:eastAsia="zh-CN"/>
        </w:rPr>
        <w:t>其中</w:t>
      </w:r>
      <w:r>
        <w:rPr>
          <w:rFonts w:hint="eastAsia" w:ascii="宋体" w:hAnsi="宋体" w:eastAsia="宋体" w:cs="宋体"/>
          <w:b w:val="0"/>
          <w:bCs w:val="0"/>
          <w:color w:val="auto"/>
          <w:spacing w:val="-3"/>
          <w:sz w:val="30"/>
          <w:szCs w:val="30"/>
          <w:lang w:val="en-US" w:eastAsia="zh-CN"/>
        </w:rPr>
        <w:t>：1.</w:t>
      </w:r>
      <w:r>
        <w:rPr>
          <w:rFonts w:hint="default" w:ascii="宋体" w:hAnsi="宋体" w:eastAsia="宋体" w:cs="宋体"/>
          <w:b w:val="0"/>
          <w:bCs w:val="0"/>
          <w:color w:val="auto"/>
          <w:spacing w:val="-3"/>
          <w:sz w:val="30"/>
          <w:szCs w:val="30"/>
          <w:lang w:val="en-US" w:eastAsia="zh-CN"/>
        </w:rPr>
        <w:t>年上缴税收约2000</w:t>
      </w:r>
      <w:r>
        <w:rPr>
          <w:rFonts w:hint="eastAsia" w:ascii="宋体" w:hAnsi="宋体" w:eastAsia="宋体" w:cs="宋体"/>
          <w:b w:val="0"/>
          <w:bCs w:val="0"/>
          <w:color w:val="auto"/>
          <w:spacing w:val="-3"/>
          <w:sz w:val="30"/>
          <w:szCs w:val="30"/>
          <w:lang w:val="en-US" w:eastAsia="zh-CN"/>
        </w:rPr>
        <w:t>万</w:t>
      </w:r>
      <w:r>
        <w:rPr>
          <w:rFonts w:hint="default" w:ascii="宋体" w:hAnsi="宋体" w:eastAsia="宋体" w:cs="宋体"/>
          <w:b w:val="0"/>
          <w:bCs w:val="0"/>
          <w:color w:val="auto"/>
          <w:spacing w:val="-3"/>
          <w:sz w:val="30"/>
          <w:szCs w:val="30"/>
          <w:lang w:val="en-US" w:eastAsia="zh-CN"/>
        </w:rPr>
        <w:t>元</w:t>
      </w:r>
      <w:r>
        <w:rPr>
          <w:rFonts w:hint="eastAsia" w:ascii="宋体" w:hAnsi="宋体" w:eastAsia="宋体" w:cs="宋体"/>
          <w:b w:val="0"/>
          <w:bCs w:val="0"/>
          <w:color w:val="auto"/>
          <w:spacing w:val="-3"/>
          <w:sz w:val="30"/>
          <w:szCs w:val="30"/>
          <w:lang w:val="en-US" w:eastAsia="zh-CN"/>
        </w:rPr>
        <w:t>；2.</w:t>
      </w:r>
      <w:r>
        <w:rPr>
          <w:rFonts w:hint="default" w:ascii="宋体" w:hAnsi="宋体" w:eastAsia="宋体" w:cs="宋体"/>
          <w:b w:val="0"/>
          <w:bCs w:val="0"/>
          <w:color w:val="auto"/>
          <w:spacing w:val="-3"/>
          <w:sz w:val="30"/>
          <w:szCs w:val="30"/>
          <w:lang w:val="en-US" w:eastAsia="zh-CN"/>
        </w:rPr>
        <w:t>职工工资及社保、机械费用、电费、爆破费</w:t>
      </w:r>
      <w:r>
        <w:rPr>
          <w:rFonts w:hint="eastAsia" w:ascii="宋体" w:hAnsi="宋体" w:eastAsia="宋体" w:cs="宋体"/>
          <w:b w:val="0"/>
          <w:bCs w:val="0"/>
          <w:color w:val="auto"/>
          <w:spacing w:val="-3"/>
          <w:sz w:val="30"/>
          <w:szCs w:val="30"/>
          <w:lang w:val="en-US" w:eastAsia="zh-CN"/>
        </w:rPr>
        <w:t>、</w:t>
      </w:r>
      <w:r>
        <w:rPr>
          <w:rFonts w:hint="default" w:ascii="宋体" w:hAnsi="宋体" w:eastAsia="宋体" w:cs="宋体"/>
          <w:b w:val="0"/>
          <w:bCs w:val="0"/>
          <w:color w:val="auto"/>
          <w:spacing w:val="-3"/>
          <w:sz w:val="30"/>
          <w:szCs w:val="30"/>
          <w:lang w:val="en-US" w:eastAsia="zh-CN"/>
        </w:rPr>
        <w:t>油料费、土地和租赁费、安全费约5000</w:t>
      </w:r>
      <w:r>
        <w:rPr>
          <w:rFonts w:hint="eastAsia" w:ascii="宋体" w:hAnsi="宋体" w:eastAsia="宋体" w:cs="宋体"/>
          <w:b w:val="0"/>
          <w:bCs w:val="0"/>
          <w:color w:val="auto"/>
          <w:spacing w:val="-3"/>
          <w:sz w:val="30"/>
          <w:szCs w:val="30"/>
          <w:lang w:val="en-US" w:eastAsia="zh-CN"/>
        </w:rPr>
        <w:t>万</w:t>
      </w:r>
      <w:r>
        <w:rPr>
          <w:rFonts w:hint="default" w:ascii="宋体" w:hAnsi="宋体" w:eastAsia="宋体" w:cs="宋体"/>
          <w:b w:val="0"/>
          <w:bCs w:val="0"/>
          <w:color w:val="auto"/>
          <w:spacing w:val="-3"/>
          <w:sz w:val="30"/>
          <w:szCs w:val="30"/>
          <w:lang w:val="en-US" w:eastAsia="zh-CN"/>
        </w:rPr>
        <w:t>元，</w:t>
      </w:r>
      <w:r>
        <w:rPr>
          <w:rFonts w:hint="eastAsia" w:ascii="宋体" w:hAnsi="宋体" w:eastAsia="宋体" w:cs="宋体"/>
          <w:b w:val="0"/>
          <w:bCs w:val="0"/>
          <w:color w:val="auto"/>
          <w:spacing w:val="-3"/>
          <w:sz w:val="30"/>
          <w:szCs w:val="30"/>
          <w:lang w:val="en-US" w:eastAsia="zh-CN"/>
        </w:rPr>
        <w:t>3.</w:t>
      </w:r>
      <w:r>
        <w:rPr>
          <w:rFonts w:hint="default" w:ascii="宋体" w:hAnsi="宋体" w:eastAsia="宋体" w:cs="宋体"/>
          <w:b w:val="0"/>
          <w:bCs w:val="0"/>
          <w:color w:val="auto"/>
          <w:spacing w:val="-3"/>
          <w:sz w:val="30"/>
          <w:szCs w:val="30"/>
          <w:lang w:val="en-US" w:eastAsia="zh-CN"/>
        </w:rPr>
        <w:t>环保费、公路维护费1000</w:t>
      </w:r>
      <w:r>
        <w:rPr>
          <w:rFonts w:hint="eastAsia" w:ascii="宋体" w:hAnsi="宋体" w:eastAsia="宋体" w:cs="宋体"/>
          <w:b w:val="0"/>
          <w:bCs w:val="0"/>
          <w:color w:val="auto"/>
          <w:spacing w:val="-3"/>
          <w:sz w:val="30"/>
          <w:szCs w:val="30"/>
          <w:lang w:val="en-US" w:eastAsia="zh-CN"/>
        </w:rPr>
        <w:t>万</w:t>
      </w:r>
      <w:r>
        <w:rPr>
          <w:rFonts w:hint="default" w:ascii="宋体" w:hAnsi="宋体" w:eastAsia="宋体" w:cs="宋体"/>
          <w:b w:val="0"/>
          <w:bCs w:val="0"/>
          <w:color w:val="auto"/>
          <w:spacing w:val="-3"/>
          <w:sz w:val="30"/>
          <w:szCs w:val="30"/>
          <w:lang w:val="en-US" w:eastAsia="zh-CN"/>
        </w:rPr>
        <w:t>元。除去开支，公司纯利润</w:t>
      </w:r>
      <w:r>
        <w:rPr>
          <w:rFonts w:hint="eastAsia" w:ascii="宋体" w:hAnsi="宋体" w:eastAsia="宋体" w:cs="宋体"/>
          <w:b w:val="0"/>
          <w:bCs w:val="0"/>
          <w:color w:val="auto"/>
          <w:spacing w:val="-3"/>
          <w:sz w:val="30"/>
          <w:szCs w:val="30"/>
          <w:lang w:val="en-US" w:eastAsia="zh-CN"/>
        </w:rPr>
        <w:t>预计</w:t>
      </w:r>
      <w:r>
        <w:rPr>
          <w:rFonts w:hint="default" w:ascii="宋体" w:hAnsi="宋体" w:eastAsia="宋体" w:cs="宋体"/>
          <w:b w:val="0"/>
          <w:bCs w:val="0"/>
          <w:color w:val="auto"/>
          <w:spacing w:val="-3"/>
          <w:sz w:val="30"/>
          <w:szCs w:val="30"/>
          <w:lang w:val="en-US" w:eastAsia="zh-CN"/>
        </w:rPr>
        <w:t>3500</w:t>
      </w:r>
      <w:r>
        <w:rPr>
          <w:rFonts w:hint="eastAsia" w:ascii="宋体" w:hAnsi="宋体" w:eastAsia="宋体" w:cs="宋体"/>
          <w:b w:val="0"/>
          <w:bCs w:val="0"/>
          <w:color w:val="auto"/>
          <w:spacing w:val="-3"/>
          <w:sz w:val="30"/>
          <w:szCs w:val="30"/>
          <w:lang w:val="en-US" w:eastAsia="zh-CN"/>
        </w:rPr>
        <w:t>万</w:t>
      </w:r>
      <w:r>
        <w:rPr>
          <w:rFonts w:hint="default" w:ascii="宋体" w:hAnsi="宋体" w:eastAsia="宋体" w:cs="宋体"/>
          <w:b w:val="0"/>
          <w:bCs w:val="0"/>
          <w:color w:val="auto"/>
          <w:spacing w:val="-3"/>
          <w:sz w:val="30"/>
          <w:szCs w:val="30"/>
          <w:lang w:val="en-US" w:eastAsia="zh-CN"/>
        </w:rPr>
        <w:t>元，纯利润除归还</w:t>
      </w:r>
      <w:r>
        <w:rPr>
          <w:rFonts w:hint="eastAsia" w:ascii="宋体" w:hAnsi="宋体" w:eastAsia="宋体" w:cs="宋体"/>
          <w:b w:val="0"/>
          <w:bCs w:val="0"/>
          <w:color w:val="auto"/>
          <w:spacing w:val="-3"/>
          <w:sz w:val="30"/>
          <w:szCs w:val="30"/>
          <w:lang w:val="en-US" w:eastAsia="zh-CN"/>
        </w:rPr>
        <w:t>当年</w:t>
      </w:r>
      <w:r>
        <w:rPr>
          <w:rFonts w:hint="default" w:ascii="宋体" w:hAnsi="宋体" w:eastAsia="宋体" w:cs="宋体"/>
          <w:b w:val="0"/>
          <w:bCs w:val="0"/>
          <w:color w:val="auto"/>
          <w:spacing w:val="-3"/>
          <w:sz w:val="30"/>
          <w:szCs w:val="30"/>
          <w:lang w:val="en-US" w:eastAsia="zh-CN"/>
        </w:rPr>
        <w:t>债务</w:t>
      </w:r>
      <w:r>
        <w:rPr>
          <w:rFonts w:hint="eastAsia" w:ascii="宋体" w:hAnsi="宋体" w:eastAsia="宋体" w:cs="宋体"/>
          <w:b w:val="0"/>
          <w:bCs w:val="0"/>
          <w:color w:val="auto"/>
          <w:spacing w:val="-3"/>
          <w:sz w:val="30"/>
          <w:szCs w:val="30"/>
          <w:lang w:val="en-US" w:eastAsia="zh-CN"/>
        </w:rPr>
        <w:t>2000万元</w:t>
      </w:r>
      <w:r>
        <w:rPr>
          <w:rFonts w:hint="default" w:ascii="宋体" w:hAnsi="宋体" w:eastAsia="宋体" w:cs="宋体"/>
          <w:b w:val="0"/>
          <w:bCs w:val="0"/>
          <w:color w:val="auto"/>
          <w:spacing w:val="-3"/>
          <w:sz w:val="30"/>
          <w:szCs w:val="30"/>
          <w:lang w:val="en-US" w:eastAsia="zh-CN"/>
        </w:rPr>
        <w:t>外，剩余</w:t>
      </w:r>
      <w:r>
        <w:rPr>
          <w:rFonts w:hint="eastAsia" w:ascii="宋体" w:hAnsi="宋体" w:eastAsia="宋体" w:cs="宋体"/>
          <w:b w:val="0"/>
          <w:bCs w:val="0"/>
          <w:color w:val="auto"/>
          <w:spacing w:val="-3"/>
          <w:sz w:val="30"/>
          <w:szCs w:val="30"/>
          <w:lang w:val="en-US" w:eastAsia="zh-CN"/>
        </w:rPr>
        <w:t>1500万元</w:t>
      </w:r>
      <w:r>
        <w:rPr>
          <w:rFonts w:hint="default" w:ascii="宋体" w:hAnsi="宋体" w:eastAsia="宋体" w:cs="宋体"/>
          <w:b w:val="0"/>
          <w:bCs w:val="0"/>
          <w:color w:val="auto"/>
          <w:spacing w:val="-3"/>
          <w:sz w:val="30"/>
          <w:szCs w:val="30"/>
          <w:lang w:val="en-US" w:eastAsia="zh-CN"/>
        </w:rPr>
        <w:t>作为公司</w:t>
      </w:r>
      <w:r>
        <w:rPr>
          <w:rFonts w:hint="eastAsia" w:ascii="宋体" w:hAnsi="宋体" w:eastAsia="宋体" w:cs="宋体"/>
          <w:b w:val="0"/>
          <w:bCs w:val="0"/>
          <w:color w:val="auto"/>
          <w:spacing w:val="-3"/>
          <w:sz w:val="30"/>
          <w:szCs w:val="30"/>
          <w:lang w:val="en-US" w:eastAsia="zh-CN"/>
        </w:rPr>
        <w:t>扩大经营的</w:t>
      </w:r>
      <w:r>
        <w:rPr>
          <w:rFonts w:hint="default" w:ascii="宋体" w:hAnsi="宋体" w:eastAsia="宋体" w:cs="宋体"/>
          <w:b w:val="0"/>
          <w:bCs w:val="0"/>
          <w:color w:val="auto"/>
          <w:spacing w:val="-3"/>
          <w:sz w:val="30"/>
          <w:szCs w:val="30"/>
          <w:lang w:val="en-US" w:eastAsia="zh-CN"/>
        </w:rPr>
        <w:t>发展基金</w:t>
      </w:r>
      <w:r>
        <w:rPr>
          <w:rFonts w:hint="eastAsia" w:ascii="宋体" w:hAnsi="宋体" w:eastAsia="宋体" w:cs="宋体"/>
          <w:b w:val="0"/>
          <w:bCs w:val="0"/>
          <w:color w:val="auto"/>
          <w:spacing w:val="-3"/>
          <w:sz w:val="30"/>
          <w:szCs w:val="30"/>
          <w:lang w:val="en-US" w:eastAsia="zh-CN"/>
        </w:rPr>
        <w:t>。</w:t>
      </w:r>
      <w:r>
        <w:rPr>
          <w:rFonts w:hint="default" w:ascii="宋体" w:hAnsi="宋体" w:eastAsia="宋体" w:cs="宋体"/>
          <w:b w:val="0"/>
          <w:bCs w:val="0"/>
          <w:color w:val="auto"/>
          <w:spacing w:val="-3"/>
          <w:sz w:val="30"/>
          <w:szCs w:val="30"/>
          <w:lang w:val="en-US" w:eastAsia="zh-CN"/>
        </w:rPr>
        <w:t>公司在</w:t>
      </w:r>
      <w:r>
        <w:rPr>
          <w:rFonts w:hint="eastAsia" w:ascii="宋体" w:hAnsi="宋体" w:eastAsia="宋体" w:cs="宋体"/>
          <w:b w:val="0"/>
          <w:bCs w:val="0"/>
          <w:color w:val="auto"/>
          <w:spacing w:val="-3"/>
          <w:sz w:val="30"/>
          <w:szCs w:val="30"/>
          <w:lang w:val="en-US" w:eastAsia="zh-CN"/>
        </w:rPr>
        <w:t>稳步</w:t>
      </w:r>
      <w:r>
        <w:rPr>
          <w:rFonts w:hint="default" w:ascii="宋体" w:hAnsi="宋体" w:eastAsia="宋体" w:cs="宋体"/>
          <w:b w:val="0"/>
          <w:bCs w:val="0"/>
          <w:color w:val="auto"/>
          <w:spacing w:val="-3"/>
          <w:sz w:val="30"/>
          <w:szCs w:val="30"/>
          <w:lang w:val="en-US" w:eastAsia="zh-CN"/>
        </w:rPr>
        <w:t>发展的基础上，</w:t>
      </w:r>
      <w:r>
        <w:rPr>
          <w:rFonts w:hint="eastAsia" w:ascii="宋体" w:hAnsi="宋体" w:eastAsia="宋体" w:cs="宋体"/>
          <w:b w:val="0"/>
          <w:bCs w:val="0"/>
          <w:color w:val="auto"/>
          <w:spacing w:val="-3"/>
          <w:sz w:val="30"/>
          <w:szCs w:val="30"/>
          <w:lang w:val="en-US" w:eastAsia="zh-CN"/>
        </w:rPr>
        <w:t>要</w:t>
      </w:r>
      <w:r>
        <w:rPr>
          <w:rFonts w:hint="default" w:ascii="宋体" w:hAnsi="宋体" w:eastAsia="宋体" w:cs="宋体"/>
          <w:b w:val="0"/>
          <w:bCs w:val="0"/>
          <w:color w:val="auto"/>
          <w:spacing w:val="-3"/>
          <w:sz w:val="30"/>
          <w:szCs w:val="30"/>
          <w:lang w:val="en-US" w:eastAsia="zh-CN"/>
        </w:rPr>
        <w:t>加大科研投入，</w:t>
      </w:r>
      <w:r>
        <w:rPr>
          <w:rFonts w:hint="eastAsia" w:ascii="宋体" w:hAnsi="宋体" w:eastAsia="宋体" w:cs="宋体"/>
          <w:b w:val="0"/>
          <w:bCs w:val="0"/>
          <w:color w:val="auto"/>
          <w:spacing w:val="-3"/>
          <w:sz w:val="30"/>
          <w:szCs w:val="30"/>
          <w:lang w:val="en-US" w:eastAsia="zh-CN"/>
        </w:rPr>
        <w:t>延伸</w:t>
      </w:r>
      <w:r>
        <w:rPr>
          <w:rFonts w:hint="default" w:ascii="宋体" w:hAnsi="宋体" w:eastAsia="宋体" w:cs="宋体"/>
          <w:b w:val="0"/>
          <w:bCs w:val="0"/>
          <w:color w:val="auto"/>
          <w:spacing w:val="-3"/>
          <w:sz w:val="30"/>
          <w:szCs w:val="30"/>
          <w:lang w:val="en-US" w:eastAsia="zh-CN"/>
        </w:rPr>
        <w:t>产业链，</w:t>
      </w:r>
      <w:r>
        <w:rPr>
          <w:rFonts w:hint="eastAsia" w:ascii="宋体" w:hAnsi="宋体" w:eastAsia="宋体" w:cs="宋体"/>
          <w:b w:val="0"/>
          <w:bCs w:val="0"/>
          <w:color w:val="auto"/>
          <w:spacing w:val="-3"/>
          <w:sz w:val="30"/>
          <w:szCs w:val="30"/>
          <w:lang w:val="en-US" w:eastAsia="zh-CN"/>
        </w:rPr>
        <w:t>要力争</w:t>
      </w:r>
      <w:r>
        <w:rPr>
          <w:rFonts w:hint="default" w:ascii="宋体" w:hAnsi="宋体" w:eastAsia="宋体" w:cs="宋体"/>
          <w:b w:val="0"/>
          <w:bCs w:val="0"/>
          <w:color w:val="auto"/>
          <w:spacing w:val="-3"/>
          <w:sz w:val="30"/>
          <w:szCs w:val="30"/>
          <w:lang w:val="en-US" w:eastAsia="zh-CN"/>
        </w:rPr>
        <w:t>把</w:t>
      </w:r>
      <w:r>
        <w:rPr>
          <w:rFonts w:hint="eastAsia" w:ascii="宋体" w:hAnsi="宋体" w:eastAsia="宋体" w:cs="宋体"/>
          <w:b w:val="0"/>
          <w:bCs w:val="0"/>
          <w:color w:val="auto"/>
          <w:spacing w:val="-3"/>
          <w:sz w:val="30"/>
          <w:szCs w:val="30"/>
          <w:lang w:val="en-US" w:eastAsia="zh-CN"/>
        </w:rPr>
        <w:t>金鑫</w:t>
      </w:r>
      <w:r>
        <w:rPr>
          <w:rFonts w:hint="default" w:ascii="宋体" w:hAnsi="宋体" w:eastAsia="宋体" w:cs="宋体"/>
          <w:b w:val="0"/>
          <w:bCs w:val="0"/>
          <w:color w:val="auto"/>
          <w:spacing w:val="-3"/>
          <w:sz w:val="30"/>
          <w:szCs w:val="30"/>
          <w:lang w:val="en-US" w:eastAsia="zh-CN"/>
        </w:rPr>
        <w:t>公司打造成科技含量高、产能强大的绿色环保矿山企业。</w:t>
      </w:r>
    </w:p>
    <w:p>
      <w:pPr>
        <w:pStyle w:val="3"/>
        <w:bidi w:val="0"/>
        <w:rPr>
          <w:rFonts w:hint="eastAsia" w:ascii="宋体" w:hAnsi="宋体" w:eastAsia="宋体" w:cs="宋体"/>
          <w:sz w:val="30"/>
          <w:szCs w:val="30"/>
          <w:lang w:val="en-US" w:eastAsia="zh-CN"/>
        </w:rPr>
      </w:pPr>
      <w:bookmarkStart w:id="62" w:name="_Toc3489"/>
      <w:r>
        <w:rPr>
          <w:rFonts w:hint="eastAsia" w:ascii="宋体" w:hAnsi="宋体" w:eastAsia="宋体" w:cs="宋体"/>
          <w:sz w:val="30"/>
          <w:szCs w:val="30"/>
          <w:lang w:val="en-US" w:eastAsia="zh-CN"/>
        </w:rPr>
        <w:t>七、重整计划的执行</w:t>
      </w:r>
      <w:bookmarkEnd w:id="62"/>
    </w:p>
    <w:p>
      <w:pPr>
        <w:pStyle w:val="4"/>
        <w:pageBreakBefore w:val="0"/>
        <w:widowControl/>
        <w:numPr>
          <w:ilvl w:val="0"/>
          <w:numId w:val="5"/>
        </w:numPr>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30"/>
          <w:szCs w:val="30"/>
          <w:lang w:val="en-US" w:eastAsia="zh-CN"/>
        </w:rPr>
      </w:pPr>
      <w:bookmarkStart w:id="63" w:name="_Toc27729"/>
      <w:r>
        <w:rPr>
          <w:rFonts w:hint="eastAsia" w:ascii="宋体" w:hAnsi="宋体" w:eastAsia="宋体" w:cs="宋体"/>
          <w:sz w:val="30"/>
          <w:szCs w:val="30"/>
          <w:lang w:val="en-US" w:eastAsia="zh-CN"/>
        </w:rPr>
        <w:t>执行主体</w:t>
      </w:r>
      <w:bookmarkEnd w:id="63"/>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14:textFill>
            <w14:solidFill>
              <w14:schemeClr w14:val="tx1"/>
            </w14:solidFill>
          </w14:textFill>
        </w:rPr>
        <w:t>重整计划由</w:t>
      </w: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hint="eastAsia" w:ascii="宋体" w:hAnsi="宋体" w:eastAsia="宋体" w:cs="宋体"/>
          <w:color w:val="000000" w:themeColor="text1"/>
          <w:spacing w:val="0"/>
          <w:position w:val="0"/>
          <w:sz w:val="30"/>
          <w:szCs w:val="30"/>
          <w14:textFill>
            <w14:solidFill>
              <w14:schemeClr w14:val="tx1"/>
            </w14:solidFill>
          </w14:textFill>
        </w:rPr>
        <w:t>负责执行，</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现金一次性清偿部分由管理人负责执行。</w:t>
      </w: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ascii="宋体" w:hAnsi="宋体" w:eastAsia="宋体" w:cs="宋体"/>
          <w:color w:val="000000" w:themeColor="text1"/>
          <w:spacing w:val="0"/>
          <w:position w:val="0"/>
          <w:sz w:val="30"/>
          <w:szCs w:val="30"/>
          <w14:textFill>
            <w14:solidFill>
              <w14:schemeClr w14:val="tx1"/>
            </w14:solidFill>
          </w14:textFill>
        </w:rPr>
        <w:t>应接受管理人的监督，对于重整计划执行情况、公司财务状况、重大经营决策以及资产处置等事项，应及时向</w:t>
      </w:r>
      <w:bookmarkStart w:id="64" w:name="bookmark31"/>
      <w:bookmarkEnd w:id="64"/>
      <w:r>
        <w:rPr>
          <w:rFonts w:ascii="宋体" w:hAnsi="宋体" w:eastAsia="宋体" w:cs="宋体"/>
          <w:color w:val="000000" w:themeColor="text1"/>
          <w:spacing w:val="0"/>
          <w:position w:val="0"/>
          <w:sz w:val="30"/>
          <w:szCs w:val="30"/>
          <w14:textFill>
            <w14:solidFill>
              <w14:schemeClr w14:val="tx1"/>
            </w14:solidFill>
          </w14:textFill>
        </w:rPr>
        <w:t>管理人报告</w:t>
      </w:r>
      <w:r>
        <w:rPr>
          <w:rFonts w:hint="eastAsia" w:ascii="宋体" w:hAnsi="宋体" w:eastAsia="宋体" w:cs="宋体"/>
          <w:color w:val="000000" w:themeColor="text1"/>
          <w:spacing w:val="0"/>
          <w:position w:val="0"/>
          <w:sz w:val="30"/>
          <w:szCs w:val="30"/>
          <w:lang w:eastAsia="zh-CN"/>
          <w14:textFill>
            <w14:solidFill>
              <w14:schemeClr w14:val="tx1"/>
            </w14:solidFill>
          </w14:textFill>
        </w:rPr>
        <w:t>。</w:t>
      </w:r>
    </w:p>
    <w:p>
      <w:pPr>
        <w:pStyle w:val="4"/>
        <w:keepNext/>
        <w:keepLines/>
        <w:pageBreakBefore w:val="0"/>
        <w:widowControl/>
        <w:kinsoku w:val="0"/>
        <w:wordWrap/>
        <w:overflowPunct/>
        <w:topLinePunct w:val="0"/>
        <w:autoSpaceDE w:val="0"/>
        <w:autoSpaceDN w:val="0"/>
        <w:bidi w:val="0"/>
        <w:adjustRightInd w:val="0"/>
        <w:snapToGrid w:val="0"/>
        <w:spacing w:line="413" w:lineRule="auto"/>
        <w:ind w:firstLine="602" w:firstLineChars="200"/>
        <w:textAlignment w:val="baseline"/>
        <w:rPr>
          <w:rFonts w:hint="default"/>
          <w:sz w:val="30"/>
          <w:szCs w:val="30"/>
          <w:lang w:val="en-US" w:eastAsia="zh-CN"/>
        </w:rPr>
      </w:pPr>
      <w:bookmarkStart w:id="65" w:name="_Toc7070"/>
      <w:r>
        <w:rPr>
          <w:rFonts w:hint="eastAsia"/>
          <w:sz w:val="30"/>
          <w:szCs w:val="30"/>
          <w:lang w:val="en-US" w:eastAsia="zh-CN"/>
        </w:rPr>
        <w:t>（二）执行期限</w:t>
      </w:r>
      <w:bookmarkEnd w:id="65"/>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1、重整计划的执行期限自重整计划获得</w:t>
      </w:r>
      <w:r>
        <w:rPr>
          <w:rFonts w:hint="eastAsia" w:ascii="宋体" w:hAnsi="宋体" w:eastAsia="宋体" w:cs="宋体"/>
          <w:color w:val="000000" w:themeColor="text1"/>
          <w:spacing w:val="-3"/>
          <w:sz w:val="30"/>
          <w:szCs w:val="30"/>
          <w:lang w:val="en-US" w:eastAsia="zh-CN"/>
          <w14:textFill>
            <w14:solidFill>
              <w14:schemeClr w14:val="tx1"/>
            </w14:solidFill>
          </w14:textFill>
        </w:rPr>
        <w:t>陇南中院裁定批准之日起2个月。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588" w:firstLineChars="200"/>
        <w:textAlignment w:val="baseline"/>
        <w:rPr>
          <w:rFonts w:hint="default" w:ascii="宋体" w:hAnsi="宋体" w:eastAsia="宋体" w:cs="宋体"/>
          <w:color w:val="000000" w:themeColor="text1"/>
          <w:spacing w:val="-3"/>
          <w:sz w:val="30"/>
          <w:szCs w:val="30"/>
          <w:lang w:val="en-US" w:eastAsia="zh-CN"/>
          <w14:textFill>
            <w14:solidFill>
              <w14:schemeClr w14:val="tx1"/>
            </w14:solidFill>
          </w14:textFill>
        </w:rPr>
      </w:pPr>
      <w:r>
        <w:rPr>
          <w:rFonts w:hint="eastAsia" w:ascii="宋体" w:hAnsi="宋体" w:eastAsia="宋体" w:cs="宋体"/>
          <w:color w:val="000000" w:themeColor="text1"/>
          <w:spacing w:val="-3"/>
          <w:sz w:val="30"/>
          <w:szCs w:val="30"/>
          <w:lang w:val="en-US" w:eastAsia="zh-CN"/>
          <w14:textFill>
            <w14:solidFill>
              <w14:schemeClr w14:val="tx1"/>
            </w14:solidFill>
          </w14:textFill>
        </w:rPr>
        <w:t>如重整计划无法在上述期限内执行完毕，金鑫公司应于执行期满前向陇南中院提交延长重整计划执行期限的申请，并在陇南中院批准的延长期限内继续执行。重整计划提前执行完毕的，执行期限在执行完毕之日到期。</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逾期不提供银行账户信息的债权人，应向其分配的现金将按照重整计划的相关规定处理，由此产生的法律后果由相关债权人自行承担。</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b w:val="0"/>
          <w:bCs w:val="0"/>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0"/>
          <w:position w:val="0"/>
          <w:sz w:val="30"/>
          <w:szCs w:val="30"/>
          <w:lang w:val="en-US" w:eastAsia="zh-CN"/>
          <w14:textFill>
            <w14:solidFill>
              <w14:schemeClr w14:val="tx1"/>
            </w14:solidFill>
          </w14:textFill>
        </w:rPr>
        <w:t>2、留债展期的执行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根据重整计划应当留债展期的债权，在重整计划获得陇南中院批准后，管理人应向债权人送达留债展期告知书，留债展期告知书中明确留债金额及支付安排，</w:t>
      </w: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按留债展期告知书确定的留债金额及支付安排进行清偿，并根据留债展期告知书的内容与债权人签署书面留债协议，协议内容应符合重整计划规定。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b w:val="0"/>
          <w:bCs w:val="0"/>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0"/>
          <w:position w:val="0"/>
          <w:sz w:val="30"/>
          <w:szCs w:val="30"/>
          <w:lang w:val="en-US" w:eastAsia="zh-CN"/>
          <w14:textFill>
            <w14:solidFill>
              <w14:schemeClr w14:val="tx1"/>
            </w14:solidFill>
          </w14:textFill>
        </w:rPr>
        <w:t>3、重整费用和共益债务的清偿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重整费用包括案件受理费、管理人报酬、管理人聘请中介机构的费用、管理人执行职务的费用等。其中，案件受理费、管理人报酬、管理人聘请中介机构的费用在</w:t>
      </w:r>
      <w:r>
        <w:rPr>
          <w:rFonts w:hint="eastAsia" w:ascii="宋体" w:hAnsi="宋体" w:eastAsia="宋体" w:cs="宋体"/>
          <w:color w:val="000000" w:themeColor="text1"/>
          <w:spacing w:val="-3"/>
          <w:sz w:val="30"/>
          <w:szCs w:val="30"/>
          <w:lang w:val="en-US" w:eastAsia="zh-CN"/>
          <w14:textFill>
            <w14:solidFill>
              <w14:schemeClr w14:val="tx1"/>
            </w14:solidFill>
          </w14:textFill>
        </w:rPr>
        <w:t>陇南中院作出终结重整程序裁定书之日起15日内</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由</w:t>
      </w:r>
      <w:r>
        <w:rPr>
          <w:rFonts w:hint="eastAsia" w:ascii="宋体" w:hAnsi="宋体" w:eastAsia="宋体" w:cs="宋体"/>
          <w:color w:val="000000" w:themeColor="text1"/>
          <w:spacing w:val="-3"/>
          <w:sz w:val="30"/>
          <w:szCs w:val="30"/>
          <w:lang w:val="en-US" w:eastAsia="zh-CN"/>
          <w14:textFill>
            <w14:solidFill>
              <w14:schemeClr w14:val="tx1"/>
            </w14:solidFill>
          </w14:textFill>
        </w:rPr>
        <w:t>以现金方式支付</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。管理人执行职务的费用及其他重整费用根据重整计划执行的实际情况及相关协议的约定由</w:t>
      </w: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以现金优先支付。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重整期间的共益债务，包括但不限于因继续履行合同所产生的债务、继续营业而应支付的劳动报酬、社会保险费用以及由此产生的其他债务，由</w:t>
      </w:r>
      <w:r>
        <w:rPr>
          <w:rFonts w:hint="eastAsia" w:ascii="宋体" w:hAnsi="宋体" w:eastAsia="宋体" w:cs="宋体"/>
          <w:color w:val="000000" w:themeColor="text1"/>
          <w:spacing w:val="0"/>
          <w:position w:val="0"/>
          <w:sz w:val="30"/>
          <w:szCs w:val="30"/>
          <w:lang w:eastAsia="zh-CN"/>
          <w14:textFill>
            <w14:solidFill>
              <w14:schemeClr w14:val="tx1"/>
            </w14:solidFill>
          </w14:textFill>
        </w:rPr>
        <w:t>金鑫公司</w:t>
      </w: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按照相关合同约定随时清偿。</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66" w:name="_Toc4428"/>
      <w:r>
        <w:rPr>
          <w:rFonts w:hint="eastAsia" w:ascii="宋体" w:hAnsi="宋体" w:eastAsia="宋体" w:cs="宋体"/>
          <w:sz w:val="30"/>
          <w:szCs w:val="30"/>
          <w:lang w:val="en-US" w:eastAsia="zh-CN"/>
        </w:rPr>
        <w:t>(三）执行完毕的标准</w:t>
      </w:r>
      <w:bookmarkEnd w:id="66"/>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重整计划执行完毕的认定标准为同时满足下列条件：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1、按照本重整计划应以现金方式一次性清偿的债务己经全额分配至债权人指定的银行账户，或债权人未受领的偿债资金己全额提存至管理人指定的银行账户；</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2、对留债展期部分已经按照重整计划的规定向债权人送达留债展期告知书；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3、对暂缓确认及未申报的债权，根据重整计划规定需要预留的偿债资金己全额预留至管理人指定的银行账户；</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4、重整费用己根据重整计划的规定支付完毕。</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67" w:name="_Toc13421"/>
      <w:r>
        <w:rPr>
          <w:rFonts w:hint="eastAsia" w:ascii="宋体" w:hAnsi="宋体" w:eastAsia="宋体" w:cs="宋体"/>
          <w:sz w:val="30"/>
          <w:szCs w:val="30"/>
          <w:lang w:val="en-US" w:eastAsia="zh-CN"/>
        </w:rPr>
        <w:t>(四）协助执行事项</w:t>
      </w:r>
      <w:bookmarkEnd w:id="67"/>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重整计划执行过程中，需要有关单位协助执行的，金鑫公司将向陇南中院提出申请，请求陇南中院向有关单位出具要求其协助执行的司法文书。</w:t>
      </w:r>
    </w:p>
    <w:p>
      <w:pPr>
        <w:pStyle w:val="3"/>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68" w:name="_Toc20922"/>
      <w:r>
        <w:rPr>
          <w:rFonts w:hint="eastAsia" w:ascii="宋体" w:hAnsi="宋体" w:eastAsia="宋体" w:cs="宋体"/>
          <w:sz w:val="30"/>
          <w:szCs w:val="30"/>
          <w:lang w:val="en-US" w:eastAsia="zh-CN"/>
        </w:rPr>
        <w:t>八、重整计划执行的监督</w:t>
      </w:r>
      <w:bookmarkEnd w:id="68"/>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69" w:name="_Toc27703"/>
      <w:r>
        <w:rPr>
          <w:rFonts w:hint="eastAsia" w:ascii="宋体" w:hAnsi="宋体" w:eastAsia="宋体" w:cs="宋体"/>
          <w:sz w:val="30"/>
          <w:szCs w:val="30"/>
          <w:lang w:val="en-US" w:eastAsia="zh-CN"/>
        </w:rPr>
        <w:t>（一）监督主体</w:t>
      </w:r>
      <w:bookmarkEnd w:id="69"/>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根据《企业破产法》第九十条的规定，管理人负责监督债务人执行重整计划。</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0" w:name="_Toc29252"/>
      <w:r>
        <w:rPr>
          <w:rFonts w:hint="eastAsia" w:ascii="宋体" w:hAnsi="宋体" w:eastAsia="宋体" w:cs="宋体"/>
          <w:sz w:val="30"/>
          <w:szCs w:val="30"/>
          <w:lang w:val="en-US" w:eastAsia="zh-CN"/>
        </w:rPr>
        <w:t>(二）监督期限</w:t>
      </w:r>
      <w:bookmarkEnd w:id="70"/>
      <w:bookmarkStart w:id="85" w:name="_GoBack"/>
      <w:bookmarkEnd w:id="85"/>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重整计划执行的监督期限与重整计划的执行期限一致，自陇南中院裁定批准重整计划之日起计算。</w:t>
      </w:r>
    </w:p>
    <w:p>
      <w:pPr>
        <w:pStyle w:val="4"/>
        <w:pageBreakBefore w:val="0"/>
        <w:widowControl/>
        <w:numPr>
          <w:ilvl w:val="0"/>
          <w:numId w:val="0"/>
        </w:numPr>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1" w:name="_Toc6526"/>
      <w:r>
        <w:rPr>
          <w:rFonts w:hint="eastAsia" w:ascii="宋体" w:hAnsi="宋体" w:eastAsia="宋体" w:cs="宋体"/>
          <w:sz w:val="30"/>
          <w:szCs w:val="30"/>
          <w:lang w:val="en-US" w:eastAsia="zh-CN"/>
        </w:rPr>
        <w:t>（三）监督期限的延长与提前</w:t>
      </w:r>
      <w:bookmarkEnd w:id="71"/>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根据重整计划执行的实际情况，需要延长重整计划执行监督期限的，由管理人向陇南中院提交延长重整计划执行监督期限的申请，并在陇南中院裁定批准的延长期限内继续履行监督职责。</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重整计划执行期限提前到期的，执行监督期限相应提前到期。</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2" w:name="_Toc2532"/>
      <w:r>
        <w:rPr>
          <w:rFonts w:hint="eastAsia" w:ascii="宋体" w:hAnsi="宋体" w:eastAsia="宋体" w:cs="宋体"/>
          <w:sz w:val="30"/>
          <w:szCs w:val="30"/>
          <w:lang w:val="en-US" w:eastAsia="zh-CN"/>
        </w:rPr>
        <w:t>(四）监督期限内管理人及金鑫公司的职责</w:t>
      </w:r>
      <w:bookmarkEnd w:id="72"/>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重整计划执行监督期限内，金鑫公司应接受管理人的监督，及时向管理人报告重整计划执行情况。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监督期限届满，管理人将向陇南中院提交监督报告。自监督报告提交之日起，管理人的监督职责终止。</w:t>
      </w:r>
    </w:p>
    <w:p>
      <w:pPr>
        <w:pStyle w:val="3"/>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3" w:name="_Toc4071"/>
      <w:r>
        <w:rPr>
          <w:rFonts w:hint="eastAsia" w:ascii="宋体" w:hAnsi="宋体" w:eastAsia="宋体" w:cs="宋体"/>
          <w:sz w:val="30"/>
          <w:szCs w:val="30"/>
          <w:lang w:val="en-US" w:eastAsia="zh-CN"/>
        </w:rPr>
        <w:t>九、其他说明事项</w:t>
      </w:r>
      <w:bookmarkEnd w:id="73"/>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4" w:name="_Toc7150"/>
      <w:r>
        <w:rPr>
          <w:rFonts w:hint="eastAsia" w:ascii="宋体" w:hAnsi="宋体" w:eastAsia="宋体" w:cs="宋体"/>
          <w:sz w:val="30"/>
          <w:szCs w:val="30"/>
          <w:lang w:val="en-US" w:eastAsia="zh-CN"/>
        </w:rPr>
        <w:t>（一）重整计划生效条件及效力</w:t>
      </w:r>
      <w:bookmarkEnd w:id="74"/>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1</w:t>
      </w:r>
      <w:r>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t>、重整计划的生效条件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本重整计划在依据《企业破产法》第八十四条至八十七条之相关规定，由金鑫公司债权人会议按各表决组分别进行表决。有财产担保债权组债权人债权数额超出担保物评估市场价值的部分，将作为普通债权，在普通债权组计算表决额。在各表决组表决通过并经陇南中院裁定批准后重整计划生效，或部分表决组表决虽未通过，但经申请陇南中院裁定批准后本重整计划生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t>2、重整计划的效力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本重整计划获得法院裁定批准后，对金鑫公司、全体债权人等均有约束力。本重整计划对相关方权利义务的规定效力及于该项权利义务的承继方或受让方。</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5" w:name="_Toc29334"/>
      <w:r>
        <w:rPr>
          <w:rFonts w:hint="eastAsia" w:ascii="宋体" w:hAnsi="宋体" w:eastAsia="宋体" w:cs="宋体"/>
          <w:sz w:val="30"/>
          <w:szCs w:val="30"/>
          <w:lang w:val="en-US" w:eastAsia="zh-CN"/>
        </w:rPr>
        <w:t>(二）对未申报债权的处理</w:t>
      </w:r>
      <w:bookmarkEnd w:id="75"/>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对于金鑫公司账面记载，但未申报的债权，在重整计划执行期间不得行使权利，重整计划执行完毕后，债权仍在诉讼时效内并依法有效的，债权人可以按照重整计划规定的同类债权人清偿条件向金鑫公司主张权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对于未申报债权的债权人，重整计划执行完毕后，应当获得法院生效判决或仲裁机构的生效裁决确认，并向金鑫公司主张权利后，金鑫公司方可以该等预留资金对该等债权进行清偿。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在重整计划执行完毕公告之日起满三年，未申报债权的债权人未向金鑫公司主张权利的，根据本重整计划己为其提存的偿债资金将归还给金鑫公司用于补充流动资金。</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6" w:name="_Toc16275"/>
      <w:r>
        <w:rPr>
          <w:rFonts w:hint="eastAsia" w:ascii="宋体" w:hAnsi="宋体" w:eastAsia="宋体" w:cs="宋体"/>
          <w:sz w:val="30"/>
          <w:szCs w:val="30"/>
          <w:lang w:val="en-US" w:eastAsia="zh-CN"/>
        </w:rPr>
        <w:t>（三）财产保全措施的解除</w:t>
      </w:r>
      <w:bookmarkEnd w:id="76"/>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在法院裁定批准本重整计划之日起 15 日内，债权人应申请并配合解除对债务人财产的查封、冻结等措施。若债权人未在上述期限内申请并配合解除查封、冻结等措施，对重整计划的执行造成障碍，债务人或管理人有权依法向法院申请强制解除查封、冻结等措施；且债务人或管理人有权将相关债权人依本重整计划可获得分配的现金予以暂缓分配或提存，待债权人配合解除查封冻结措施后再行分配。</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7" w:name="_Toc25134"/>
      <w:r>
        <w:rPr>
          <w:rFonts w:hint="eastAsia" w:ascii="宋体" w:hAnsi="宋体" w:eastAsia="宋体" w:cs="宋体"/>
          <w:sz w:val="30"/>
          <w:szCs w:val="30"/>
          <w:lang w:val="en-US" w:eastAsia="zh-CN"/>
        </w:rPr>
        <w:t>（四）转让债权的清偿</w:t>
      </w:r>
      <w:bookmarkEnd w:id="77"/>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债权人在重整计划执行完毕前转让债权的，受让人按照原债权人根据重整计划就其债权可以获得的清偿条件及总额受偿；债权人向两家或两家以上的受让人转让债权的，所有债权受让人只能在原债权人根据重整计划规定获得的清偿范围进行清偿。</w:t>
      </w:r>
    </w:p>
    <w:p>
      <w:pPr>
        <w:pStyle w:val="4"/>
        <w:pageBreakBefore w:val="0"/>
        <w:widowControl/>
        <w:kinsoku w:val="0"/>
        <w:wordWrap/>
        <w:overflowPunct/>
        <w:topLinePunct w:val="0"/>
        <w:autoSpaceDE w:val="0"/>
        <w:autoSpaceDN w:val="0"/>
        <w:bidi w:val="0"/>
        <w:adjustRightInd w:val="0"/>
        <w:snapToGrid w:val="0"/>
        <w:spacing w:line="360" w:lineRule="auto"/>
        <w:ind w:firstLine="602" w:firstLineChars="200"/>
        <w:textAlignment w:val="baseline"/>
        <w:rPr>
          <w:rFonts w:hint="eastAsia" w:ascii="宋体" w:hAnsi="宋体" w:eastAsia="宋体" w:cs="宋体"/>
          <w:sz w:val="30"/>
          <w:szCs w:val="30"/>
          <w:lang w:val="en-US" w:eastAsia="zh-CN"/>
        </w:rPr>
      </w:pPr>
      <w:bookmarkStart w:id="78" w:name="_Toc10326"/>
      <w:r>
        <w:rPr>
          <w:rFonts w:hint="eastAsia" w:ascii="宋体" w:hAnsi="宋体" w:eastAsia="宋体" w:cs="宋体"/>
          <w:sz w:val="30"/>
          <w:szCs w:val="30"/>
          <w:lang w:val="en-US" w:eastAsia="zh-CN"/>
        </w:rPr>
        <w:t>(五）信用修复</w:t>
      </w:r>
      <w:bookmarkEnd w:id="78"/>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重整计划执行完毕之后，公司资产负债结构将得到实质改善，可持续经营能力及盈利能力得以提升。因此，在符合相关法律规定的前提下，请各金融、税务债权人继续给予金鑫公司正常的信贷支特，协助金鑫公司完成信用修复。</w:t>
      </w:r>
    </w:p>
    <w:p>
      <w:pPr>
        <w:pStyle w:val="4"/>
        <w:bidi w:val="0"/>
        <w:rPr>
          <w:rFonts w:hint="eastAsia"/>
          <w:sz w:val="30"/>
          <w:szCs w:val="30"/>
          <w:lang w:val="en-US" w:eastAsia="zh-CN"/>
        </w:rPr>
      </w:pPr>
      <w:bookmarkStart w:id="79" w:name="_Toc11239"/>
      <w:r>
        <w:rPr>
          <w:rFonts w:hint="eastAsia"/>
          <w:sz w:val="30"/>
          <w:szCs w:val="30"/>
          <w:lang w:val="en-US" w:eastAsia="zh-CN"/>
        </w:rPr>
        <w:t>（六）陇南扬名中学的优先权</w:t>
      </w:r>
      <w:bookmarkEnd w:id="79"/>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Chars="0" w:firstLine="602"/>
        <w:textAlignment w:val="baseline"/>
        <w:rPr>
          <w:rFonts w:hint="default" w:ascii="宋体" w:hAnsi="宋体" w:eastAsia="宋体" w:cs="宋体"/>
          <w:b/>
          <w:bCs/>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b w:val="0"/>
          <w:bCs w:val="0"/>
          <w:color w:val="000000" w:themeColor="text1"/>
          <w:spacing w:val="0"/>
          <w:position w:val="0"/>
          <w:sz w:val="30"/>
          <w:szCs w:val="30"/>
          <w:lang w:val="en-US" w:eastAsia="zh-CN"/>
          <w14:textFill>
            <w14:solidFill>
              <w14:schemeClr w14:val="tx1"/>
            </w14:solidFill>
          </w14:textFill>
        </w:rPr>
        <w:t>位于吉石坝的厂区现出租于陇南扬名中学，合同期限为10年，用于该校新增校区之用，承租人陇南扬名中学在同等条件下享有优先购买权和承租权。</w:t>
      </w:r>
    </w:p>
    <w:p>
      <w:pPr>
        <w:pStyle w:val="4"/>
        <w:bidi w:val="0"/>
        <w:rPr>
          <w:rFonts w:hint="eastAsia"/>
          <w:sz w:val="30"/>
          <w:szCs w:val="30"/>
          <w:lang w:val="en-US" w:eastAsia="zh-CN"/>
        </w:rPr>
      </w:pPr>
      <w:bookmarkStart w:id="80" w:name="_Toc16198"/>
      <w:r>
        <w:rPr>
          <w:rFonts w:hint="eastAsia"/>
          <w:sz w:val="30"/>
          <w:szCs w:val="30"/>
          <w:lang w:val="en-US" w:eastAsia="zh-CN"/>
        </w:rPr>
        <w:t>（七）重整计划的解释与修订</w:t>
      </w:r>
      <w:bookmarkEnd w:id="80"/>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t>1、重整计划的解释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在本重整计划执行过程中，若债权人或利益相关方对本重整计划的内容存在不同理解，且不同理解将导致利益相关方的权益受到影响时，债权人或利益相关方可以向管理人申请对重整计划相关内容进行解释。管理人在收到该申请之后，应基于公平公正的原则对相关内容进行解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2" w:firstLineChars="200"/>
        <w:textAlignment w:val="baseline"/>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b/>
          <w:bCs/>
          <w:color w:val="000000" w:themeColor="text1"/>
          <w:spacing w:val="0"/>
          <w:position w:val="0"/>
          <w:sz w:val="30"/>
          <w:szCs w:val="30"/>
          <w:lang w:val="en-US" w:eastAsia="zh-CN"/>
          <w14:textFill>
            <w14:solidFill>
              <w14:schemeClr w14:val="tx1"/>
            </w14:solidFill>
          </w14:textFill>
        </w:rPr>
        <w:t>2、重整计划的变更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600" w:firstLineChars="20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在本重整计划执行过程中，因出现国家政策调整、法律修改变化等特殊情况，或者因重整投资人过错导致重整计划无法执行的，债务人或管理人可以向陇南中院申请变更重整计划。陇南中院经审查裁定许可同意变更重整计划的，债务人或者管理人应当自获法院裁定之日起两个月内提出重整计划修正案。该修正案提交给因修正案而受到不利影响的债权人组及/或出资人组进行表决。表决、申请法院批准以及法院裁定批准重整计划修正案的程序与本重整计划的程序相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left="576" w:leftChars="0"/>
        <w:textAlignment w:val="baseline"/>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2700" w:firstLineChars="900"/>
        <w:textAlignment w:val="baseline"/>
        <w:outlineLvl w:val="0"/>
        <w:rPr>
          <w:rFonts w:hint="eastAsia" w:ascii="宋体" w:hAnsi="宋体" w:eastAsia="宋体" w:cs="宋体"/>
          <w:color w:val="000000" w:themeColor="text1"/>
          <w:spacing w:val="0"/>
          <w:position w:val="0"/>
          <w:sz w:val="30"/>
          <w:szCs w:val="30"/>
          <w:lang w:val="en-US" w:eastAsia="zh-CN"/>
          <w14:textFill>
            <w14:solidFill>
              <w14:schemeClr w14:val="tx1"/>
            </w14:solidFill>
          </w14:textFill>
        </w:rPr>
      </w:pPr>
      <w:bookmarkStart w:id="81" w:name="_Toc2688"/>
      <w:bookmarkStart w:id="82" w:name="_Toc10145"/>
      <w:bookmarkStart w:id="83" w:name="_Toc2662"/>
      <w:r>
        <w:rPr>
          <w:rFonts w:hint="eastAsia" w:ascii="宋体" w:hAnsi="宋体" w:eastAsia="宋体" w:cs="宋体"/>
          <w:color w:val="000000" w:themeColor="text1"/>
          <w:spacing w:val="0"/>
          <w:position w:val="0"/>
          <w:sz w:val="30"/>
          <w:szCs w:val="30"/>
          <w:lang w:val="en-US" w:eastAsia="zh-CN"/>
          <w14:textFill>
            <w14:solidFill>
              <w14:schemeClr w14:val="tx1"/>
            </w14:solidFill>
          </w14:textFill>
        </w:rPr>
        <w:t>甘肃金鑫新材料科技股份有限公司管理人</w:t>
      </w:r>
      <w:bookmarkEnd w:id="81"/>
      <w:bookmarkEnd w:id="82"/>
      <w:bookmarkEnd w:id="83"/>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92" w:line="360" w:lineRule="auto"/>
        <w:ind w:firstLine="3822" w:firstLineChars="1300"/>
        <w:textAlignment w:val="baseline"/>
        <w:rPr>
          <w:rFonts w:hint="default" w:ascii="新宋体" w:hAnsi="新宋体" w:eastAsia="新宋体" w:cs="新宋体"/>
          <w:color w:val="000000" w:themeColor="text1"/>
          <w:spacing w:val="-3"/>
          <w:sz w:val="30"/>
          <w:szCs w:val="30"/>
          <w:lang w:val="en-US" w:eastAsia="zh-CN"/>
          <w14:textFill>
            <w14:solidFill>
              <w14:schemeClr w14:val="tx1"/>
            </w14:solidFill>
          </w14:textFill>
        </w:rPr>
      </w:pPr>
      <w:r>
        <w:rPr>
          <w:rFonts w:hint="default" w:ascii="新宋体" w:hAnsi="新宋体" w:eastAsia="新宋体" w:cs="新宋体"/>
          <w:color w:val="000000" w:themeColor="text1"/>
          <w:spacing w:val="-3"/>
          <w:sz w:val="30"/>
          <w:szCs w:val="30"/>
          <w:lang w:val="en-US" w:eastAsia="zh-CN"/>
          <w14:textFill>
            <w14:solidFill>
              <w14:schemeClr w14:val="tx1"/>
            </w14:solidFill>
          </w14:textFill>
        </w:rPr>
        <w:t>二〇二三年九月六日</w:t>
      </w:r>
    </w:p>
    <w:p>
      <w:pPr>
        <w:rPr>
          <w:sz w:val="32"/>
          <w:szCs w:val="32"/>
        </w:rPr>
      </w:pPr>
      <w:bookmarkStart w:id="84" w:name="bookmark6"/>
      <w:bookmarkEnd w:id="84"/>
    </w:p>
    <w:sectPr>
      <w:footerReference r:id="rId11" w:type="default"/>
      <w:pgSz w:w="11906" w:h="16838"/>
      <w:pgMar w:top="1440" w:right="1800" w:bottom="1440" w:left="1800" w:header="851" w:footer="992" w:gutter="0"/>
      <w:pgNumType w:fmt="decimalFullWidt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Aharoni">
    <w:panose1 w:val="02010803020104030203"/>
    <w:charset w:val="00"/>
    <w:family w:val="auto"/>
    <w:pitch w:val="default"/>
    <w:sig w:usb0="00000801" w:usb1="00000000" w:usb2="00000000" w:usb3="00000000" w:csb0="00000020" w:csb1="00200000"/>
  </w:font>
  <w:font w:name="SimSun-ExtB">
    <w:panose1 w:val="02010609060101010101"/>
    <w:charset w:val="86"/>
    <w:family w:val="auto"/>
    <w:pitch w:val="default"/>
    <w:sig w:usb0="00000001" w:usb1="02000000" w:usb2="00000000" w:usb3="00000000" w:csb0="00040001"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84" w:lineRule="auto"/>
      <w:ind w:left="4136"/>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84" w:lineRule="auto"/>
      <w:ind w:left="4136"/>
      <w:rPr>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二</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二</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84" w:lineRule="auto"/>
      <w:ind w:left="4138"/>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四</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四</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84" w:lineRule="auto"/>
      <w:ind w:left="4136"/>
      <w:rPr>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六</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六</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6"/>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八</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八</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46" w:lineRule="auto"/>
      <w:rPr>
        <w:sz w:val="2"/>
      </w:rPr>
    </w:pPr>
    <w:r>
      <mc:AlternateContent>
        <mc:Choice Requires="wps">
          <w:drawing>
            <wp:anchor distT="0" distB="0" distL="114300" distR="114300" simplePos="0" relativeHeight="251659264" behindDoc="0" locked="0" layoutInCell="0" allowOverlap="1">
              <wp:simplePos x="0" y="0"/>
              <wp:positionH relativeFrom="page">
                <wp:posOffset>1124585</wp:posOffset>
              </wp:positionH>
              <wp:positionV relativeFrom="page">
                <wp:posOffset>701040</wp:posOffset>
              </wp:positionV>
              <wp:extent cx="5312410" cy="9525"/>
              <wp:effectExtent l="0" t="0" r="0" b="0"/>
              <wp:wrapNone/>
              <wp:docPr id="1" name="矩形 1"/>
              <wp:cNvGraphicFramePr/>
              <a:graphic xmlns:a="http://schemas.openxmlformats.org/drawingml/2006/main">
                <a:graphicData uri="http://schemas.microsoft.com/office/word/2010/wordprocessingShape">
                  <wps:wsp>
                    <wps:cNvSpPr/>
                    <wps:spPr>
                      <a:xfrm>
                        <a:off x="0" y="0"/>
                        <a:ext cx="5312410" cy="9525"/>
                      </a:xfrm>
                      <a:prstGeom prst="rect">
                        <a:avLst/>
                      </a:prstGeom>
                      <a:solidFill>
                        <a:srgbClr val="000000"/>
                      </a:solidFill>
                      <a:ln>
                        <a:noFill/>
                      </a:ln>
                    </wps:spPr>
                    <wps:bodyPr upright="1"/>
                  </wps:wsp>
                </a:graphicData>
              </a:graphic>
            </wp:anchor>
          </w:drawing>
        </mc:Choice>
        <mc:Fallback>
          <w:pict>
            <v:rect id="_x0000_s1026" o:spid="_x0000_s1026" o:spt="1" style="position:absolute;left:0pt;margin-left:88.55pt;margin-top:55.2pt;height:0.75pt;width:418.3pt;mso-position-horizontal-relative:page;mso-position-vertical-relative:page;z-index:251659264;mso-width-relative:page;mso-height-relative:page;" fillcolor="#000000" filled="t" stroked="f" coordsize="21600,21600" o:allowincell="f" o:gfxdata="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xWK1rZ&#10;AAAADAEAAA8AAAAAAAAAAQAgAAAAIgAAAGRycy9kb3ducmV2LnhtbFBLAQIUABQAAAAIAIdO4kAR&#10;cmGwrQEAAF0DAAAOAAAAAAAAAAEAIAAAACgBAABkcnMvZTJvRG9jLnhtbFBLBQYAAAAABgAGAFkB&#10;AABHBQAAAAA=&#10;">
              <v:fill on="t" focussize="0,0"/>
              <v:stroke on="f"/>
              <v:imagedata o:title=""/>
              <o:lock v:ext="edit" aspectratio="f"/>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46"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728375"/>
    <w:multiLevelType w:val="singleLevel"/>
    <w:tmpl w:val="9D728375"/>
    <w:lvl w:ilvl="0" w:tentative="0">
      <w:start w:val="1"/>
      <w:numFmt w:val="decimal"/>
      <w:suff w:val="nothing"/>
      <w:lvlText w:val="(%1）"/>
      <w:lvlJc w:val="left"/>
    </w:lvl>
  </w:abstractNum>
  <w:abstractNum w:abstractNumId="1">
    <w:nsid w:val="D6E12645"/>
    <w:multiLevelType w:val="singleLevel"/>
    <w:tmpl w:val="D6E12645"/>
    <w:lvl w:ilvl="0" w:tentative="0">
      <w:start w:val="1"/>
      <w:numFmt w:val="chineseCounting"/>
      <w:suff w:val="nothing"/>
      <w:lvlText w:val="%1、"/>
      <w:lvlJc w:val="left"/>
      <w:rPr>
        <w:rFonts w:hint="eastAsia"/>
      </w:rPr>
    </w:lvl>
  </w:abstractNum>
  <w:abstractNum w:abstractNumId="2">
    <w:nsid w:val="D7DD67A8"/>
    <w:multiLevelType w:val="singleLevel"/>
    <w:tmpl w:val="D7DD67A8"/>
    <w:lvl w:ilvl="0" w:tentative="0">
      <w:start w:val="3"/>
      <w:numFmt w:val="chineseCounting"/>
      <w:suff w:val="nothing"/>
      <w:lvlText w:val="（%1）"/>
      <w:lvlJc w:val="left"/>
      <w:rPr>
        <w:rFonts w:hint="eastAsia"/>
      </w:rPr>
    </w:lvl>
  </w:abstractNum>
  <w:abstractNum w:abstractNumId="3">
    <w:nsid w:val="EDD0C542"/>
    <w:multiLevelType w:val="singleLevel"/>
    <w:tmpl w:val="EDD0C542"/>
    <w:lvl w:ilvl="0" w:tentative="0">
      <w:start w:val="1"/>
      <w:numFmt w:val="chineseCounting"/>
      <w:suff w:val="nothing"/>
      <w:lvlText w:val="（%1）"/>
      <w:lvlJc w:val="left"/>
      <w:pPr>
        <w:ind w:left="576" w:leftChars="0" w:firstLine="0" w:firstLineChars="0"/>
      </w:pPr>
      <w:rPr>
        <w:rFonts w:hint="eastAsia"/>
      </w:rPr>
    </w:lvl>
  </w:abstractNum>
  <w:abstractNum w:abstractNumId="4">
    <w:nsid w:val="7F7F2ED6"/>
    <w:multiLevelType w:val="singleLevel"/>
    <w:tmpl w:val="7F7F2ED6"/>
    <w:lvl w:ilvl="0" w:tentative="0">
      <w:start w:val="1"/>
      <w:numFmt w:val="decimal"/>
      <w:suff w:val="nothing"/>
      <w:lvlText w:val="(%1）"/>
      <w:lvlJc w:val="left"/>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4ZWUwN2Y4MmVhNzY0ZmFkZGQ1MjhjNmIxODhlM2MifQ=="/>
  </w:docVars>
  <w:rsids>
    <w:rsidRoot w:val="703629B7"/>
    <w:rsid w:val="030715DE"/>
    <w:rsid w:val="08E76D59"/>
    <w:rsid w:val="09210817"/>
    <w:rsid w:val="0B424B21"/>
    <w:rsid w:val="0C2913AE"/>
    <w:rsid w:val="0DCF2837"/>
    <w:rsid w:val="0EAF39D5"/>
    <w:rsid w:val="11F8057C"/>
    <w:rsid w:val="126E4070"/>
    <w:rsid w:val="13C4067B"/>
    <w:rsid w:val="13E831A4"/>
    <w:rsid w:val="182075A8"/>
    <w:rsid w:val="18970855"/>
    <w:rsid w:val="1ADF181D"/>
    <w:rsid w:val="1B5D2F52"/>
    <w:rsid w:val="1B6A69F9"/>
    <w:rsid w:val="1E8A1C34"/>
    <w:rsid w:val="22AA14D2"/>
    <w:rsid w:val="246C06E5"/>
    <w:rsid w:val="25314980"/>
    <w:rsid w:val="25C22C17"/>
    <w:rsid w:val="26FA3C71"/>
    <w:rsid w:val="27724B54"/>
    <w:rsid w:val="2ADC5654"/>
    <w:rsid w:val="2B5C0ED5"/>
    <w:rsid w:val="2B8A71CD"/>
    <w:rsid w:val="2CFA75BB"/>
    <w:rsid w:val="2E1058B1"/>
    <w:rsid w:val="2E50690A"/>
    <w:rsid w:val="2EAE2349"/>
    <w:rsid w:val="2F0323B1"/>
    <w:rsid w:val="30B73B6B"/>
    <w:rsid w:val="31A12F77"/>
    <w:rsid w:val="32F20029"/>
    <w:rsid w:val="35092088"/>
    <w:rsid w:val="35C214E3"/>
    <w:rsid w:val="39245DD4"/>
    <w:rsid w:val="39907DFD"/>
    <w:rsid w:val="3B1B07C5"/>
    <w:rsid w:val="3C0E4317"/>
    <w:rsid w:val="3C584B09"/>
    <w:rsid w:val="3E507D6C"/>
    <w:rsid w:val="3E9F41A4"/>
    <w:rsid w:val="40D40437"/>
    <w:rsid w:val="413E130B"/>
    <w:rsid w:val="42E1312E"/>
    <w:rsid w:val="43623BD6"/>
    <w:rsid w:val="44C57F36"/>
    <w:rsid w:val="47B52F6E"/>
    <w:rsid w:val="494616A5"/>
    <w:rsid w:val="49F509D5"/>
    <w:rsid w:val="4A2E4B14"/>
    <w:rsid w:val="4C0B2AB4"/>
    <w:rsid w:val="4D0F7646"/>
    <w:rsid w:val="4D28701A"/>
    <w:rsid w:val="4F2E4B00"/>
    <w:rsid w:val="52DB6D96"/>
    <w:rsid w:val="55275221"/>
    <w:rsid w:val="564E650E"/>
    <w:rsid w:val="576231DA"/>
    <w:rsid w:val="577F374D"/>
    <w:rsid w:val="59C26B25"/>
    <w:rsid w:val="5B181390"/>
    <w:rsid w:val="5B8E7178"/>
    <w:rsid w:val="60DC3ED2"/>
    <w:rsid w:val="61F36958"/>
    <w:rsid w:val="62B17737"/>
    <w:rsid w:val="65A47239"/>
    <w:rsid w:val="679D301E"/>
    <w:rsid w:val="67FF0F45"/>
    <w:rsid w:val="68E74491"/>
    <w:rsid w:val="69EE74C3"/>
    <w:rsid w:val="6EEB3FD1"/>
    <w:rsid w:val="6F321C00"/>
    <w:rsid w:val="6F354F8D"/>
    <w:rsid w:val="703629B7"/>
    <w:rsid w:val="70393FCD"/>
    <w:rsid w:val="70CC61AF"/>
    <w:rsid w:val="710373FA"/>
    <w:rsid w:val="73B77986"/>
    <w:rsid w:val="757F52B6"/>
    <w:rsid w:val="75EC110A"/>
    <w:rsid w:val="78603381"/>
    <w:rsid w:val="78FB092B"/>
    <w:rsid w:val="793F3897"/>
    <w:rsid w:val="7B445D9F"/>
    <w:rsid w:val="7BAB6FC2"/>
    <w:rsid w:val="7DC0487A"/>
    <w:rsid w:val="7F824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5">
    <w:name w:val="Body Text"/>
    <w:basedOn w:val="1"/>
    <w:semiHidden/>
    <w:qFormat/>
    <w:uiPriority w:val="0"/>
    <w:rPr>
      <w:rFonts w:ascii="Arial" w:hAnsi="Arial" w:eastAsia="Arial" w:cs="Arial"/>
      <w:sz w:val="21"/>
      <w:szCs w:val="21"/>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uiPriority w:val="0"/>
  </w:style>
  <w:style w:type="paragraph" w:styleId="9">
    <w:name w:val="toc 2"/>
    <w:basedOn w:val="1"/>
    <w:next w:val="1"/>
    <w:uiPriority w:val="0"/>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Text"/>
    <w:basedOn w:val="1"/>
    <w:semiHidden/>
    <w:qFormat/>
    <w:uiPriority w:val="0"/>
    <w:rPr>
      <w:rFonts w:ascii="宋体" w:hAnsi="宋体" w:eastAsia="宋体" w:cs="宋体"/>
      <w:sz w:val="24"/>
      <w:szCs w:val="24"/>
      <w:lang w:val="en-US" w:eastAsia="en-US" w:bidi="ar-SA"/>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paragraph" w:customStyle="1" w:styleId="16">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10309</Words>
  <Characters>11034</Characters>
  <Lines>0</Lines>
  <Paragraphs>0</Paragraphs>
  <TotalTime>41</TotalTime>
  <ScaleCrop>false</ScaleCrop>
  <LinksUpToDate>false</LinksUpToDate>
  <CharactersWithSpaces>11282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2023-09-18T23:34:00Z</dcterms:created>
  <dc:creator>法律人</dc:creator>
  <cp:lastModifiedBy>Administrator</cp:lastModifiedBy>
  <cp:lastPrinted>2023-09-23T02:34:00Z</cp:lastPrinted>
  <dcterms:modified xsi:type="dcterms:W3CDTF">2023-09-25T14:03:26Z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35F57DFB17CA4B9DBB4665532E3ED10E_13</vt:lpwstr>
  </property>
</Properties>
</file>