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ascii="方正小标宋简体" w:hAnsi="宋体" w:eastAsia="方正小标宋简体" w:cs="宋体"/>
          <w:bCs/>
          <w:color w:val="auto"/>
          <w:sz w:val="32"/>
          <w:szCs w:val="32"/>
          <w:highlight w:val="none"/>
        </w:rPr>
      </w:pPr>
      <w:r>
        <w:rPr>
          <w:rFonts w:hint="eastAsia" w:ascii="方正小标宋简体" w:hAnsi="宋体" w:eastAsia="方正小标宋简体" w:cs="宋体"/>
          <w:bCs/>
          <w:color w:val="auto"/>
          <w:sz w:val="32"/>
          <w:szCs w:val="32"/>
          <w:highlight w:val="none"/>
        </w:rPr>
        <w:t>安徽省宁国市鸿鹰生态旅游发展有限责任公司破产</w:t>
      </w:r>
      <w:r>
        <w:rPr>
          <w:rFonts w:hint="eastAsia" w:ascii="方正小标宋简体" w:hAnsi="宋体" w:eastAsia="方正小标宋简体" w:cs="宋体"/>
          <w:bCs/>
          <w:color w:val="auto"/>
          <w:sz w:val="32"/>
          <w:szCs w:val="32"/>
          <w:highlight w:val="none"/>
          <w:lang w:val="en-US" w:eastAsia="zh-CN"/>
        </w:rPr>
        <w:t>重整</w:t>
      </w:r>
      <w:r>
        <w:rPr>
          <w:rFonts w:hint="eastAsia" w:ascii="方正小标宋简体" w:hAnsi="宋体" w:eastAsia="方正小标宋简体" w:cs="宋体"/>
          <w:bCs/>
          <w:color w:val="auto"/>
          <w:sz w:val="32"/>
          <w:szCs w:val="32"/>
          <w:highlight w:val="none"/>
        </w:rPr>
        <w:t>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宋体" w:eastAsia="方正小标宋简体" w:cs="宋体"/>
          <w:bCs/>
          <w:color w:val="auto"/>
          <w:sz w:val="32"/>
          <w:szCs w:val="32"/>
          <w:highlight w:val="none"/>
        </w:rPr>
      </w:pPr>
      <w:r>
        <w:rPr>
          <w:rFonts w:hint="eastAsia" w:ascii="方正小标宋简体" w:hAnsi="宋体" w:eastAsia="方正小标宋简体" w:cs="宋体"/>
          <w:bCs/>
          <w:color w:val="auto"/>
          <w:sz w:val="32"/>
          <w:szCs w:val="32"/>
          <w:highlight w:val="none"/>
        </w:rPr>
        <w:t>意向投资人招募公告</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highlight w:val="none"/>
        </w:rPr>
      </w:pPr>
      <w:bookmarkStart w:id="0" w:name="_GoBack"/>
      <w:r>
        <w:rPr>
          <w:rFonts w:hint="eastAsia" w:ascii="仿宋_GB2312" w:hAnsi="宋体" w:eastAsia="仿宋_GB2312" w:cs="宋体"/>
          <w:color w:val="auto"/>
          <w:sz w:val="32"/>
          <w:szCs w:val="32"/>
          <w:highlight w:val="none"/>
        </w:rPr>
        <w:t>2023年7月27日</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rPr>
        <w:t>宁国市人民法院（以下简称“宁国法院”）作出（2023）皖1881破申4-1号民事裁定书，裁定受理宁国市永祥电力工程技术有限公司（以下简称“永祥公司”）对安徽省宁国市鸿鹰生态旅游发展有限责任公司（以下简称“鸿鹰公司”或“债务人”）</w:t>
      </w:r>
      <w:r>
        <w:rPr>
          <w:rFonts w:hint="eastAsia" w:ascii="仿宋_GB2312" w:hAnsi="宋体" w:eastAsia="仿宋_GB2312" w:cs="宋体"/>
          <w:color w:val="auto"/>
          <w:sz w:val="32"/>
          <w:szCs w:val="32"/>
          <w:highlight w:val="none"/>
          <w:lang w:eastAsia="zh-CN"/>
        </w:rPr>
        <w:t>的</w:t>
      </w:r>
      <w:r>
        <w:rPr>
          <w:rFonts w:hint="eastAsia" w:ascii="仿宋_GB2312" w:hAnsi="宋体" w:eastAsia="仿宋_GB2312" w:cs="宋体"/>
          <w:color w:val="auto"/>
          <w:sz w:val="32"/>
          <w:szCs w:val="32"/>
          <w:highlight w:val="none"/>
        </w:rPr>
        <w:t>破产重整申请，并于同日作出（2023）皖1881破4号决定书指定安徽宁芯破产清算事务所有限公司担任管理人</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以下简称“管理人”</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rPr>
        <w:t>开展本案破产重整工作。</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鉴于</w:t>
      </w:r>
      <w:r>
        <w:rPr>
          <w:rFonts w:hint="eastAsia" w:ascii="仿宋_GB2312" w:hAnsi="宋体" w:eastAsia="仿宋_GB2312" w:cs="宋体"/>
          <w:color w:val="auto"/>
          <w:sz w:val="32"/>
          <w:szCs w:val="32"/>
          <w:highlight w:val="none"/>
          <w:lang w:val="en-US" w:eastAsia="zh-CN"/>
        </w:rPr>
        <w:t>鸿鹰</w:t>
      </w:r>
      <w:r>
        <w:rPr>
          <w:rFonts w:hint="eastAsia" w:ascii="仿宋_GB2312" w:hAnsi="宋体" w:eastAsia="仿宋_GB2312" w:cs="宋体"/>
          <w:color w:val="auto"/>
          <w:sz w:val="32"/>
          <w:szCs w:val="32"/>
          <w:highlight w:val="none"/>
        </w:rPr>
        <w:t>公司</w:t>
      </w:r>
      <w:r>
        <w:rPr>
          <w:rFonts w:hint="eastAsia" w:ascii="仿宋_GB2312" w:hAnsi="宋体" w:eastAsia="仿宋_GB2312" w:cs="宋体"/>
          <w:color w:val="auto"/>
          <w:sz w:val="32"/>
          <w:szCs w:val="32"/>
          <w:highlight w:val="none"/>
          <w:lang w:eastAsia="zh-CN"/>
        </w:rPr>
        <w:t>是</w:t>
      </w:r>
      <w:r>
        <w:rPr>
          <w:rFonts w:hint="eastAsia" w:ascii="仿宋_GB2312" w:hAnsi="宋体" w:eastAsia="仿宋_GB2312" w:cs="宋体"/>
          <w:color w:val="auto"/>
          <w:sz w:val="32"/>
          <w:szCs w:val="32"/>
          <w:highlight w:val="none"/>
        </w:rPr>
        <w:t>宁国市内</w:t>
      </w:r>
      <w:r>
        <w:rPr>
          <w:rFonts w:hint="eastAsia" w:ascii="仿宋_GB2312" w:hAnsi="宋体" w:eastAsia="仿宋_GB2312" w:cs="宋体"/>
          <w:color w:val="auto"/>
          <w:sz w:val="32"/>
          <w:szCs w:val="32"/>
          <w:highlight w:val="none"/>
          <w:lang w:val="en-US" w:eastAsia="zh-CN"/>
        </w:rPr>
        <w:t>较大</w:t>
      </w:r>
      <w:r>
        <w:rPr>
          <w:rFonts w:hint="eastAsia" w:ascii="仿宋_GB2312" w:hAnsi="宋体" w:eastAsia="仿宋_GB2312" w:cs="宋体"/>
          <w:color w:val="auto"/>
          <w:sz w:val="32"/>
          <w:szCs w:val="32"/>
          <w:highlight w:val="none"/>
        </w:rPr>
        <w:t>的</w:t>
      </w:r>
      <w:r>
        <w:rPr>
          <w:rFonts w:hint="eastAsia" w:ascii="仿宋_GB2312" w:hAnsi="宋体" w:eastAsia="仿宋_GB2312" w:cs="宋体"/>
          <w:color w:val="auto"/>
          <w:sz w:val="32"/>
          <w:szCs w:val="32"/>
          <w:highlight w:val="none"/>
          <w:lang w:val="en-US" w:eastAsia="zh-CN"/>
        </w:rPr>
        <w:t>房地产开发</w:t>
      </w:r>
      <w:r>
        <w:rPr>
          <w:rFonts w:hint="eastAsia" w:ascii="仿宋_GB2312" w:hAnsi="宋体" w:eastAsia="仿宋_GB2312" w:cs="宋体"/>
          <w:color w:val="auto"/>
          <w:sz w:val="32"/>
          <w:szCs w:val="32"/>
          <w:highlight w:val="none"/>
        </w:rPr>
        <w:t>企业，为顺利盘活破产企业资产，实现债权人利益最大化，管理人现面向社会公开招募意向投资人，欢迎有资金有实力的意向投资人与管理人洽谈协商投资事宜。现就相关事项公告如下：</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ind w:firstLine="420" w:firstLineChars="0"/>
        <w:textAlignment w:val="auto"/>
        <w:rPr>
          <w:rFonts w:hint="default" w:ascii="仿宋_GB2312" w:hAnsi="宋体" w:eastAsia="仿宋_GB2312" w:cs="宋体"/>
          <w:color w:val="auto"/>
          <w:sz w:val="32"/>
          <w:szCs w:val="32"/>
          <w:highlight w:val="none"/>
          <w:lang w:val="en-US" w:eastAsia="zh-CN"/>
        </w:rPr>
      </w:pPr>
      <w:r>
        <w:rPr>
          <w:rFonts w:hint="eastAsia" w:ascii="黑体" w:hAnsi="黑体" w:eastAsia="黑体" w:cs="宋体"/>
          <w:bCs/>
          <w:color w:val="auto"/>
          <w:sz w:val="32"/>
          <w:szCs w:val="32"/>
          <w:highlight w:val="none"/>
          <w:lang w:val="en-US" w:eastAsia="zh-CN"/>
        </w:rPr>
        <w:t>招募须知</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ascii="仿宋_GB2312" w:hAnsi="宋体" w:eastAsia="仿宋_GB2312" w:cs="宋体"/>
          <w:b w:val="0"/>
          <w:bCs/>
          <w:color w:val="auto"/>
          <w:sz w:val="32"/>
          <w:szCs w:val="32"/>
          <w:highlight w:val="none"/>
        </w:rPr>
      </w:pPr>
      <w:r>
        <w:rPr>
          <w:rFonts w:hint="eastAsia" w:ascii="仿宋_GB2312" w:hAnsi="宋体" w:eastAsia="仿宋_GB2312" w:cs="宋体"/>
          <w:b w:val="0"/>
          <w:bCs/>
          <w:color w:val="auto"/>
          <w:sz w:val="32"/>
          <w:szCs w:val="32"/>
          <w:highlight w:val="none"/>
          <w:lang w:val="en-US" w:eastAsia="zh-CN"/>
        </w:rPr>
        <w:t>管理人采取公开方式进行招募共益债投资人，在全国企业破产重整案件信息网等平台发布招募公告，并接受各方监督。</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ascii="仿宋_GB2312" w:hAnsi="宋体" w:eastAsia="仿宋_GB2312" w:cs="宋体"/>
          <w:b w:val="0"/>
          <w:bCs/>
          <w:color w:val="auto"/>
          <w:sz w:val="32"/>
          <w:szCs w:val="32"/>
          <w:highlight w:val="none"/>
        </w:rPr>
      </w:pPr>
      <w:r>
        <w:rPr>
          <w:rFonts w:hint="eastAsia" w:ascii="仿宋_GB2312" w:hAnsi="宋体" w:eastAsia="仿宋_GB2312" w:cs="宋体"/>
          <w:b w:val="0"/>
          <w:bCs/>
          <w:color w:val="auto"/>
          <w:sz w:val="32"/>
          <w:szCs w:val="32"/>
          <w:highlight w:val="none"/>
          <w:lang w:val="en-US" w:eastAsia="zh-CN"/>
        </w:rPr>
        <w:t>意向投资人应谨慎细致地阅读本招募公告并严格按照本招募公告规定的原则、条件、流程等履行各项手续。</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ascii="仿宋_GB2312" w:hAnsi="宋体" w:eastAsia="仿宋_GB2312" w:cs="宋体"/>
          <w:b w:val="0"/>
          <w:bCs/>
          <w:color w:val="auto"/>
          <w:sz w:val="32"/>
          <w:szCs w:val="32"/>
          <w:highlight w:val="none"/>
        </w:rPr>
      </w:pPr>
      <w:r>
        <w:rPr>
          <w:rFonts w:hint="eastAsia" w:ascii="仿宋_GB2312" w:hAnsi="宋体" w:eastAsia="仿宋_GB2312" w:cs="宋体"/>
          <w:b w:val="0"/>
          <w:bCs/>
          <w:color w:val="auto"/>
          <w:sz w:val="32"/>
          <w:szCs w:val="32"/>
          <w:highlight w:val="none"/>
          <w:lang w:val="en-US" w:eastAsia="zh-CN"/>
        </w:rPr>
        <w:t>本次招募的投资款主要用于二期项目续建（三期土地开发、酒店式公寓及酒店项目暂不纳入），期限自即日起至2023年11月8日止</w:t>
      </w:r>
    </w:p>
    <w:p>
      <w:pPr>
        <w:keepNext w:val="0"/>
        <w:keepLines w:val="0"/>
        <w:pageBreakBefore w:val="0"/>
        <w:widowControl w:val="0"/>
        <w:numPr>
          <w:ilvl w:val="0"/>
          <w:numId w:val="2"/>
        </w:numPr>
        <w:kinsoku/>
        <w:wordWrap/>
        <w:overflowPunct/>
        <w:topLinePunct w:val="0"/>
        <w:autoSpaceDE/>
        <w:autoSpaceDN/>
        <w:bidi w:val="0"/>
        <w:adjustRightInd/>
        <w:snapToGrid/>
        <w:spacing w:line="560" w:lineRule="exact"/>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b w:val="0"/>
          <w:bCs/>
          <w:color w:val="auto"/>
          <w:sz w:val="32"/>
          <w:szCs w:val="32"/>
          <w:highlight w:val="none"/>
          <w:lang w:val="en-US" w:eastAsia="zh-CN"/>
        </w:rPr>
        <w:t>本招募公告中所列鸿鹰公司的概况、管理人阶段性调查数据等，仅供意向投资人参考，最终情况及数据以意向投资人调查结果为准，相关风险自行承担。</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ascii="黑体" w:hAnsi="黑体" w:eastAsia="黑体" w:cs="宋体"/>
          <w:bCs/>
          <w:color w:val="auto"/>
          <w:sz w:val="32"/>
          <w:szCs w:val="32"/>
          <w:highlight w:val="none"/>
        </w:rPr>
      </w:pPr>
      <w:r>
        <w:rPr>
          <w:rFonts w:hint="eastAsia" w:ascii="黑体" w:hAnsi="黑体" w:eastAsia="黑体" w:cs="宋体"/>
          <w:bCs/>
          <w:color w:val="auto"/>
          <w:sz w:val="32"/>
          <w:szCs w:val="32"/>
          <w:highlight w:val="none"/>
          <w:lang w:val="en-US" w:eastAsia="zh-CN"/>
        </w:rPr>
        <w:t>鸿鹰</w:t>
      </w:r>
      <w:r>
        <w:rPr>
          <w:rFonts w:hint="eastAsia" w:ascii="黑体" w:hAnsi="黑体" w:eastAsia="黑体" w:cs="宋体"/>
          <w:bCs/>
          <w:color w:val="auto"/>
          <w:sz w:val="32"/>
          <w:szCs w:val="32"/>
          <w:highlight w:val="none"/>
        </w:rPr>
        <w:t>公司基本情况</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ascii="仿宋_GB2312" w:hAnsi="宋体" w:eastAsia="仿宋_GB2312" w:cs="宋体"/>
          <w:b w:val="0"/>
          <w:bCs/>
          <w:color w:val="auto"/>
          <w:sz w:val="32"/>
          <w:szCs w:val="32"/>
          <w:highlight w:val="none"/>
        </w:rPr>
      </w:pPr>
      <w:r>
        <w:rPr>
          <w:rFonts w:hint="eastAsia" w:ascii="仿宋_GB2312" w:hAnsi="宋体" w:eastAsia="仿宋_GB2312" w:cs="宋体"/>
          <w:b w:val="0"/>
          <w:bCs/>
          <w:color w:val="auto"/>
          <w:sz w:val="32"/>
          <w:szCs w:val="32"/>
          <w:highlight w:val="none"/>
          <w:lang w:val="en-US" w:eastAsia="zh-CN"/>
        </w:rPr>
        <w:t>鸿鹰</w:t>
      </w:r>
      <w:r>
        <w:rPr>
          <w:rFonts w:hint="eastAsia" w:ascii="仿宋_GB2312" w:hAnsi="宋体" w:eastAsia="仿宋_GB2312" w:cs="宋体"/>
          <w:b w:val="0"/>
          <w:bCs/>
          <w:color w:val="auto"/>
          <w:sz w:val="32"/>
          <w:szCs w:val="32"/>
          <w:highlight w:val="none"/>
        </w:rPr>
        <w:t>公司概况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鸿鹰公司于2007年11月9日在宁国市市场监督管理局登记注册，工商注册号342502000003249，统一社会信用代码91341881667937213T。公司注册资本为2700万元，共有两位股东，分别为宁波锦跃置业有限公司（持股80%）和安徽省宁国市恒茂投资有限公司（持股20%）。公司经营范围是房地产开发，旅游场所建设。</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ascii="仿宋_GB2312" w:hAnsi="宋体" w:eastAsia="仿宋_GB2312" w:cs="宋体"/>
          <w:b w:val="0"/>
          <w:bCs/>
          <w:color w:val="auto"/>
          <w:sz w:val="32"/>
          <w:szCs w:val="32"/>
          <w:highlight w:val="none"/>
        </w:rPr>
      </w:pPr>
      <w:r>
        <w:rPr>
          <w:rFonts w:hint="eastAsia" w:ascii="仿宋_GB2312" w:hAnsi="宋体" w:eastAsia="仿宋_GB2312" w:cs="宋体"/>
          <w:b w:val="0"/>
          <w:bCs/>
          <w:color w:val="auto"/>
          <w:sz w:val="32"/>
          <w:szCs w:val="32"/>
          <w:highlight w:val="none"/>
          <w:lang w:val="en-US" w:eastAsia="zh-CN"/>
        </w:rPr>
        <w:t>鸿鹰公司</w:t>
      </w:r>
      <w:r>
        <w:rPr>
          <w:rFonts w:hint="eastAsia" w:ascii="仿宋_GB2312" w:hAnsi="宋体" w:eastAsia="仿宋_GB2312" w:cs="宋体"/>
          <w:b w:val="0"/>
          <w:bCs/>
          <w:color w:val="auto"/>
          <w:sz w:val="32"/>
          <w:szCs w:val="32"/>
          <w:highlight w:val="none"/>
        </w:rPr>
        <w:t>主要资产情况</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截止202</w:t>
      </w:r>
      <w:r>
        <w:rPr>
          <w:rFonts w:hint="eastAsia" w:ascii="仿宋_GB2312" w:hAnsi="宋体" w:eastAsia="仿宋_GB2312" w:cs="宋体"/>
          <w:color w:val="auto"/>
          <w:sz w:val="32"/>
          <w:szCs w:val="32"/>
          <w:highlight w:val="none"/>
          <w:lang w:val="en-US" w:eastAsia="zh-CN"/>
        </w:rPr>
        <w:t>3</w:t>
      </w:r>
      <w:r>
        <w:rPr>
          <w:rFonts w:hint="eastAsia" w:ascii="仿宋_GB2312" w:hAnsi="宋体" w:eastAsia="仿宋_GB2312" w:cs="宋体"/>
          <w:color w:val="auto"/>
          <w:sz w:val="32"/>
          <w:szCs w:val="32"/>
          <w:highlight w:val="none"/>
        </w:rPr>
        <w:t>年</w:t>
      </w:r>
      <w:r>
        <w:rPr>
          <w:rFonts w:hint="eastAsia" w:ascii="仿宋_GB2312" w:hAnsi="宋体" w:eastAsia="仿宋_GB2312" w:cs="宋体"/>
          <w:color w:val="auto"/>
          <w:sz w:val="32"/>
          <w:szCs w:val="32"/>
          <w:highlight w:val="none"/>
          <w:lang w:val="en-US" w:eastAsia="zh-CN"/>
        </w:rPr>
        <w:t>7</w:t>
      </w:r>
      <w:r>
        <w:rPr>
          <w:rFonts w:hint="eastAsia" w:ascii="仿宋_GB2312" w:hAnsi="宋体" w:eastAsia="仿宋_GB2312" w:cs="宋体"/>
          <w:color w:val="auto"/>
          <w:sz w:val="32"/>
          <w:szCs w:val="32"/>
          <w:highlight w:val="none"/>
        </w:rPr>
        <w:t>月</w:t>
      </w:r>
      <w:r>
        <w:rPr>
          <w:rFonts w:hint="eastAsia" w:ascii="仿宋_GB2312" w:hAnsi="宋体" w:eastAsia="仿宋_GB2312" w:cs="宋体"/>
          <w:color w:val="auto"/>
          <w:sz w:val="32"/>
          <w:szCs w:val="32"/>
          <w:highlight w:val="none"/>
          <w:lang w:val="en-US" w:eastAsia="zh-CN"/>
        </w:rPr>
        <w:t>27</w:t>
      </w:r>
      <w:r>
        <w:rPr>
          <w:rFonts w:hint="eastAsia" w:ascii="仿宋_GB2312" w:hAnsi="宋体" w:eastAsia="仿宋_GB2312" w:cs="宋体"/>
          <w:color w:val="auto"/>
          <w:sz w:val="32"/>
          <w:szCs w:val="32"/>
          <w:highlight w:val="none"/>
        </w:rPr>
        <w:t>日,经管理人初步核查,</w:t>
      </w:r>
      <w:r>
        <w:rPr>
          <w:rFonts w:hint="eastAsia" w:ascii="仿宋_GB2312" w:hAnsi="宋体" w:eastAsia="仿宋_GB2312" w:cs="宋体"/>
          <w:color w:val="auto"/>
          <w:sz w:val="32"/>
          <w:szCs w:val="32"/>
          <w:highlight w:val="none"/>
          <w:lang w:val="en-US" w:eastAsia="zh-CN"/>
        </w:rPr>
        <w:t>鸿鹰</w:t>
      </w:r>
      <w:r>
        <w:rPr>
          <w:rFonts w:hint="eastAsia" w:ascii="仿宋_GB2312" w:hAnsi="宋体" w:eastAsia="仿宋_GB2312" w:cs="宋体"/>
          <w:color w:val="auto"/>
          <w:sz w:val="32"/>
          <w:szCs w:val="32"/>
          <w:highlight w:val="none"/>
        </w:rPr>
        <w:t>公司主要资产</w:t>
      </w:r>
      <w:r>
        <w:rPr>
          <w:rFonts w:hint="eastAsia" w:ascii="仿宋_GB2312" w:hAnsi="宋体" w:eastAsia="仿宋_GB2312" w:cs="宋体"/>
          <w:color w:val="auto"/>
          <w:sz w:val="32"/>
          <w:szCs w:val="32"/>
          <w:highlight w:val="none"/>
          <w:lang w:val="en-US" w:eastAsia="zh-CN"/>
        </w:rPr>
        <w:t>为开发建设的房屋，具体</w:t>
      </w:r>
      <w:r>
        <w:rPr>
          <w:rFonts w:hint="eastAsia" w:ascii="仿宋_GB2312" w:hAnsi="宋体" w:eastAsia="仿宋_GB2312" w:cs="宋体"/>
          <w:color w:val="auto"/>
          <w:sz w:val="32"/>
          <w:szCs w:val="32"/>
          <w:highlight w:val="none"/>
        </w:rPr>
        <w:t>如下:</w:t>
      </w:r>
    </w:p>
    <w:tbl>
      <w:tblPr>
        <w:tblStyle w:val="7"/>
        <w:tblpPr w:leftFromText="180" w:rightFromText="180" w:vertAnchor="text" w:horzAnchor="page" w:tblpX="1429" w:tblpY="529"/>
        <w:tblOverlap w:val="never"/>
        <w:tblW w:w="9409" w:type="dxa"/>
        <w:tblInd w:w="0" w:type="dxa"/>
        <w:tblLayout w:type="autofit"/>
        <w:tblCellMar>
          <w:top w:w="0" w:type="dxa"/>
          <w:left w:w="108" w:type="dxa"/>
          <w:bottom w:w="0" w:type="dxa"/>
          <w:right w:w="108" w:type="dxa"/>
        </w:tblCellMar>
      </w:tblPr>
      <w:tblGrid>
        <w:gridCol w:w="1261"/>
        <w:gridCol w:w="1266"/>
        <w:gridCol w:w="584"/>
        <w:gridCol w:w="1556"/>
        <w:gridCol w:w="939"/>
        <w:gridCol w:w="723"/>
        <w:gridCol w:w="1416"/>
        <w:gridCol w:w="1080"/>
        <w:gridCol w:w="584"/>
      </w:tblGrid>
      <w:tr>
        <w:tblPrEx>
          <w:tblCellMar>
            <w:top w:w="0" w:type="dxa"/>
            <w:left w:w="108" w:type="dxa"/>
            <w:bottom w:w="0" w:type="dxa"/>
            <w:right w:w="108" w:type="dxa"/>
          </w:tblCellMar>
        </w:tblPrEx>
        <w:trPr>
          <w:trHeight w:val="400" w:hRule="atLeast"/>
        </w:trPr>
        <w:tc>
          <w:tcPr>
            <w:tcW w:w="9408" w:type="dxa"/>
            <w:gridSpan w:val="9"/>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安徽省宁国市鸿鹰生态旅游发展有限责任公司资产总明细</w:t>
            </w:r>
          </w:p>
        </w:tc>
      </w:tr>
      <w:tr>
        <w:tblPrEx>
          <w:tblCellMar>
            <w:top w:w="0" w:type="dxa"/>
            <w:left w:w="108" w:type="dxa"/>
            <w:bottom w:w="0" w:type="dxa"/>
            <w:right w:w="108" w:type="dxa"/>
          </w:tblCellMar>
        </w:tblPrEx>
        <w:trPr>
          <w:trHeight w:val="312"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
                <w:bCs/>
                <w:color w:val="auto"/>
                <w:sz w:val="24"/>
              </w:rPr>
            </w:pPr>
          </w:p>
        </w:tc>
        <w:tc>
          <w:tcPr>
            <w:tcW w:w="12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建设进度</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类型</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总建筑面积</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总户数</w:t>
            </w:r>
          </w:p>
        </w:tc>
        <w:tc>
          <w:tcPr>
            <w:tcW w:w="3192" w:type="dxa"/>
            <w:gridSpan w:val="3"/>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销售情况</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备注</w:t>
            </w:r>
          </w:p>
        </w:tc>
      </w:tr>
      <w:tr>
        <w:tblPrEx>
          <w:tblCellMar>
            <w:top w:w="0" w:type="dxa"/>
            <w:left w:w="108" w:type="dxa"/>
            <w:bottom w:w="0" w:type="dxa"/>
            <w:right w:w="108" w:type="dxa"/>
          </w:tblCellMar>
        </w:tblPrEx>
        <w:trPr>
          <w:trHeight w:val="312"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
                <w:bCs/>
                <w:color w:val="auto"/>
                <w:sz w:val="24"/>
              </w:rPr>
            </w:pPr>
          </w:p>
        </w:tc>
        <w:tc>
          <w:tcPr>
            <w:tcW w:w="12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
                <w:bCs/>
                <w:color w:val="auto"/>
                <w:sz w:val="24"/>
              </w:rPr>
            </w:pP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
                <w:bCs/>
                <w:color w:val="auto"/>
                <w:sz w:val="24"/>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（套）</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状态</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面积：㎡</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b/>
                <w:bCs/>
                <w:color w:val="auto"/>
                <w:sz w:val="24"/>
              </w:rPr>
            </w:pPr>
            <w:r>
              <w:rPr>
                <w:rFonts w:hint="eastAsia" w:ascii="宋体" w:hAnsi="宋体" w:cs="宋体"/>
                <w:b/>
                <w:bCs/>
                <w:color w:val="auto"/>
                <w:kern w:val="0"/>
                <w:sz w:val="24"/>
                <w:lang w:bidi="ar"/>
              </w:rPr>
              <w:t>户数</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b/>
                <w:bCs/>
                <w:color w:val="auto"/>
                <w:sz w:val="24"/>
              </w:rPr>
            </w:pPr>
          </w:p>
        </w:tc>
      </w:tr>
      <w:tr>
        <w:tblPrEx>
          <w:tblCellMar>
            <w:top w:w="0" w:type="dxa"/>
            <w:left w:w="108" w:type="dxa"/>
            <w:bottom w:w="0" w:type="dxa"/>
            <w:right w:w="108" w:type="dxa"/>
          </w:tblCellMar>
        </w:tblPrEx>
        <w:trPr>
          <w:trHeight w:val="312"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1.1期</w:t>
            </w:r>
          </w:p>
        </w:tc>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交付且办证</w:t>
            </w:r>
          </w:p>
        </w:tc>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排屋</w:t>
            </w:r>
          </w:p>
        </w:tc>
        <w:tc>
          <w:tcPr>
            <w:tcW w:w="156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36,055.59 </w:t>
            </w:r>
          </w:p>
        </w:tc>
        <w:tc>
          <w:tcPr>
            <w:tcW w:w="9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134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已售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34,161.77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129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9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1,893.82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5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1.2期</w:t>
            </w:r>
          </w:p>
        </w:tc>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交付且办证</w:t>
            </w:r>
          </w:p>
        </w:tc>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排屋</w:t>
            </w:r>
          </w:p>
        </w:tc>
        <w:tc>
          <w:tcPr>
            <w:tcW w:w="156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12,530.66 </w:t>
            </w:r>
          </w:p>
        </w:tc>
        <w:tc>
          <w:tcPr>
            <w:tcW w:w="9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64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已售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11,101.00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57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9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1,429.66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7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2期</w:t>
            </w:r>
          </w:p>
        </w:tc>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可预售</w:t>
            </w:r>
          </w:p>
        </w:tc>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高层</w:t>
            </w:r>
          </w:p>
        </w:tc>
        <w:tc>
          <w:tcPr>
            <w:tcW w:w="156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26,639.66 </w:t>
            </w:r>
          </w:p>
        </w:tc>
        <w:tc>
          <w:tcPr>
            <w:tcW w:w="9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204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已售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14,913.70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122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9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11,725.96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82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排屋</w:t>
            </w:r>
          </w:p>
        </w:tc>
        <w:tc>
          <w:tcPr>
            <w:tcW w:w="1560"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936.33 </w:t>
            </w:r>
          </w:p>
        </w:tc>
        <w:tc>
          <w:tcPr>
            <w:tcW w:w="912"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5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已售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171.74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560"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912"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right"/>
              <w:rPr>
                <w:rFonts w:hint="eastAsia" w:ascii="宋体" w:hAnsi="宋体" w:cs="宋体"/>
                <w:color w:val="auto"/>
                <w:sz w:val="24"/>
              </w:rPr>
            </w:pP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764.59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4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624"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建设中（未售）</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高层</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7,695.00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64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7,695.00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64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排屋</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24,024.00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131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24,024.00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131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3期</w:t>
            </w:r>
          </w:p>
        </w:tc>
        <w:tc>
          <w:tcPr>
            <w:tcW w:w="1284"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未建</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高层</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27,053.00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204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27,053.00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204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284"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排屋</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28,802.00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151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28,802.00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151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624"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酒店</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建设中（自持）</w:t>
            </w:r>
          </w:p>
        </w:tc>
        <w:tc>
          <w:tcPr>
            <w:tcW w:w="588" w:type="dxa"/>
            <w:vMerge w:val="restart"/>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商业</w:t>
            </w: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27,000.00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27,000.00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酒店式公寓</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未建</w:t>
            </w:r>
          </w:p>
        </w:tc>
        <w:tc>
          <w:tcPr>
            <w:tcW w:w="58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15,000.00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未售</w:t>
            </w: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15,000.00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r>
        <w:tblPrEx>
          <w:tblCellMar>
            <w:top w:w="0" w:type="dxa"/>
            <w:left w:w="108" w:type="dxa"/>
            <w:bottom w:w="0" w:type="dxa"/>
            <w:right w:w="108" w:type="dxa"/>
          </w:tblCellMar>
        </w:tblPrEx>
        <w:trPr>
          <w:trHeight w:val="312" w:hRule="atLeast"/>
        </w:trPr>
        <w:tc>
          <w:tcPr>
            <w:tcW w:w="1284" w:type="dxa"/>
            <w:tcBorders>
              <w:top w:val="single" w:color="000000" w:sz="4" w:space="0"/>
              <w:left w:val="single" w:color="000000" w:sz="4" w:space="0"/>
              <w:bottom w:val="single" w:color="000000" w:sz="4" w:space="0"/>
              <w:right w:val="single" w:color="000000" w:sz="4" w:space="0"/>
            </w:tcBorders>
            <w:noWrap w:val="0"/>
            <w:vAlign w:val="center"/>
          </w:tcPr>
          <w:p>
            <w:pPr>
              <w:widowControl/>
              <w:jc w:val="center"/>
              <w:textAlignment w:val="center"/>
              <w:rPr>
                <w:rFonts w:hint="eastAsia" w:ascii="宋体" w:hAnsi="宋体" w:cs="宋体"/>
                <w:color w:val="auto"/>
                <w:sz w:val="24"/>
              </w:rPr>
            </w:pPr>
            <w:r>
              <w:rPr>
                <w:rFonts w:hint="eastAsia" w:ascii="宋体" w:hAnsi="宋体" w:cs="宋体"/>
                <w:color w:val="auto"/>
                <w:kern w:val="0"/>
                <w:sz w:val="24"/>
                <w:lang w:bidi="ar"/>
              </w:rPr>
              <w:t>合计</w:t>
            </w:r>
          </w:p>
        </w:tc>
        <w:tc>
          <w:tcPr>
            <w:tcW w:w="1284"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560"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205,736.24 </w:t>
            </w:r>
          </w:p>
        </w:tc>
        <w:tc>
          <w:tcPr>
            <w:tcW w:w="91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957 </w:t>
            </w:r>
          </w:p>
        </w:tc>
        <w:tc>
          <w:tcPr>
            <w:tcW w:w="732"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c>
          <w:tcPr>
            <w:tcW w:w="1368"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205,736.24 </w:t>
            </w:r>
          </w:p>
        </w:tc>
        <w:tc>
          <w:tcPr>
            <w:tcW w:w="1092" w:type="dxa"/>
            <w:tcBorders>
              <w:top w:val="single" w:color="000000" w:sz="4" w:space="0"/>
              <w:left w:val="single" w:color="000000" w:sz="4" w:space="0"/>
              <w:bottom w:val="single" w:color="000000" w:sz="4" w:space="0"/>
              <w:right w:val="single" w:color="000000" w:sz="4" w:space="0"/>
            </w:tcBorders>
            <w:noWrap w:val="0"/>
            <w:vAlign w:val="center"/>
          </w:tcPr>
          <w:p>
            <w:pPr>
              <w:widowControl/>
              <w:jc w:val="right"/>
              <w:textAlignment w:val="center"/>
              <w:rPr>
                <w:rFonts w:hint="eastAsia" w:ascii="宋体" w:hAnsi="宋体" w:cs="宋体"/>
                <w:color w:val="auto"/>
                <w:sz w:val="24"/>
              </w:rPr>
            </w:pPr>
            <w:r>
              <w:rPr>
                <w:rFonts w:hint="eastAsia" w:ascii="宋体" w:hAnsi="宋体" w:cs="宋体"/>
                <w:color w:val="auto"/>
                <w:kern w:val="0"/>
                <w:sz w:val="24"/>
                <w:lang w:bidi="ar"/>
              </w:rPr>
              <w:t xml:space="preserve">957 </w:t>
            </w:r>
          </w:p>
        </w:tc>
        <w:tc>
          <w:tcPr>
            <w:tcW w:w="588"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cs="宋体"/>
                <w:color w:val="auto"/>
                <w:sz w:val="24"/>
              </w:rPr>
            </w:pPr>
          </w:p>
        </w:tc>
      </w:tr>
    </w:tbl>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注：</w:t>
      </w:r>
      <w:r>
        <w:rPr>
          <w:rFonts w:hint="eastAsia" w:ascii="仿宋_GB2312" w:hAnsi="宋体" w:eastAsia="仿宋_GB2312" w:cs="宋体"/>
          <w:color w:val="auto"/>
          <w:sz w:val="32"/>
          <w:szCs w:val="32"/>
          <w:highlight w:val="none"/>
        </w:rPr>
        <w:t>以上</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未建设</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的3期及酒店式公寓均属净地未开发状态，故目前预计的建筑面积及户数可能会因后期规划设计变更而进行调整</w:t>
      </w:r>
      <w:r>
        <w:rPr>
          <w:rFonts w:hint="eastAsia" w:ascii="仿宋_GB2312" w:hAnsi="宋体" w:eastAsia="仿宋_GB2312" w:cs="宋体"/>
          <w:color w:val="auto"/>
          <w:sz w:val="32"/>
          <w:szCs w:val="32"/>
          <w:highlight w:val="none"/>
        </w:rPr>
        <w:t>，其中关于</w:t>
      </w:r>
      <w:r>
        <w:rPr>
          <w:rFonts w:hint="eastAsia" w:ascii="仿宋_GB2312" w:hAnsi="宋体" w:eastAsia="仿宋_GB2312" w:cs="宋体"/>
          <w:color w:val="auto"/>
          <w:sz w:val="32"/>
          <w:szCs w:val="32"/>
          <w:highlight w:val="none"/>
          <w:lang w:val="en-US" w:eastAsia="zh-CN"/>
        </w:rPr>
        <w:t>剩余未售房屋</w:t>
      </w:r>
      <w:r>
        <w:rPr>
          <w:rFonts w:hint="eastAsia" w:ascii="仿宋_GB2312" w:hAnsi="宋体" w:eastAsia="仿宋_GB2312" w:cs="宋体"/>
          <w:color w:val="auto"/>
          <w:sz w:val="32"/>
          <w:szCs w:val="32"/>
          <w:highlight w:val="none"/>
        </w:rPr>
        <w:t>的使用价值或变现价值，以意向投资人实际调查认可为准。</w:t>
      </w:r>
    </w:p>
    <w:p>
      <w:pPr>
        <w:keepNext w:val="0"/>
        <w:keepLines w:val="0"/>
        <w:pageBreakBefore w:val="0"/>
        <w:widowControl w:val="0"/>
        <w:numPr>
          <w:ilvl w:val="0"/>
          <w:numId w:val="3"/>
        </w:numPr>
        <w:kinsoku/>
        <w:wordWrap/>
        <w:overflowPunct/>
        <w:topLinePunct w:val="0"/>
        <w:autoSpaceDE/>
        <w:autoSpaceDN/>
        <w:bidi w:val="0"/>
        <w:adjustRightInd/>
        <w:snapToGrid/>
        <w:spacing w:line="560" w:lineRule="exact"/>
        <w:textAlignment w:val="auto"/>
        <w:rPr>
          <w:rFonts w:ascii="仿宋_GB2312" w:hAnsi="宋体" w:eastAsia="仿宋_GB2312" w:cs="宋体"/>
          <w:b w:val="0"/>
          <w:bCs/>
          <w:color w:val="auto"/>
          <w:sz w:val="32"/>
          <w:szCs w:val="32"/>
          <w:highlight w:val="none"/>
        </w:rPr>
      </w:pPr>
      <w:r>
        <w:rPr>
          <w:rFonts w:hint="eastAsia" w:ascii="仿宋_GB2312" w:hAnsi="宋体" w:eastAsia="仿宋_GB2312" w:cs="宋体"/>
          <w:b w:val="0"/>
          <w:bCs/>
          <w:color w:val="auto"/>
          <w:sz w:val="32"/>
          <w:szCs w:val="32"/>
          <w:highlight w:val="none"/>
        </w:rPr>
        <w:t>负债情况</w:t>
      </w:r>
    </w:p>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截止202</w:t>
      </w:r>
      <w:r>
        <w:rPr>
          <w:rFonts w:hint="eastAsia" w:ascii="仿宋_GB2312" w:hAnsi="宋体" w:eastAsia="仿宋_GB2312" w:cs="宋体"/>
          <w:bCs/>
          <w:color w:val="auto"/>
          <w:sz w:val="32"/>
          <w:szCs w:val="32"/>
          <w:highlight w:val="none"/>
          <w:lang w:val="en-US" w:eastAsia="zh-CN"/>
        </w:rPr>
        <w:t>3</w:t>
      </w:r>
      <w:r>
        <w:rPr>
          <w:rFonts w:hint="eastAsia" w:ascii="仿宋_GB2312" w:hAnsi="宋体" w:eastAsia="仿宋_GB2312" w:cs="宋体"/>
          <w:bCs/>
          <w:color w:val="auto"/>
          <w:sz w:val="32"/>
          <w:szCs w:val="32"/>
          <w:highlight w:val="none"/>
        </w:rPr>
        <w:t>年</w:t>
      </w:r>
      <w:r>
        <w:rPr>
          <w:rFonts w:hint="eastAsia" w:ascii="仿宋_GB2312" w:hAnsi="宋体" w:eastAsia="仿宋_GB2312" w:cs="宋体"/>
          <w:bCs/>
          <w:color w:val="auto"/>
          <w:sz w:val="32"/>
          <w:szCs w:val="32"/>
          <w:highlight w:val="none"/>
          <w:lang w:val="en-US" w:eastAsia="zh-CN"/>
        </w:rPr>
        <w:t>7</w:t>
      </w:r>
      <w:r>
        <w:rPr>
          <w:rFonts w:hint="eastAsia" w:ascii="仿宋_GB2312" w:hAnsi="宋体" w:eastAsia="仿宋_GB2312" w:cs="宋体"/>
          <w:bCs/>
          <w:color w:val="auto"/>
          <w:sz w:val="32"/>
          <w:szCs w:val="32"/>
          <w:highlight w:val="none"/>
        </w:rPr>
        <w:t>月</w:t>
      </w:r>
      <w:r>
        <w:rPr>
          <w:rFonts w:hint="eastAsia" w:ascii="仿宋_GB2312" w:hAnsi="宋体" w:eastAsia="仿宋_GB2312" w:cs="宋体"/>
          <w:bCs/>
          <w:color w:val="auto"/>
          <w:sz w:val="32"/>
          <w:szCs w:val="32"/>
          <w:highlight w:val="none"/>
          <w:lang w:val="en-US" w:eastAsia="zh-CN"/>
        </w:rPr>
        <w:t>27</w:t>
      </w:r>
      <w:r>
        <w:rPr>
          <w:rFonts w:hint="eastAsia" w:ascii="仿宋_GB2312" w:hAnsi="宋体" w:eastAsia="仿宋_GB2312" w:cs="宋体"/>
          <w:bCs/>
          <w:color w:val="auto"/>
          <w:sz w:val="32"/>
          <w:szCs w:val="32"/>
          <w:highlight w:val="none"/>
        </w:rPr>
        <w:t>日，</w:t>
      </w:r>
      <w:r>
        <w:rPr>
          <w:rFonts w:hint="eastAsia" w:ascii="仿宋_GB2312" w:hAnsi="宋体" w:eastAsia="仿宋_GB2312" w:cs="宋体"/>
          <w:bCs/>
          <w:color w:val="auto"/>
          <w:sz w:val="32"/>
          <w:szCs w:val="32"/>
          <w:highlight w:val="none"/>
          <w:lang w:val="en-US" w:eastAsia="zh-CN"/>
        </w:rPr>
        <w:t>根据</w:t>
      </w:r>
      <w:r>
        <w:rPr>
          <w:rFonts w:hint="eastAsia" w:ascii="仿宋_GB2312" w:hAnsi="宋体" w:eastAsia="仿宋_GB2312" w:cs="宋体"/>
          <w:bCs/>
          <w:color w:val="auto"/>
          <w:sz w:val="32"/>
          <w:szCs w:val="32"/>
          <w:highlight w:val="none"/>
        </w:rPr>
        <w:t>鸿鹰公司</w:t>
      </w:r>
      <w:r>
        <w:rPr>
          <w:rFonts w:hint="eastAsia" w:ascii="仿宋_GB2312" w:hAnsi="宋体" w:eastAsia="仿宋_GB2312" w:cs="宋体"/>
          <w:bCs/>
          <w:color w:val="auto"/>
          <w:sz w:val="32"/>
          <w:szCs w:val="32"/>
          <w:highlight w:val="none"/>
          <w:lang w:val="en-US" w:eastAsia="zh-CN"/>
        </w:rPr>
        <w:t>财务资料显示公司</w:t>
      </w:r>
      <w:r>
        <w:rPr>
          <w:rFonts w:hint="eastAsia" w:ascii="仿宋_GB2312" w:hAnsi="宋体" w:eastAsia="仿宋_GB2312" w:cs="宋体"/>
          <w:bCs/>
          <w:color w:val="auto"/>
          <w:sz w:val="32"/>
          <w:szCs w:val="32"/>
          <w:highlight w:val="none"/>
        </w:rPr>
        <w:t>主要负债为融资借贷款3.402亿、前期未付股权转让款6690万、应付工程款及代建管理费1.34亿和行政欠款3500万，累计约5.76亿元。具体详见下表所示：</w:t>
      </w:r>
    </w:p>
    <w:tbl>
      <w:tblPr>
        <w:tblStyle w:val="7"/>
        <w:tblW w:w="8090" w:type="dxa"/>
        <w:tblInd w:w="9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721"/>
        <w:gridCol w:w="1307"/>
        <w:gridCol w:w="1905"/>
        <w:gridCol w:w="1368"/>
        <w:gridCol w:w="1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8097" w:type="dxa"/>
            <w:gridSpan w:val="5"/>
            <w:tcBorders>
              <w:top w:val="nil"/>
              <w:left w:val="nil"/>
              <w:bottom w:val="nil"/>
              <w:right w:val="nil"/>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截至2023年</w:t>
            </w:r>
            <w:r>
              <w:rPr>
                <w:rFonts w:hint="eastAsia" w:ascii="宋体" w:hAnsi="宋体" w:cs="宋体"/>
                <w:b/>
                <w:bCs/>
                <w:i w:val="0"/>
                <w:iCs w:val="0"/>
                <w:color w:val="auto"/>
                <w:kern w:val="0"/>
                <w:sz w:val="24"/>
                <w:szCs w:val="24"/>
                <w:u w:val="none"/>
                <w:lang w:val="en-US" w:eastAsia="zh-CN" w:bidi="ar"/>
              </w:rPr>
              <w:t>7</w:t>
            </w:r>
            <w:r>
              <w:rPr>
                <w:rFonts w:hint="eastAsia" w:ascii="宋体" w:hAnsi="宋体" w:eastAsia="宋体" w:cs="宋体"/>
                <w:b/>
                <w:bCs/>
                <w:i w:val="0"/>
                <w:iCs w:val="0"/>
                <w:color w:val="auto"/>
                <w:kern w:val="0"/>
                <w:sz w:val="24"/>
                <w:szCs w:val="24"/>
                <w:u w:val="none"/>
                <w:lang w:val="en-US" w:eastAsia="zh-CN" w:bidi="ar"/>
              </w:rPr>
              <w:t>月鸿鹰公司负债统计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性质</w:t>
            </w:r>
          </w:p>
        </w:tc>
        <w:tc>
          <w:tcPr>
            <w:tcW w:w="1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分类</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分项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金额（万）</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b/>
                <w:bCs/>
                <w:i w:val="0"/>
                <w:iCs w:val="0"/>
                <w:color w:val="auto"/>
                <w:sz w:val="24"/>
                <w:szCs w:val="24"/>
                <w:u w:val="none"/>
              </w:rPr>
            </w:pPr>
            <w:r>
              <w:rPr>
                <w:rFonts w:hint="eastAsia" w:ascii="宋体" w:hAnsi="宋体" w:eastAsia="宋体" w:cs="宋体"/>
                <w:b/>
                <w:bCs/>
                <w:i w:val="0"/>
                <w:iCs w:val="0"/>
                <w:color w:val="auto"/>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融资借贷款</w:t>
            </w:r>
          </w:p>
        </w:tc>
        <w:tc>
          <w:tcPr>
            <w:tcW w:w="1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融资欠款</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中安金融</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9000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剩余本金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银团贷款</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农商行</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4600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剩余本金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30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股东借款</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中南锦时</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12000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30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恒茂投资</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8420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723"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前期未付股权转让款</w:t>
            </w:r>
          </w:p>
        </w:tc>
        <w:tc>
          <w:tcPr>
            <w:tcW w:w="1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其他应付款</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股转款</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6690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原始二股东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00" w:hRule="atLeast"/>
        </w:trPr>
        <w:tc>
          <w:tcPr>
            <w:tcW w:w="17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应付工程款及代建管理费</w:t>
            </w:r>
          </w:p>
        </w:tc>
        <w:tc>
          <w:tcPr>
            <w:tcW w:w="1308"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代建代管费</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中南锦时</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7500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代建代管合同约定完成后总费用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30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应付账款</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工程款</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4500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30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营销费用</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1390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行政欠款</w:t>
            </w:r>
          </w:p>
        </w:tc>
        <w:tc>
          <w:tcPr>
            <w:tcW w:w="1308" w:type="dxa"/>
            <w:vMerge w:val="restart"/>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行政类欠款</w:t>
            </w: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土地出让滞纳金</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2500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308" w:type="dxa"/>
            <w:vMerge w:val="continue"/>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1907"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异地建设费</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1000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723" w:type="dxa"/>
            <w:tcBorders>
              <w:top w:val="single" w:color="000000" w:sz="4" w:space="0"/>
              <w:left w:val="single" w:color="000000" w:sz="4" w:space="0"/>
              <w:bottom w:val="single" w:color="000000" w:sz="4" w:space="0"/>
              <w:right w:val="single" w:color="000000" w:sz="4" w:space="0"/>
            </w:tcBorders>
            <w:noWrap w:val="0"/>
            <w:vAlign w:val="center"/>
          </w:tcPr>
          <w:p>
            <w:pPr>
              <w:jc w:val="center"/>
              <w:rPr>
                <w:rFonts w:hint="eastAsia" w:ascii="宋体" w:hAnsi="宋体" w:eastAsia="宋体" w:cs="宋体"/>
                <w:i w:val="0"/>
                <w:iCs w:val="0"/>
                <w:color w:val="auto"/>
                <w:sz w:val="24"/>
                <w:szCs w:val="24"/>
                <w:u w:val="none"/>
              </w:rPr>
            </w:pPr>
          </w:p>
        </w:tc>
        <w:tc>
          <w:tcPr>
            <w:tcW w:w="3215"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合计</w:t>
            </w:r>
          </w:p>
        </w:tc>
        <w:tc>
          <w:tcPr>
            <w:tcW w:w="1369" w:type="dxa"/>
            <w:tcBorders>
              <w:top w:val="single" w:color="000000" w:sz="4" w:space="0"/>
              <w:left w:val="single" w:color="000000" w:sz="4" w:space="0"/>
              <w:bottom w:val="single" w:color="000000" w:sz="4" w:space="0"/>
              <w:right w:val="single" w:color="000000" w:sz="4" w:space="0"/>
            </w:tcBorders>
            <w:noWrap w:val="0"/>
            <w:vAlign w:val="center"/>
          </w:tcPr>
          <w:p>
            <w:pPr>
              <w:keepNext w:val="0"/>
              <w:keepLines w:val="0"/>
              <w:widowControl/>
              <w:suppressLineNumbers w:val="0"/>
              <w:jc w:val="center"/>
              <w:textAlignment w:val="center"/>
              <w:rPr>
                <w:rFonts w:hint="eastAsia" w:ascii="宋体" w:hAnsi="宋体" w:eastAsia="宋体" w:cs="宋体"/>
                <w:i w:val="0"/>
                <w:iCs w:val="0"/>
                <w:color w:val="auto"/>
                <w:sz w:val="24"/>
                <w:szCs w:val="24"/>
                <w:u w:val="none"/>
              </w:rPr>
            </w:pPr>
            <w:r>
              <w:rPr>
                <w:rFonts w:hint="eastAsia" w:ascii="宋体" w:hAnsi="宋体" w:eastAsia="宋体" w:cs="宋体"/>
                <w:i w:val="0"/>
                <w:iCs w:val="0"/>
                <w:color w:val="auto"/>
                <w:kern w:val="0"/>
                <w:sz w:val="24"/>
                <w:szCs w:val="24"/>
                <w:u w:val="none"/>
                <w:lang w:val="en-US" w:eastAsia="zh-CN" w:bidi="ar"/>
              </w:rPr>
              <w:t>57600</w:t>
            </w:r>
          </w:p>
        </w:tc>
        <w:tc>
          <w:tcPr>
            <w:tcW w:w="1790" w:type="dxa"/>
            <w:tcBorders>
              <w:top w:val="single" w:color="000000" w:sz="4" w:space="0"/>
              <w:left w:val="single" w:color="000000" w:sz="4" w:space="0"/>
              <w:bottom w:val="single" w:color="000000" w:sz="4" w:space="0"/>
              <w:right w:val="single" w:color="000000" w:sz="4" w:space="0"/>
            </w:tcBorders>
            <w:noWrap w:val="0"/>
            <w:vAlign w:val="center"/>
          </w:tcPr>
          <w:p>
            <w:pPr>
              <w:rPr>
                <w:rFonts w:hint="eastAsia" w:ascii="宋体" w:hAnsi="宋体" w:eastAsia="宋体" w:cs="宋体"/>
                <w:i w:val="0"/>
                <w:iCs w:val="0"/>
                <w:color w:val="auto"/>
                <w:sz w:val="24"/>
                <w:szCs w:val="24"/>
                <w:u w:val="none"/>
              </w:rPr>
            </w:pPr>
          </w:p>
        </w:tc>
      </w:tr>
    </w:tbl>
    <w:p>
      <w:pPr>
        <w:keepNext w:val="0"/>
        <w:keepLines w:val="0"/>
        <w:pageBreakBefore w:val="0"/>
        <w:widowControl w:val="0"/>
        <w:numPr>
          <w:ilvl w:val="255"/>
          <w:numId w:val="0"/>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上述负债所列相关数据</w:t>
      </w:r>
      <w:r>
        <w:rPr>
          <w:rFonts w:hint="eastAsia" w:ascii="仿宋_GB2312" w:hAnsi="宋体" w:eastAsia="仿宋_GB2312" w:cs="宋体"/>
          <w:bCs/>
          <w:color w:val="auto"/>
          <w:sz w:val="32"/>
          <w:szCs w:val="32"/>
          <w:highlight w:val="none"/>
          <w:lang w:val="en-US" w:eastAsia="zh-CN"/>
        </w:rPr>
        <w:t>尚未经过管理人审核，</w:t>
      </w:r>
      <w:r>
        <w:rPr>
          <w:rFonts w:hint="eastAsia" w:ascii="仿宋_GB2312" w:hAnsi="宋体" w:eastAsia="仿宋_GB2312" w:cs="宋体"/>
          <w:bCs/>
          <w:color w:val="auto"/>
          <w:sz w:val="32"/>
          <w:szCs w:val="32"/>
          <w:highlight w:val="none"/>
        </w:rPr>
        <w:t>并非最终数据。</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ascii="黑体" w:hAnsi="黑体" w:eastAsia="黑体" w:cs="宋体"/>
          <w:bCs/>
          <w:color w:val="auto"/>
          <w:sz w:val="32"/>
          <w:szCs w:val="32"/>
          <w:highlight w:val="none"/>
        </w:rPr>
      </w:pPr>
      <w:r>
        <w:rPr>
          <w:rFonts w:hint="eastAsia" w:ascii="黑体" w:hAnsi="黑体" w:eastAsia="黑体" w:cs="宋体"/>
          <w:bCs/>
          <w:color w:val="auto"/>
          <w:sz w:val="32"/>
          <w:szCs w:val="32"/>
          <w:highlight w:val="none"/>
        </w:rPr>
        <w:t>意向投资人的基本条件</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意向投资人为自然人的，应系中华人民共和国公民，未被人民法院列入失信名单、限制高消费名单；意向投资人系企业法人或非法人组织的，应当依法设立并有效存续，同时，意向投资人及其控股股东、实际控制人应当具有较高的社会责任感和良好的商业信誉、信用记录，未被人民法院列入失信名单，最近三年无重大违法行为且未涉嫌重大违法行为，无大额债务逾期的诉讼或仲裁案件</w:t>
      </w:r>
      <w:r>
        <w:rPr>
          <w:rFonts w:hint="eastAsia" w:ascii="仿宋_GB2312" w:hAnsi="宋体" w:eastAsia="仿宋_GB2312" w:cs="宋体"/>
          <w:color w:val="auto"/>
          <w:sz w:val="32"/>
          <w:szCs w:val="32"/>
          <w:highlight w:val="none"/>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意向投资人应具有充足的资金实力，能够在约定时间内支付投资款。</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意向</w:t>
      </w:r>
      <w:r>
        <w:rPr>
          <w:rFonts w:hint="eastAsia" w:ascii="仿宋_GB2312" w:hAnsi="宋体" w:eastAsia="仿宋_GB2312" w:cs="宋体"/>
          <w:color w:val="auto"/>
          <w:sz w:val="32"/>
          <w:szCs w:val="32"/>
          <w:highlight w:val="none"/>
        </w:rPr>
        <w:t>投资人需依据</w:t>
      </w:r>
      <w:r>
        <w:rPr>
          <w:rFonts w:hint="eastAsia" w:ascii="仿宋_GB2312" w:hAnsi="宋体" w:eastAsia="仿宋_GB2312" w:cs="宋体"/>
          <w:color w:val="auto"/>
          <w:sz w:val="32"/>
          <w:szCs w:val="32"/>
          <w:highlight w:val="none"/>
          <w:lang w:val="en-US" w:eastAsia="zh-CN"/>
        </w:rPr>
        <w:t>鸿鹰</w:t>
      </w:r>
      <w:r>
        <w:rPr>
          <w:rFonts w:hint="eastAsia" w:ascii="仿宋_GB2312" w:hAnsi="宋体" w:eastAsia="仿宋_GB2312" w:cs="宋体"/>
          <w:color w:val="auto"/>
          <w:sz w:val="32"/>
          <w:szCs w:val="32"/>
          <w:highlight w:val="none"/>
        </w:rPr>
        <w:t>公司</w:t>
      </w:r>
      <w:r>
        <w:rPr>
          <w:rFonts w:hint="eastAsia" w:ascii="仿宋_GB2312" w:hAnsi="宋体" w:eastAsia="仿宋_GB2312" w:cs="宋体"/>
          <w:color w:val="auto"/>
          <w:sz w:val="32"/>
          <w:szCs w:val="32"/>
          <w:highlight w:val="none"/>
          <w:lang w:val="en-US" w:eastAsia="zh-CN"/>
        </w:rPr>
        <w:t>的实际经营情况制定投资方案，需具有实际操作性。</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hint="eastAsia"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rPr>
        <w:t>为确保破产投资顺利进行，报名需先缴纳</w:t>
      </w:r>
      <w:r>
        <w:rPr>
          <w:rFonts w:hint="eastAsia" w:ascii="仿宋_GB2312" w:hAnsi="宋体" w:eastAsia="仿宋_GB2312" w:cs="宋体"/>
          <w:color w:val="auto"/>
          <w:sz w:val="32"/>
          <w:szCs w:val="32"/>
          <w:highlight w:val="none"/>
          <w:lang w:val="en-US" w:eastAsia="zh-CN"/>
        </w:rPr>
        <w:t>5</w:t>
      </w:r>
      <w:r>
        <w:rPr>
          <w:rFonts w:hint="eastAsia" w:ascii="仿宋_GB2312" w:hAnsi="宋体" w:eastAsia="仿宋_GB2312" w:cs="宋体"/>
          <w:color w:val="auto"/>
          <w:sz w:val="32"/>
          <w:szCs w:val="32"/>
          <w:highlight w:val="none"/>
        </w:rPr>
        <w:t>0</w:t>
      </w:r>
      <w:r>
        <w:rPr>
          <w:rFonts w:hint="eastAsia" w:ascii="仿宋_GB2312" w:hAnsi="宋体" w:eastAsia="仿宋_GB2312" w:cs="宋体"/>
          <w:color w:val="auto"/>
          <w:sz w:val="32"/>
          <w:szCs w:val="32"/>
          <w:highlight w:val="none"/>
          <w:lang w:val="en-US" w:eastAsia="zh-CN"/>
        </w:rPr>
        <w:t>0</w:t>
      </w:r>
      <w:r>
        <w:rPr>
          <w:rFonts w:hint="eastAsia" w:ascii="仿宋_GB2312" w:hAnsi="宋体" w:eastAsia="仿宋_GB2312" w:cs="宋体"/>
          <w:color w:val="auto"/>
          <w:sz w:val="32"/>
          <w:szCs w:val="32"/>
          <w:highlight w:val="none"/>
        </w:rPr>
        <w:t>万保证金。(报名人未被选为投资人的，报名保证金无息退回；报名人最终确定为投资人的，报名保证金自动转为</w:t>
      </w:r>
      <w:r>
        <w:rPr>
          <w:rFonts w:hint="eastAsia" w:ascii="仿宋_GB2312" w:hAnsi="宋体" w:eastAsia="仿宋_GB2312" w:cs="宋体"/>
          <w:color w:val="auto"/>
          <w:sz w:val="32"/>
          <w:szCs w:val="32"/>
          <w:highlight w:val="none"/>
          <w:lang w:val="en-US" w:eastAsia="zh-CN"/>
        </w:rPr>
        <w:t>投资款</w:t>
      </w:r>
      <w:r>
        <w:rPr>
          <w:rFonts w:hint="eastAsia" w:ascii="仿宋_GB2312" w:hAnsi="宋体" w:eastAsia="仿宋_GB2312" w:cs="宋体"/>
          <w:color w:val="auto"/>
          <w:sz w:val="32"/>
          <w:szCs w:val="32"/>
          <w:highlight w:val="none"/>
        </w:rPr>
        <w:t>；报名人未按期提交书面投资</w:t>
      </w:r>
      <w:r>
        <w:rPr>
          <w:rFonts w:hint="eastAsia" w:ascii="仿宋_GB2312" w:hAnsi="宋体" w:eastAsia="仿宋_GB2312" w:cs="宋体"/>
          <w:color w:val="auto"/>
          <w:sz w:val="32"/>
          <w:szCs w:val="32"/>
          <w:highlight w:val="none"/>
          <w:lang w:val="en-US" w:eastAsia="zh-CN"/>
        </w:rPr>
        <w:t>方案</w:t>
      </w:r>
      <w:r>
        <w:rPr>
          <w:rFonts w:hint="eastAsia" w:ascii="仿宋_GB2312" w:hAnsi="宋体" w:eastAsia="仿宋_GB2312" w:cs="宋体"/>
          <w:color w:val="auto"/>
          <w:sz w:val="32"/>
          <w:szCs w:val="32"/>
          <w:highlight w:val="none"/>
        </w:rPr>
        <w:t>或提交的投资</w:t>
      </w:r>
      <w:r>
        <w:rPr>
          <w:rFonts w:hint="eastAsia" w:ascii="仿宋_GB2312" w:hAnsi="宋体" w:eastAsia="仿宋_GB2312" w:cs="宋体"/>
          <w:color w:val="auto"/>
          <w:sz w:val="32"/>
          <w:szCs w:val="32"/>
          <w:highlight w:val="none"/>
          <w:lang w:val="en-US" w:eastAsia="zh-CN"/>
        </w:rPr>
        <w:t>方案</w:t>
      </w:r>
      <w:r>
        <w:rPr>
          <w:rFonts w:hint="eastAsia" w:ascii="仿宋_GB2312" w:hAnsi="宋体" w:eastAsia="仿宋_GB2312" w:cs="宋体"/>
          <w:color w:val="auto"/>
          <w:sz w:val="32"/>
          <w:szCs w:val="32"/>
          <w:highlight w:val="none"/>
        </w:rPr>
        <w:t>不符合法律规定和本公告要求的，报名保证金不予退回。</w:t>
      </w:r>
      <w:r>
        <w:rPr>
          <w:rFonts w:hint="eastAsia" w:ascii="仿宋_GB2312" w:hAnsi="宋体" w:eastAsia="仿宋_GB2312" w:cs="宋体"/>
          <w:color w:val="auto"/>
          <w:sz w:val="32"/>
          <w:szCs w:val="32"/>
          <w:highlight w:val="none"/>
          <w:lang w:eastAsia="zh-CN"/>
        </w:rPr>
        <w:t>）</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hint="eastAsia"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意向投资人提交</w:t>
      </w:r>
      <w:r>
        <w:rPr>
          <w:rFonts w:hint="eastAsia" w:ascii="仿宋_GB2312" w:hAnsi="宋体" w:eastAsia="仿宋_GB2312" w:cs="宋体"/>
          <w:color w:val="auto"/>
          <w:sz w:val="32"/>
          <w:szCs w:val="32"/>
          <w:highlight w:val="none"/>
        </w:rPr>
        <w:t>投资</w:t>
      </w:r>
      <w:r>
        <w:rPr>
          <w:rFonts w:hint="eastAsia" w:ascii="仿宋_GB2312" w:hAnsi="宋体" w:eastAsia="仿宋_GB2312" w:cs="宋体"/>
          <w:color w:val="auto"/>
          <w:sz w:val="32"/>
          <w:szCs w:val="32"/>
          <w:highlight w:val="none"/>
          <w:lang w:val="en-US" w:eastAsia="zh-CN"/>
        </w:rPr>
        <w:t>方案后，管理人将在宁国市人民法院的监督、指导下，结后债权人的意见，确定最终的投资人。</w:t>
      </w:r>
    </w:p>
    <w:p>
      <w:pPr>
        <w:keepNext w:val="0"/>
        <w:keepLines w:val="0"/>
        <w:pageBreakBefore w:val="0"/>
        <w:widowControl w:val="0"/>
        <w:numPr>
          <w:ilvl w:val="0"/>
          <w:numId w:val="4"/>
        </w:numPr>
        <w:kinsoku/>
        <w:wordWrap/>
        <w:overflowPunct/>
        <w:topLinePunct w:val="0"/>
        <w:autoSpaceDE/>
        <w:autoSpaceDN/>
        <w:bidi w:val="0"/>
        <w:adjustRightInd/>
        <w:snapToGrid/>
        <w:spacing w:line="560" w:lineRule="exact"/>
        <w:textAlignment w:val="auto"/>
        <w:rPr>
          <w:rFonts w:ascii="仿宋_GB2312" w:hAnsi="宋体" w:eastAsia="仿宋_GB2312" w:cs="宋体"/>
          <w:bCs/>
          <w:color w:val="auto"/>
          <w:sz w:val="32"/>
          <w:szCs w:val="32"/>
          <w:highlight w:val="none"/>
        </w:rPr>
      </w:pPr>
      <w:r>
        <w:rPr>
          <w:rFonts w:hint="eastAsia" w:ascii="仿宋_GB2312" w:hAnsi="宋体" w:eastAsia="仿宋_GB2312" w:cs="宋体"/>
          <w:bCs/>
          <w:color w:val="auto"/>
          <w:sz w:val="32"/>
          <w:szCs w:val="32"/>
          <w:highlight w:val="none"/>
        </w:rPr>
        <w:t>如只有一个意向投资人参与招募，即为本项目投资人。</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ascii="黑体" w:hAnsi="黑体" w:eastAsia="黑体" w:cs="宋体"/>
          <w:color w:val="auto"/>
          <w:sz w:val="32"/>
          <w:szCs w:val="32"/>
          <w:highlight w:val="none"/>
        </w:rPr>
      </w:pPr>
      <w:r>
        <w:rPr>
          <w:rFonts w:hint="eastAsia" w:ascii="黑体" w:hAnsi="黑体" w:eastAsia="黑体" w:cs="宋体"/>
          <w:color w:val="auto"/>
          <w:sz w:val="32"/>
          <w:szCs w:val="32"/>
          <w:highlight w:val="none"/>
        </w:rPr>
        <w:t>报名事项</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420" w:firstLine="0" w:firstLineChars="0"/>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联系人：汤律师，联系电话：15345718682</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420" w:firstLine="0" w:firstLineChars="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报名期限:公告发布之日至202</w:t>
      </w:r>
      <w:r>
        <w:rPr>
          <w:rFonts w:hint="eastAsia" w:ascii="仿宋_GB2312" w:hAnsi="宋体" w:eastAsia="仿宋_GB2312" w:cs="宋体"/>
          <w:color w:val="auto"/>
          <w:sz w:val="32"/>
          <w:szCs w:val="32"/>
          <w:highlight w:val="none"/>
          <w:lang w:val="en-US" w:eastAsia="zh-CN"/>
        </w:rPr>
        <w:t>3</w:t>
      </w:r>
      <w:r>
        <w:rPr>
          <w:rFonts w:hint="eastAsia" w:ascii="仿宋_GB2312" w:hAnsi="宋体" w:eastAsia="仿宋_GB2312" w:cs="宋体"/>
          <w:color w:val="auto"/>
          <w:sz w:val="32"/>
          <w:szCs w:val="32"/>
          <w:highlight w:val="none"/>
        </w:rPr>
        <w:t>年</w:t>
      </w:r>
      <w:r>
        <w:rPr>
          <w:rFonts w:hint="eastAsia" w:ascii="仿宋_GB2312" w:hAnsi="宋体" w:eastAsia="仿宋_GB2312" w:cs="宋体"/>
          <w:color w:val="auto"/>
          <w:sz w:val="32"/>
          <w:szCs w:val="32"/>
          <w:highlight w:val="none"/>
          <w:lang w:val="en-US" w:eastAsia="zh-CN"/>
        </w:rPr>
        <w:t>11</w:t>
      </w:r>
      <w:r>
        <w:rPr>
          <w:rFonts w:hint="eastAsia" w:ascii="仿宋_GB2312" w:hAnsi="宋体" w:eastAsia="仿宋_GB2312" w:cs="宋体"/>
          <w:color w:val="auto"/>
          <w:sz w:val="32"/>
          <w:szCs w:val="32"/>
          <w:highlight w:val="none"/>
        </w:rPr>
        <w:t>月</w:t>
      </w:r>
      <w:r>
        <w:rPr>
          <w:rFonts w:hint="eastAsia" w:ascii="仿宋_GB2312" w:hAnsi="宋体" w:eastAsia="仿宋_GB2312" w:cs="宋体"/>
          <w:color w:val="auto"/>
          <w:sz w:val="32"/>
          <w:szCs w:val="32"/>
          <w:highlight w:val="none"/>
          <w:lang w:val="en-US" w:eastAsia="zh-CN"/>
        </w:rPr>
        <w:t>8</w:t>
      </w:r>
      <w:r>
        <w:rPr>
          <w:rFonts w:hint="eastAsia" w:ascii="仿宋_GB2312" w:hAnsi="宋体" w:eastAsia="仿宋_GB2312" w:cs="宋体"/>
          <w:color w:val="auto"/>
          <w:sz w:val="32"/>
          <w:szCs w:val="32"/>
          <w:highlight w:val="none"/>
        </w:rPr>
        <w:t>日</w:t>
      </w:r>
      <w:r>
        <w:rPr>
          <w:rFonts w:hint="eastAsia" w:ascii="仿宋_GB2312" w:hAnsi="宋体" w:eastAsia="仿宋_GB2312" w:cs="宋体"/>
          <w:color w:val="auto"/>
          <w:sz w:val="32"/>
          <w:szCs w:val="32"/>
          <w:highlight w:val="none"/>
          <w:lang w:eastAsia="zh-CN"/>
        </w:rPr>
        <w:t>，</w:t>
      </w:r>
      <w:r>
        <w:rPr>
          <w:rFonts w:hint="eastAsia" w:ascii="仿宋_GB2312" w:hAnsi="宋体" w:eastAsia="仿宋_GB2312" w:cs="宋体"/>
          <w:color w:val="auto"/>
          <w:sz w:val="32"/>
          <w:szCs w:val="32"/>
          <w:highlight w:val="none"/>
          <w:lang w:val="en-US" w:eastAsia="zh-CN"/>
        </w:rPr>
        <w:t>同时投资人应当向管理人提交投资方案。</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420" w:firstLine="0" w:firstLineChars="0"/>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报名地点：宁国市宁港路白云山国际养生休闲度假区1号楼3楼鸿鹰公司管理人办公室</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420" w:firstLine="0" w:firstLineChars="0"/>
        <w:textAlignment w:val="auto"/>
        <w:rPr>
          <w:rFonts w:hint="default"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报名需先缴纳500万元保证金至如下账户：</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开户名：安徽省宁国市鸿鹰生态旅游发展有限责任公司管理人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开户行：安徽宁国农村商业银行股份有限公司城</w:t>
      </w:r>
      <w:r>
        <w:rPr>
          <w:rFonts w:hint="eastAsia" w:ascii="仿宋_GB2312" w:hAnsi="宋体" w:eastAsia="仿宋_GB2312" w:cs="宋体"/>
          <w:color w:val="auto"/>
          <w:sz w:val="32"/>
          <w:szCs w:val="32"/>
          <w:highlight w:val="none"/>
          <w:lang w:val="en-US" w:eastAsia="zh-CN"/>
        </w:rPr>
        <w:t>中</w:t>
      </w:r>
      <w:r>
        <w:rPr>
          <w:rFonts w:hint="eastAsia" w:ascii="仿宋_GB2312" w:hAnsi="宋体" w:eastAsia="仿宋_GB2312" w:cs="宋体"/>
          <w:color w:val="auto"/>
          <w:sz w:val="32"/>
          <w:szCs w:val="32"/>
          <w:highlight w:val="none"/>
        </w:rPr>
        <w:t>分理处</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账  号：</w:t>
      </w:r>
      <w:r>
        <w:rPr>
          <w:rFonts w:hint="eastAsia" w:ascii="仿宋_GB2312" w:hAnsi="宋体" w:eastAsia="仿宋_GB2312" w:cs="宋体"/>
          <w:color w:val="auto"/>
          <w:sz w:val="32"/>
          <w:szCs w:val="32"/>
          <w:highlight w:val="none"/>
          <w:lang w:val="en-US" w:eastAsia="zh-CN"/>
        </w:rPr>
        <w:t>20010385542066600000019</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420" w:firstLine="0" w:firstLineChars="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报名需要提供的材料：</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参与重整投资的投资方案（含</w:t>
      </w:r>
      <w:r>
        <w:rPr>
          <w:rFonts w:ascii="仿宋_GB2312" w:hAnsi="宋体" w:eastAsia="仿宋_GB2312" w:cs="宋体"/>
          <w:color w:val="auto"/>
          <w:sz w:val="32"/>
          <w:szCs w:val="32"/>
          <w:highlight w:val="none"/>
        </w:rPr>
        <w:t>拟投入的资金</w:t>
      </w:r>
      <w:r>
        <w:rPr>
          <w:rFonts w:hint="eastAsia" w:ascii="仿宋_GB2312" w:hAnsi="宋体" w:eastAsia="仿宋_GB2312" w:cs="宋体"/>
          <w:color w:val="auto"/>
          <w:sz w:val="32"/>
          <w:szCs w:val="32"/>
          <w:highlight w:val="none"/>
          <w:lang w:val="en-US" w:eastAsia="zh-CN"/>
        </w:rPr>
        <w:t>额度</w:t>
      </w:r>
      <w:r>
        <w:rPr>
          <w:rFonts w:ascii="仿宋_GB2312" w:hAnsi="宋体" w:eastAsia="仿宋_GB2312" w:cs="宋体"/>
          <w:color w:val="auto"/>
          <w:sz w:val="32"/>
          <w:szCs w:val="32"/>
          <w:highlight w:val="none"/>
        </w:rPr>
        <w:t>、</w:t>
      </w:r>
      <w:r>
        <w:rPr>
          <w:rFonts w:hint="eastAsia" w:ascii="仿宋_GB2312" w:hAnsi="宋体" w:eastAsia="仿宋_GB2312" w:cs="宋体"/>
          <w:color w:val="auto"/>
          <w:sz w:val="32"/>
          <w:szCs w:val="32"/>
          <w:highlight w:val="none"/>
          <w:lang w:val="en-US" w:eastAsia="zh-CN"/>
        </w:rPr>
        <w:t>利率，经营管理的</w:t>
      </w:r>
      <w:r>
        <w:rPr>
          <w:rFonts w:ascii="仿宋_GB2312" w:hAnsi="宋体" w:eastAsia="仿宋_GB2312" w:cs="宋体"/>
          <w:color w:val="auto"/>
          <w:sz w:val="32"/>
          <w:szCs w:val="32"/>
          <w:highlight w:val="none"/>
        </w:rPr>
        <w:t>方案</w:t>
      </w:r>
      <w:r>
        <w:rPr>
          <w:rFonts w:hint="eastAsia" w:ascii="仿宋_GB2312" w:hAnsi="宋体" w:eastAsia="仿宋_GB2312" w:cs="宋体"/>
          <w:color w:val="auto"/>
          <w:sz w:val="32"/>
          <w:szCs w:val="32"/>
          <w:highlight w:val="none"/>
          <w:lang w:val="en-US" w:eastAsia="zh-CN"/>
        </w:rPr>
        <w:t>）</w:t>
      </w:r>
      <w:r>
        <w:rPr>
          <w:rFonts w:ascii="仿宋_GB2312" w:hAnsi="宋体" w:eastAsia="仿宋_GB2312" w:cs="宋体"/>
          <w:color w:val="auto"/>
          <w:sz w:val="32"/>
          <w:szCs w:val="32"/>
          <w:highlight w:val="none"/>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营业执照、法定代表人身份证明书等</w:t>
      </w:r>
      <w:r>
        <w:rPr>
          <w:rFonts w:hint="eastAsia" w:ascii="仿宋_GB2312" w:hAnsi="宋体" w:eastAsia="仿宋_GB2312" w:cs="宋体"/>
          <w:color w:val="auto"/>
          <w:sz w:val="32"/>
          <w:szCs w:val="32"/>
          <w:highlight w:val="none"/>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经办人或者受托人姓名、授权范围、受托人身份证复印件，联系电话、电子邮箱、通信地址；</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投资者企业基本情况介绍，含主体资格、股权结构、组织机构等信息</w:t>
      </w:r>
      <w:r>
        <w:rPr>
          <w:rFonts w:hint="eastAsia" w:ascii="仿宋_GB2312" w:hAnsi="宋体" w:eastAsia="仿宋_GB2312" w:cs="宋体"/>
          <w:color w:val="auto"/>
          <w:sz w:val="32"/>
          <w:szCs w:val="32"/>
          <w:highlight w:val="none"/>
          <w:lang w:eastAsia="zh-CN"/>
        </w:rPr>
        <w:t>。</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现行有效的公司章程复印件；</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lang w:val="en-US" w:eastAsia="zh-CN"/>
        </w:rPr>
        <w:t>意向投资人董事会、股东（大）会等决策机构同意对鸿鹰公司投资的决议原件；</w:t>
      </w:r>
    </w:p>
    <w:p>
      <w:pPr>
        <w:keepNext w:val="0"/>
        <w:keepLines w:val="0"/>
        <w:pageBreakBefore w:val="0"/>
        <w:widowControl w:val="0"/>
        <w:numPr>
          <w:ilvl w:val="0"/>
          <w:numId w:val="6"/>
        </w:numPr>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意向投资人无数额较大到期未清偿债务、最近三年无重大违法行为、未被列入失信行为人的书面承诺以及同意对知悉的债务人情况予以保密并愿意签署《保密承诺》的声明等</w:t>
      </w:r>
      <w:r>
        <w:rPr>
          <w:rFonts w:hint="eastAsia" w:ascii="仿宋_GB2312" w:hAnsi="宋体" w:eastAsia="仿宋_GB2312" w:cs="宋体"/>
          <w:color w:val="auto"/>
          <w:sz w:val="32"/>
          <w:szCs w:val="32"/>
          <w:highlight w:val="none"/>
          <w:lang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r>
        <w:rPr>
          <w:rFonts w:ascii="仿宋_GB2312" w:hAnsi="宋体" w:eastAsia="仿宋_GB2312" w:cs="宋体"/>
          <w:color w:val="auto"/>
          <w:sz w:val="32"/>
          <w:szCs w:val="32"/>
          <w:highlight w:val="none"/>
        </w:rPr>
        <w:t>上述报名材料应装订成册，一式三份邮寄或直接提交给管理人。若因意向投资人未按本公告要求提交完整报名材料的，管理人有权不予接收。</w:t>
      </w:r>
    </w:p>
    <w:p>
      <w:pPr>
        <w:keepNext w:val="0"/>
        <w:keepLines w:val="0"/>
        <w:pageBreakBefore w:val="0"/>
        <w:widowControl w:val="0"/>
        <w:numPr>
          <w:ilvl w:val="0"/>
          <w:numId w:val="5"/>
        </w:numPr>
        <w:kinsoku/>
        <w:wordWrap/>
        <w:overflowPunct/>
        <w:topLinePunct w:val="0"/>
        <w:autoSpaceDE/>
        <w:autoSpaceDN/>
        <w:bidi w:val="0"/>
        <w:adjustRightInd/>
        <w:snapToGrid/>
        <w:spacing w:line="560" w:lineRule="exact"/>
        <w:ind w:left="420" w:firstLine="0" w:firstLineChars="0"/>
        <w:textAlignment w:val="auto"/>
        <w:rPr>
          <w:rFonts w:hint="eastAsia"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尽职调查</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hint="default" w:ascii="黑体" w:hAnsi="黑体" w:eastAsia="黑体"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在提交重整投资方案前，意向投资人如需查阅、了解债务人资产情况、债权债务情况、经营情况等详细资料或进行尽职调查的，可向管理人提出尽调申请和需要了解资料清单，进行尽职调查，并签订《保密承诺书》，管理人在收到尽调申请和资料清单后，将予以必要的配合，提供相关资料，但意向投资人对尽调结果应自行承担法律责任。</w:t>
      </w:r>
    </w:p>
    <w:p>
      <w:pPr>
        <w:keepNext w:val="0"/>
        <w:keepLines w:val="0"/>
        <w:pageBreakBefore w:val="0"/>
        <w:widowControl w:val="0"/>
        <w:numPr>
          <w:ilvl w:val="0"/>
          <w:numId w:val="1"/>
        </w:numPr>
        <w:kinsoku/>
        <w:wordWrap/>
        <w:overflowPunct/>
        <w:topLinePunct w:val="0"/>
        <w:autoSpaceDE/>
        <w:autoSpaceDN/>
        <w:bidi w:val="0"/>
        <w:adjustRightInd/>
        <w:snapToGrid/>
        <w:spacing w:line="560" w:lineRule="exact"/>
        <w:textAlignment w:val="auto"/>
        <w:rPr>
          <w:rFonts w:ascii="黑体" w:hAnsi="黑体" w:eastAsia="黑体" w:cs="黑体"/>
          <w:color w:val="auto"/>
          <w:sz w:val="32"/>
          <w:szCs w:val="32"/>
          <w:highlight w:val="none"/>
        </w:rPr>
      </w:pPr>
      <w:r>
        <w:rPr>
          <w:rFonts w:hint="eastAsia" w:ascii="黑体" w:hAnsi="黑体" w:eastAsia="黑体" w:cs="黑体"/>
          <w:color w:val="auto"/>
          <w:sz w:val="32"/>
          <w:szCs w:val="32"/>
          <w:highlight w:val="none"/>
        </w:rPr>
        <w:t>特别说明</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本招募公告的最终解释权归管理人。</w:t>
      </w:r>
    </w:p>
    <w:p>
      <w:pPr>
        <w:keepNext w:val="0"/>
        <w:keepLines w:val="0"/>
        <w:pageBreakBefore w:val="0"/>
        <w:widowControl w:val="0"/>
        <w:numPr>
          <w:ilvl w:val="0"/>
          <w:numId w:val="7"/>
        </w:numPr>
        <w:kinsoku/>
        <w:wordWrap/>
        <w:overflowPunct/>
        <w:topLinePunct w:val="0"/>
        <w:autoSpaceDE/>
        <w:autoSpaceDN/>
        <w:bidi w:val="0"/>
        <w:adjustRightInd/>
        <w:snapToGrid/>
        <w:spacing w:line="560" w:lineRule="exact"/>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本招募公告并非要约文件，不构成管理人的任何保证，不具有重整投资协议的约束力效力，只作为参考资料使用。投资人在考虑参与投资时，除参考本公告外，自行决定是否聘请专业投资顾问、财务顾问或法律顾问进行尽职调查，自行承担对债务人现状进行投资的商业风险。</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textAlignment w:val="auto"/>
        <w:rPr>
          <w:rFonts w:ascii="仿宋_GB2312" w:hAnsi="宋体" w:eastAsia="仿宋_GB2312" w:cs="宋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安徽省宁国市鸿鹰生态旅游发展有限责任公司管理人</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宋体" w:eastAsia="仿宋_GB2312" w:cs="宋体"/>
          <w:color w:val="auto"/>
          <w:sz w:val="32"/>
          <w:szCs w:val="32"/>
          <w:highlight w:val="none"/>
        </w:rPr>
      </w:pPr>
      <w:r>
        <w:rPr>
          <w:rFonts w:hint="eastAsia" w:ascii="仿宋_GB2312" w:hAnsi="宋体" w:eastAsia="仿宋_GB2312" w:cs="宋体"/>
          <w:color w:val="auto"/>
          <w:sz w:val="32"/>
          <w:szCs w:val="32"/>
          <w:highlight w:val="none"/>
        </w:rPr>
        <w:t>二</w:t>
      </w:r>
      <w:r>
        <w:rPr>
          <w:rFonts w:hint="eastAsia" w:ascii="仿宋_GB2312" w:hAnsi="宋体" w:cs="宋体"/>
          <w:color w:val="auto"/>
          <w:sz w:val="32"/>
          <w:szCs w:val="32"/>
          <w:highlight w:val="none"/>
        </w:rPr>
        <w:t>〇</w:t>
      </w:r>
      <w:r>
        <w:rPr>
          <w:rFonts w:hint="eastAsia" w:ascii="仿宋_GB2312" w:hAnsi="宋体" w:eastAsia="仿宋_GB2312" w:cs="宋体"/>
          <w:color w:val="auto"/>
          <w:sz w:val="32"/>
          <w:szCs w:val="32"/>
          <w:highlight w:val="none"/>
        </w:rPr>
        <w:t>二</w:t>
      </w:r>
      <w:r>
        <w:rPr>
          <w:rFonts w:hint="eastAsia" w:ascii="仿宋_GB2312" w:hAnsi="宋体" w:eastAsia="仿宋_GB2312" w:cs="宋体"/>
          <w:color w:val="auto"/>
          <w:sz w:val="32"/>
          <w:szCs w:val="32"/>
          <w:highlight w:val="none"/>
          <w:lang w:val="en-US" w:eastAsia="zh-CN"/>
        </w:rPr>
        <w:t>三</w:t>
      </w:r>
      <w:r>
        <w:rPr>
          <w:rFonts w:hint="eastAsia" w:ascii="仿宋_GB2312" w:hAnsi="宋体" w:eastAsia="仿宋_GB2312" w:cs="宋体"/>
          <w:color w:val="auto"/>
          <w:sz w:val="32"/>
          <w:szCs w:val="32"/>
          <w:highlight w:val="none"/>
        </w:rPr>
        <w:t>年</w:t>
      </w:r>
      <w:r>
        <w:rPr>
          <w:rFonts w:hint="eastAsia" w:ascii="仿宋_GB2312" w:hAnsi="宋体" w:eastAsia="仿宋_GB2312" w:cs="宋体"/>
          <w:color w:val="auto"/>
          <w:sz w:val="32"/>
          <w:szCs w:val="32"/>
          <w:highlight w:val="none"/>
          <w:lang w:val="en-US" w:eastAsia="zh-CN"/>
        </w:rPr>
        <w:t>十</w:t>
      </w:r>
      <w:r>
        <w:rPr>
          <w:rFonts w:hint="eastAsia" w:ascii="仿宋_GB2312" w:hAnsi="宋体" w:eastAsia="仿宋_GB2312" w:cs="宋体"/>
          <w:color w:val="auto"/>
          <w:sz w:val="32"/>
          <w:szCs w:val="32"/>
          <w:highlight w:val="none"/>
        </w:rPr>
        <w:t>月</w:t>
      </w:r>
      <w:r>
        <w:rPr>
          <w:rFonts w:hint="eastAsia" w:ascii="仿宋_GB2312" w:hAnsi="宋体" w:eastAsia="仿宋_GB2312" w:cs="宋体"/>
          <w:color w:val="auto"/>
          <w:sz w:val="32"/>
          <w:szCs w:val="32"/>
          <w:highlight w:val="none"/>
          <w:lang w:val="en-US" w:eastAsia="zh-CN"/>
        </w:rPr>
        <w:t>二十四</w:t>
      </w:r>
      <w:r>
        <w:rPr>
          <w:rFonts w:hint="eastAsia" w:ascii="仿宋_GB2312" w:hAnsi="宋体" w:eastAsia="仿宋_GB2312" w:cs="宋体"/>
          <w:color w:val="auto"/>
          <w:sz w:val="32"/>
          <w:szCs w:val="32"/>
          <w:highlight w:val="none"/>
        </w:rPr>
        <w:t>日</w:t>
      </w:r>
    </w:p>
    <w:bookmarkEnd w:id="0"/>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宋体" w:eastAsia="仿宋_GB2312" w:cs="宋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宋体" w:eastAsia="仿宋_GB2312" w:cs="宋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right"/>
        <w:textAlignment w:val="auto"/>
        <w:rPr>
          <w:rFonts w:hint="eastAsia" w:ascii="仿宋_GB2312" w:hAnsi="宋体" w:eastAsia="仿宋_GB2312" w:cs="宋体"/>
          <w:color w:val="auto"/>
          <w:sz w:val="32"/>
          <w:szCs w:val="32"/>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保密承诺书</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center"/>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安徽省宁国市鸿鹰生态旅游发展有限责任公司管理人: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我方有意向参与安徽省宁国市鸿鹰生态旅游发展有限责任公司投资事宜，对在参与投资过程中获取的信息与资料承诺如下:</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我方对从管理人处获取的信息与资料，均承担保密义务。我方会善意使用管理人提供的信息和资料，除进行内部投资分析和制定战略投资方案外，不另作他用，不泄露给任何第三方，否则，我方愿承担相应损失的赔偿责任。</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both"/>
        <w:textAlignment w:val="auto"/>
        <w:rPr>
          <w:rFonts w:hint="eastAsia" w:ascii="仿宋" w:hAnsi="仿宋" w:eastAsia="仿宋" w:cs="仿宋"/>
          <w:color w:val="auto"/>
          <w:sz w:val="28"/>
          <w:szCs w:val="28"/>
          <w:highlight w:val="none"/>
        </w:rPr>
      </w:pP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承诺人：</w:t>
      </w:r>
    </w:p>
    <w:p>
      <w:pPr>
        <w:keepNext w:val="0"/>
        <w:keepLines w:val="0"/>
        <w:pageBreakBefore w:val="0"/>
        <w:widowControl w:val="0"/>
        <w:kinsoku/>
        <w:wordWrap/>
        <w:overflowPunct/>
        <w:topLinePunct w:val="0"/>
        <w:autoSpaceDE/>
        <w:autoSpaceDN/>
        <w:bidi w:val="0"/>
        <w:adjustRightInd/>
        <w:snapToGrid/>
        <w:spacing w:line="560" w:lineRule="exact"/>
        <w:ind w:firstLine="560" w:firstLineChars="200"/>
        <w:jc w:val="right"/>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lang w:val="en-US" w:eastAsia="zh-CN"/>
        </w:rPr>
        <w:t>日期：</w:t>
      </w:r>
    </w:p>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简体">
    <w:altName w:val="黑体"/>
    <w:panose1 w:val="00000000000000000000"/>
    <w:charset w:val="86"/>
    <w:family w:val="auto"/>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naBycgBAACZAwAADgAAAGRycy9lMm9Eb2MueG1srVPNjtMwEL4j8Q6W&#10;79RpD6iKmq4WVYuQECAtPIDr2I0l/8njNukLwBtw4sKd5+pzMHaS7rJc9rCXZDwz+eb7Pk82N4M1&#10;5CQjaO8aulxUlEgnfKvdoaHfvt69WVMCibuWG+9kQ88S6M329atNH2q58p03rYwEQRzUfWhol1Ko&#10;GQPRScth4YN0WFQ+Wp7wGA+sjbxHdGvYqqrest7HNkQvJABmd2ORTojxOYBeKS3kzoujlS6NqFEa&#10;nlASdDoA3Ra2SkmRPisFMhHTUFSayhOHYLzPT7bd8PoQeei0mCjw51B4osly7XDoFWrHEyfHqP+D&#10;slpED16lhfCWjUKKI6hiWT3x5r7jQRYtaDWEq+nwcrDi0+lLJLrFTaDEcYsXfvn54/Lrz+X3d7LM&#10;9vQBauy6D9iXhnd+yK1THjCZVQ8q2vxGPQTraO75aq4cEhH5o/Vqva6wJLA2HxCHPXweIqT30luS&#10;g4ZGvL1iKj99hDS2zi15mvN32hjM89q4fxKImTMscx855igN+2EivvftGfX0ePENdbjnlJgPDn3N&#10;OzIHcQ72c3AMUR86pLYsvCDcHhOSKNzyhBF2Gow3VtRN25VX4vG5dD38Udu/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Bp2gcnIAQAAmQMAAA4AAAAAAAAAAQAgAAAAHgEAAGRycy9lMm9Eb2Mu&#10;eG1sUEsFBgAAAAAGAAYAWQEAAFgFAAAAAA==&#10;">
              <v:fill on="f" focussize="0,0"/>
              <v:stroke on="f"/>
              <v:imagedata o:title=""/>
              <o:lock v:ext="edit" aspectratio="f"/>
              <v:textbox inset="0mm,0mm,0mm,0mm" style="mso-fit-shape-to-text:t;">
                <w:txbxContent>
                  <w:p>
                    <w:pPr>
                      <w:pStyle w:val="4"/>
                    </w:pPr>
                    <w:r>
                      <w:t xml:space="preserve">第 </w:t>
                    </w:r>
                    <w:r>
                      <w:fldChar w:fldCharType="begin"/>
                    </w:r>
                    <w:r>
                      <w:instrText xml:space="preserve"> PAGE  \* MERGEFORMAT </w:instrText>
                    </w:r>
                    <w:r>
                      <w:fldChar w:fldCharType="separate"/>
                    </w:r>
                    <w:r>
                      <w:t>5</w:t>
                    </w:r>
                    <w:r>
                      <w:fldChar w:fldCharType="end"/>
                    </w:r>
                    <w:r>
                      <w:t xml:space="preserve"> 页 共 </w:t>
                    </w:r>
                    <w:r>
                      <w:fldChar w:fldCharType="begin"/>
                    </w:r>
                    <w:r>
                      <w:instrText xml:space="preserve"> NUMPAGES  \* MERGEFORMAT </w:instrText>
                    </w:r>
                    <w:r>
                      <w:fldChar w:fldCharType="separate"/>
                    </w:r>
                    <w:r>
                      <w:t>6</w:t>
                    </w:r>
                    <w:r>
                      <w:fldChar w:fldCharType="end"/>
                    </w:r>
                    <w: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4085958"/>
    <w:multiLevelType w:val="singleLevel"/>
    <w:tmpl w:val="94085958"/>
    <w:lvl w:ilvl="0" w:tentative="0">
      <w:start w:val="1"/>
      <w:numFmt w:val="chineseCounting"/>
      <w:suff w:val="nothing"/>
      <w:lvlText w:val="%1、"/>
      <w:lvlJc w:val="left"/>
      <w:pPr>
        <w:ind w:left="0" w:firstLine="420"/>
      </w:pPr>
      <w:rPr>
        <w:rFonts w:hint="eastAsia"/>
      </w:rPr>
    </w:lvl>
  </w:abstractNum>
  <w:abstractNum w:abstractNumId="1">
    <w:nsid w:val="A64B1344"/>
    <w:multiLevelType w:val="singleLevel"/>
    <w:tmpl w:val="A64B1344"/>
    <w:lvl w:ilvl="0" w:tentative="0">
      <w:start w:val="1"/>
      <w:numFmt w:val="chineseCounting"/>
      <w:suff w:val="nothing"/>
      <w:lvlText w:val="（%1）"/>
      <w:lvlJc w:val="left"/>
      <w:pPr>
        <w:ind w:left="0" w:firstLine="420"/>
      </w:pPr>
      <w:rPr>
        <w:rFonts w:hint="eastAsia"/>
      </w:rPr>
    </w:lvl>
  </w:abstractNum>
  <w:abstractNum w:abstractNumId="2">
    <w:nsid w:val="B8C1394A"/>
    <w:multiLevelType w:val="singleLevel"/>
    <w:tmpl w:val="B8C1394A"/>
    <w:lvl w:ilvl="0" w:tentative="0">
      <w:start w:val="1"/>
      <w:numFmt w:val="chineseCounting"/>
      <w:suff w:val="nothing"/>
      <w:lvlText w:val="（%1）"/>
      <w:lvlJc w:val="left"/>
      <w:rPr>
        <w:rFonts w:hint="eastAsia"/>
      </w:rPr>
    </w:lvl>
  </w:abstractNum>
  <w:abstractNum w:abstractNumId="3">
    <w:nsid w:val="C33125BB"/>
    <w:multiLevelType w:val="singleLevel"/>
    <w:tmpl w:val="C33125BB"/>
    <w:lvl w:ilvl="0" w:tentative="0">
      <w:start w:val="1"/>
      <w:numFmt w:val="chineseCounting"/>
      <w:suff w:val="nothing"/>
      <w:lvlText w:val="（%1）"/>
      <w:lvlJc w:val="left"/>
      <w:pPr>
        <w:ind w:left="0" w:firstLine="420"/>
      </w:pPr>
      <w:rPr>
        <w:rFonts w:hint="eastAsia"/>
      </w:rPr>
    </w:lvl>
  </w:abstractNum>
  <w:abstractNum w:abstractNumId="4">
    <w:nsid w:val="12441147"/>
    <w:multiLevelType w:val="singleLevel"/>
    <w:tmpl w:val="12441147"/>
    <w:lvl w:ilvl="0" w:tentative="0">
      <w:start w:val="1"/>
      <w:numFmt w:val="chineseCounting"/>
      <w:suff w:val="nothing"/>
      <w:lvlText w:val="（%1）"/>
      <w:lvlJc w:val="left"/>
      <w:pPr>
        <w:ind w:left="0" w:firstLine="420"/>
      </w:pPr>
      <w:rPr>
        <w:rFonts w:hint="eastAsia"/>
      </w:rPr>
    </w:lvl>
  </w:abstractNum>
  <w:abstractNum w:abstractNumId="5">
    <w:nsid w:val="24533DC1"/>
    <w:multiLevelType w:val="singleLevel"/>
    <w:tmpl w:val="24533DC1"/>
    <w:lvl w:ilvl="0" w:tentative="0">
      <w:start w:val="1"/>
      <w:numFmt w:val="chineseCounting"/>
      <w:suff w:val="nothing"/>
      <w:lvlText w:val="（%1）"/>
      <w:lvlJc w:val="left"/>
      <w:pPr>
        <w:ind w:left="0" w:firstLine="420"/>
      </w:pPr>
      <w:rPr>
        <w:rFonts w:hint="eastAsia"/>
      </w:rPr>
    </w:lvl>
  </w:abstractNum>
  <w:abstractNum w:abstractNumId="6">
    <w:nsid w:val="2A6D2743"/>
    <w:multiLevelType w:val="singleLevel"/>
    <w:tmpl w:val="2A6D2743"/>
    <w:lvl w:ilvl="0" w:tentative="0">
      <w:start w:val="1"/>
      <w:numFmt w:val="decimal"/>
      <w:suff w:val="nothing"/>
      <w:lvlText w:val="%1．"/>
      <w:lvlJc w:val="left"/>
      <w:pPr>
        <w:ind w:left="0" w:firstLine="400"/>
      </w:pPr>
      <w:rPr>
        <w:rFonts w:hint="default"/>
      </w:rPr>
    </w:lvl>
  </w:abstractNum>
  <w:num w:numId="1">
    <w:abstractNumId w:val="0"/>
  </w:num>
  <w:num w:numId="2">
    <w:abstractNumId w:val="3"/>
  </w:num>
  <w:num w:numId="3">
    <w:abstractNumId w:val="1"/>
  </w:num>
  <w:num w:numId="4">
    <w:abstractNumId w:val="5"/>
  </w:num>
  <w:num w:numId="5">
    <w:abstractNumId w:val="2"/>
  </w:num>
  <w:num w:numId="6">
    <w:abstractNumId w:val="6"/>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YyMjU5OTJiZDk3NzEzMDliNTE5N2MwMThmZTY0Y2EifQ=="/>
  </w:docVars>
  <w:rsids>
    <w:rsidRoot w:val="00350C8D"/>
    <w:rsid w:val="00106D1D"/>
    <w:rsid w:val="0012081C"/>
    <w:rsid w:val="00126E3B"/>
    <w:rsid w:val="00234B7D"/>
    <w:rsid w:val="00242F18"/>
    <w:rsid w:val="002B6C8E"/>
    <w:rsid w:val="00311682"/>
    <w:rsid w:val="00332BEE"/>
    <w:rsid w:val="00345DE3"/>
    <w:rsid w:val="00350C8D"/>
    <w:rsid w:val="003602D2"/>
    <w:rsid w:val="003E311C"/>
    <w:rsid w:val="00494EB2"/>
    <w:rsid w:val="00513C41"/>
    <w:rsid w:val="00575A44"/>
    <w:rsid w:val="007402CA"/>
    <w:rsid w:val="00751951"/>
    <w:rsid w:val="007B4D5E"/>
    <w:rsid w:val="007F1F97"/>
    <w:rsid w:val="00845C53"/>
    <w:rsid w:val="00862EEE"/>
    <w:rsid w:val="00874BDA"/>
    <w:rsid w:val="00956BE1"/>
    <w:rsid w:val="00A51170"/>
    <w:rsid w:val="00AA263A"/>
    <w:rsid w:val="00AB6FB5"/>
    <w:rsid w:val="00B100E4"/>
    <w:rsid w:val="00B14918"/>
    <w:rsid w:val="00B73038"/>
    <w:rsid w:val="00CB7FC6"/>
    <w:rsid w:val="00CC68AE"/>
    <w:rsid w:val="00D11088"/>
    <w:rsid w:val="00D46318"/>
    <w:rsid w:val="00E030E5"/>
    <w:rsid w:val="00E8736F"/>
    <w:rsid w:val="00F43CF2"/>
    <w:rsid w:val="00FD0B38"/>
    <w:rsid w:val="02853C2F"/>
    <w:rsid w:val="0D584ACF"/>
    <w:rsid w:val="0E006170"/>
    <w:rsid w:val="0E4E690B"/>
    <w:rsid w:val="11444719"/>
    <w:rsid w:val="12085F83"/>
    <w:rsid w:val="148D76D8"/>
    <w:rsid w:val="22654F62"/>
    <w:rsid w:val="24B22CAE"/>
    <w:rsid w:val="29E10344"/>
    <w:rsid w:val="2D20506F"/>
    <w:rsid w:val="38D45F8F"/>
    <w:rsid w:val="3E131DFE"/>
    <w:rsid w:val="3E865E95"/>
    <w:rsid w:val="3F234B3F"/>
    <w:rsid w:val="434C7355"/>
    <w:rsid w:val="447F2366"/>
    <w:rsid w:val="44BA6822"/>
    <w:rsid w:val="471E78FF"/>
    <w:rsid w:val="47585FA1"/>
    <w:rsid w:val="4F4E5A6B"/>
    <w:rsid w:val="518D2AF0"/>
    <w:rsid w:val="51CA55E4"/>
    <w:rsid w:val="529C40E3"/>
    <w:rsid w:val="57634271"/>
    <w:rsid w:val="5A7E6021"/>
    <w:rsid w:val="60E03AC3"/>
    <w:rsid w:val="6459608F"/>
    <w:rsid w:val="654262E9"/>
    <w:rsid w:val="67543FC4"/>
    <w:rsid w:val="694D4951"/>
    <w:rsid w:val="69DB389D"/>
    <w:rsid w:val="72184EBB"/>
    <w:rsid w:val="75795E43"/>
    <w:rsid w:val="79A307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1"/>
    <w:qFormat/>
    <w:uiPriority w:val="0"/>
    <w:pPr>
      <w:jc w:val="left"/>
    </w:pPr>
  </w:style>
  <w:style w:type="paragraph" w:styleId="3">
    <w:name w:val="Balloon Text"/>
    <w:basedOn w:val="1"/>
    <w:link w:val="10"/>
    <w:qFormat/>
    <w:uiPriority w:val="0"/>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annotation subject"/>
    <w:basedOn w:val="2"/>
    <w:next w:val="2"/>
    <w:link w:val="12"/>
    <w:qFormat/>
    <w:uiPriority w:val="0"/>
    <w:rPr>
      <w:b/>
      <w:bCs/>
    </w:rPr>
  </w:style>
  <w:style w:type="character" w:styleId="9">
    <w:name w:val="annotation reference"/>
    <w:basedOn w:val="8"/>
    <w:qFormat/>
    <w:uiPriority w:val="0"/>
    <w:rPr>
      <w:sz w:val="21"/>
      <w:szCs w:val="21"/>
    </w:rPr>
  </w:style>
  <w:style w:type="character" w:customStyle="1" w:styleId="10">
    <w:name w:val="批注框文本 Char"/>
    <w:basedOn w:val="8"/>
    <w:link w:val="3"/>
    <w:qFormat/>
    <w:uiPriority w:val="0"/>
    <w:rPr>
      <w:kern w:val="2"/>
      <w:sz w:val="18"/>
      <w:szCs w:val="18"/>
    </w:rPr>
  </w:style>
  <w:style w:type="character" w:customStyle="1" w:styleId="11">
    <w:name w:val="批注文字 Char"/>
    <w:basedOn w:val="8"/>
    <w:link w:val="2"/>
    <w:qFormat/>
    <w:uiPriority w:val="0"/>
    <w:rPr>
      <w:kern w:val="2"/>
      <w:sz w:val="21"/>
      <w:szCs w:val="24"/>
    </w:rPr>
  </w:style>
  <w:style w:type="character" w:customStyle="1" w:styleId="12">
    <w:name w:val="批注主题 Char"/>
    <w:basedOn w:val="11"/>
    <w:link w:val="6"/>
    <w:qFormat/>
    <w:uiPriority w:val="0"/>
    <w:rPr>
      <w:b/>
      <w:bCs/>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1994</Words>
  <Characters>2383</Characters>
  <Lines>18</Lines>
  <Paragraphs>5</Paragraphs>
  <TotalTime>404</TotalTime>
  <ScaleCrop>false</ScaleCrop>
  <LinksUpToDate>false</LinksUpToDate>
  <CharactersWithSpaces>2439</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2022-12-07T01:25:00Z</dcterms:created>
  <dc:creator>dell</dc:creator>
  <cp:lastModifiedBy>Tz</cp:lastModifiedBy>
  <cp:lastPrinted>2022-12-01T05:06:00Z</cp:lastPrinted>
  <dcterms:modified xsi:type="dcterms:W3CDTF">2023-10-24T00:42:59Z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3D4C0F9113F44577B371D7B5C67B445E_13</vt:lpwstr>
  </property>
</Properties>
</file>