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spacing w:line="360" w:lineRule="auto"/>
        <w:jc w:val="center"/>
        <w:rPr>
          <w:rFonts w:ascii="楷体" w:hAnsi="楷体" w:eastAsia="楷体" w:cs="宋体"/>
          <w:b/>
          <w:bCs/>
          <w:kern w:val="0"/>
          <w:sz w:val="28"/>
          <w:szCs w:val="28"/>
        </w:rPr>
      </w:pPr>
      <w:bookmarkStart w:id="0" w:name="_Hlk149649396"/>
      <w:r>
        <w:rPr>
          <w:rFonts w:hint="eastAsia" w:ascii="楷体" w:hAnsi="楷体" w:eastAsia="楷体" w:cs="宋体"/>
          <w:b/>
          <w:bCs/>
          <w:kern w:val="0"/>
          <w:sz w:val="28"/>
          <w:szCs w:val="28"/>
        </w:rPr>
        <w:t>黄石市万隆房地产开发</w:t>
      </w:r>
      <w:r>
        <w:rPr>
          <w:rFonts w:ascii="楷体" w:hAnsi="楷体" w:eastAsia="楷体" w:cs="宋体"/>
          <w:b/>
          <w:bCs/>
          <w:kern w:val="0"/>
          <w:sz w:val="28"/>
          <w:szCs w:val="28"/>
        </w:rPr>
        <w:t>有限公司</w:t>
      </w:r>
      <w:r>
        <w:rPr>
          <w:rFonts w:hint="eastAsia" w:ascii="楷体" w:hAnsi="楷体" w:eastAsia="楷体" w:cs="宋体"/>
          <w:b/>
          <w:bCs/>
          <w:kern w:val="0"/>
          <w:sz w:val="28"/>
          <w:szCs w:val="28"/>
        </w:rPr>
        <w:t>预</w:t>
      </w:r>
      <w:r>
        <w:rPr>
          <w:rFonts w:ascii="楷体" w:hAnsi="楷体" w:eastAsia="楷体" w:cs="宋体"/>
          <w:b/>
          <w:bCs/>
          <w:kern w:val="0"/>
          <w:sz w:val="28"/>
          <w:szCs w:val="28"/>
        </w:rPr>
        <w:t>重整案</w:t>
      </w:r>
    </w:p>
    <w:p>
      <w:pPr>
        <w:widowControl/>
        <w:shd w:val="clear" w:color="auto" w:fill="FFFFFF"/>
        <w:spacing w:line="360" w:lineRule="auto"/>
        <w:ind w:left="120" w:right="120"/>
        <w:jc w:val="center"/>
        <w:rPr>
          <w:rFonts w:ascii="楷体" w:hAnsi="楷体" w:eastAsia="楷体" w:cs="宋体"/>
          <w:b/>
          <w:bCs/>
          <w:spacing w:val="8"/>
          <w:kern w:val="0"/>
          <w:sz w:val="28"/>
          <w:szCs w:val="28"/>
        </w:rPr>
      </w:pPr>
      <w:r>
        <w:rPr>
          <w:rFonts w:hint="eastAsia" w:ascii="楷体" w:hAnsi="楷体" w:eastAsia="楷体" w:cs="宋体"/>
          <w:b/>
          <w:bCs/>
          <w:spacing w:val="8"/>
          <w:kern w:val="0"/>
          <w:sz w:val="28"/>
          <w:szCs w:val="28"/>
        </w:rPr>
        <w:t>意向投资人招募公告</w:t>
      </w:r>
    </w:p>
    <w:p>
      <w:pPr>
        <w:widowControl/>
        <w:shd w:val="clear" w:color="auto" w:fill="FFFFFF"/>
        <w:spacing w:line="360" w:lineRule="auto"/>
        <w:ind w:left="120" w:right="120" w:firstLine="480"/>
        <w:rPr>
          <w:rFonts w:ascii="楷体" w:hAnsi="楷体" w:eastAsia="楷体" w:cs="宋体"/>
          <w:kern w:val="0"/>
          <w:sz w:val="24"/>
          <w:szCs w:val="24"/>
        </w:rPr>
      </w:pP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黄石市西塞山区人民法院根据</w:t>
      </w:r>
      <w:r>
        <w:rPr>
          <w:rFonts w:ascii="楷体" w:hAnsi="楷体" w:eastAsia="楷体" w:cs="宋体"/>
          <w:kern w:val="0"/>
          <w:sz w:val="24"/>
          <w:szCs w:val="24"/>
        </w:rPr>
        <w:t>黄石市万隆房地产开发有限公司</w:t>
      </w:r>
      <w:r>
        <w:rPr>
          <w:rFonts w:hint="eastAsia" w:ascii="楷体" w:hAnsi="楷体" w:eastAsia="楷体" w:cs="宋体"/>
          <w:kern w:val="0"/>
          <w:sz w:val="24"/>
          <w:szCs w:val="24"/>
        </w:rPr>
        <w:t>（以下简称“债务人”或“万隆公司”）申请，于</w:t>
      </w:r>
      <w:r>
        <w:rPr>
          <w:rFonts w:ascii="楷体" w:hAnsi="楷体" w:eastAsia="楷体" w:cs="宋体"/>
          <w:kern w:val="0"/>
          <w:sz w:val="24"/>
          <w:szCs w:val="24"/>
        </w:rPr>
        <w:t>2023年6月25日作出（2023）鄂0203破申1号《决定书》，决定对</w:t>
      </w:r>
      <w:r>
        <w:rPr>
          <w:rFonts w:hint="eastAsia" w:ascii="楷体" w:hAnsi="楷体" w:eastAsia="楷体" w:cs="宋体"/>
          <w:kern w:val="0"/>
          <w:sz w:val="24"/>
          <w:szCs w:val="24"/>
        </w:rPr>
        <w:t>万隆公司</w:t>
      </w:r>
      <w:r>
        <w:rPr>
          <w:rFonts w:ascii="楷体" w:hAnsi="楷体" w:eastAsia="楷体" w:cs="宋体"/>
          <w:kern w:val="0"/>
          <w:sz w:val="24"/>
          <w:szCs w:val="24"/>
        </w:rPr>
        <w:t>进行预重整</w:t>
      </w:r>
      <w:r>
        <w:rPr>
          <w:rFonts w:hint="eastAsia" w:ascii="楷体" w:hAnsi="楷体" w:eastAsia="楷体" w:cs="宋体"/>
          <w:kern w:val="0"/>
          <w:sz w:val="24"/>
          <w:szCs w:val="24"/>
        </w:rPr>
        <w:t>，</w:t>
      </w:r>
      <w:r>
        <w:rPr>
          <w:rFonts w:ascii="楷体" w:hAnsi="楷体" w:eastAsia="楷体" w:cs="宋体"/>
          <w:kern w:val="0"/>
          <w:sz w:val="24"/>
          <w:szCs w:val="24"/>
        </w:rPr>
        <w:t>并于2023年8月28日作出（2023）鄂0203破申预1号-1《决定书》，指定</w:t>
      </w:r>
      <w:r>
        <w:rPr>
          <w:rFonts w:hint="eastAsia" w:ascii="楷体" w:hAnsi="楷体" w:eastAsia="楷体" w:cs="宋体"/>
          <w:kern w:val="0"/>
          <w:sz w:val="24"/>
          <w:szCs w:val="24"/>
        </w:rPr>
        <w:t>由</w:t>
      </w:r>
      <w:r>
        <w:rPr>
          <w:rFonts w:ascii="楷体" w:hAnsi="楷体" w:eastAsia="楷体" w:cs="宋体"/>
          <w:kern w:val="0"/>
          <w:sz w:val="24"/>
          <w:szCs w:val="24"/>
        </w:rPr>
        <w:t>黄石市西塞山区人民政府有关部门等组成的清算组担任万隆公司预重整管理人</w:t>
      </w:r>
      <w:r>
        <w:rPr>
          <w:rFonts w:hint="eastAsia" w:ascii="楷体" w:hAnsi="楷体" w:eastAsia="楷体" w:cs="宋体"/>
          <w:kern w:val="0"/>
          <w:sz w:val="24"/>
          <w:szCs w:val="24"/>
        </w:rPr>
        <w:t>（以下简称“管理人”）。</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为充分实现万隆公司资产价值、尽可能提高债权人的清偿比例，最大限度维护拆迁户、职工等各方债权人的合法权益，管理人依据《中华人民共和国企业破产法》及相关法律规定面向全国公开招募万隆公司重整意向投资人。现就本次意向投资人招募相关事宜公告如下：</w:t>
      </w:r>
    </w:p>
    <w:p>
      <w:pPr>
        <w:widowControl/>
        <w:shd w:val="clear" w:color="auto" w:fill="FFFFFF"/>
        <w:spacing w:line="360" w:lineRule="auto"/>
        <w:ind w:left="120" w:right="120" w:firstLine="480"/>
        <w:rPr>
          <w:rFonts w:ascii="楷体" w:hAnsi="楷体" w:eastAsia="楷体" w:cs="宋体"/>
          <w:spacing w:val="8"/>
          <w:kern w:val="0"/>
          <w:sz w:val="24"/>
          <w:szCs w:val="24"/>
        </w:rPr>
      </w:pPr>
      <w:r>
        <w:rPr>
          <w:rFonts w:hint="eastAsia" w:ascii="楷体" w:hAnsi="楷体" w:eastAsia="楷体" w:cs="宋体"/>
          <w:b/>
          <w:bCs/>
          <w:spacing w:val="8"/>
          <w:kern w:val="0"/>
          <w:sz w:val="24"/>
          <w:szCs w:val="24"/>
        </w:rPr>
        <w:t>一、万隆公司基本情况</w:t>
      </w:r>
    </w:p>
    <w:p>
      <w:pPr>
        <w:widowControl/>
        <w:shd w:val="clear" w:color="auto" w:fill="FFFFFF"/>
        <w:spacing w:line="360" w:lineRule="auto"/>
        <w:ind w:left="120" w:right="120" w:firstLine="480"/>
        <w:rPr>
          <w:rFonts w:ascii="楷体" w:hAnsi="楷体" w:eastAsia="楷体" w:cs="宋体"/>
          <w:spacing w:val="8"/>
          <w:kern w:val="0"/>
          <w:sz w:val="24"/>
          <w:szCs w:val="24"/>
        </w:rPr>
      </w:pPr>
      <w:r>
        <w:rPr>
          <w:rFonts w:hint="eastAsia" w:ascii="楷体" w:hAnsi="楷体" w:eastAsia="楷体" w:cs="宋体"/>
          <w:b/>
          <w:bCs/>
          <w:spacing w:val="8"/>
          <w:kern w:val="0"/>
          <w:sz w:val="24"/>
          <w:szCs w:val="24"/>
        </w:rPr>
        <w:t>（一）万隆公司工商信息情况</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万隆公司成立于200</w:t>
      </w:r>
      <w:r>
        <w:rPr>
          <w:rFonts w:ascii="楷体" w:hAnsi="楷体" w:eastAsia="楷体" w:cs="宋体"/>
          <w:kern w:val="0"/>
          <w:sz w:val="24"/>
          <w:szCs w:val="24"/>
        </w:rPr>
        <w:t>7</w:t>
      </w:r>
      <w:r>
        <w:rPr>
          <w:rFonts w:hint="eastAsia" w:ascii="楷体" w:hAnsi="楷体" w:eastAsia="楷体" w:cs="宋体"/>
          <w:kern w:val="0"/>
          <w:sz w:val="24"/>
          <w:szCs w:val="24"/>
        </w:rPr>
        <w:t>年</w:t>
      </w:r>
      <w:r>
        <w:rPr>
          <w:rFonts w:ascii="楷体" w:hAnsi="楷体" w:eastAsia="楷体" w:cs="宋体"/>
          <w:kern w:val="0"/>
          <w:sz w:val="24"/>
          <w:szCs w:val="24"/>
        </w:rPr>
        <w:t>10</w:t>
      </w:r>
      <w:r>
        <w:rPr>
          <w:rFonts w:hint="eastAsia" w:ascii="楷体" w:hAnsi="楷体" w:eastAsia="楷体" w:cs="宋体"/>
          <w:kern w:val="0"/>
          <w:sz w:val="24"/>
          <w:szCs w:val="24"/>
        </w:rPr>
        <w:t>月2</w:t>
      </w:r>
      <w:r>
        <w:rPr>
          <w:rFonts w:ascii="楷体" w:hAnsi="楷体" w:eastAsia="楷体" w:cs="宋体"/>
          <w:kern w:val="0"/>
          <w:sz w:val="24"/>
          <w:szCs w:val="24"/>
        </w:rPr>
        <w:t>6</w:t>
      </w:r>
      <w:r>
        <w:rPr>
          <w:rFonts w:hint="eastAsia" w:ascii="楷体" w:hAnsi="楷体" w:eastAsia="楷体" w:cs="宋体"/>
          <w:kern w:val="0"/>
          <w:sz w:val="24"/>
          <w:szCs w:val="24"/>
        </w:rPr>
        <w:t>日，公司类型为有限责任公司，注册地为黄石市西塞山区沿湖路3</w:t>
      </w:r>
      <w:r>
        <w:rPr>
          <w:rFonts w:ascii="楷体" w:hAnsi="楷体" w:eastAsia="楷体" w:cs="宋体"/>
          <w:kern w:val="0"/>
          <w:sz w:val="24"/>
          <w:szCs w:val="24"/>
        </w:rPr>
        <w:t>75</w:t>
      </w:r>
      <w:r>
        <w:rPr>
          <w:rFonts w:hint="eastAsia" w:ascii="楷体" w:hAnsi="楷体" w:eastAsia="楷体" w:cs="宋体"/>
          <w:kern w:val="0"/>
          <w:sz w:val="24"/>
          <w:szCs w:val="24"/>
        </w:rPr>
        <w:t>号2</w:t>
      </w:r>
      <w:r>
        <w:rPr>
          <w:rFonts w:ascii="楷体" w:hAnsi="楷体" w:eastAsia="楷体" w:cs="宋体"/>
          <w:kern w:val="0"/>
          <w:sz w:val="24"/>
          <w:szCs w:val="24"/>
        </w:rPr>
        <w:t>01</w:t>
      </w:r>
      <w:r>
        <w:rPr>
          <w:rFonts w:hint="eastAsia" w:ascii="楷体" w:hAnsi="楷体" w:eastAsia="楷体" w:cs="宋体"/>
          <w:kern w:val="0"/>
          <w:sz w:val="24"/>
          <w:szCs w:val="24"/>
        </w:rPr>
        <w:t>幢3</w:t>
      </w:r>
      <w:r>
        <w:rPr>
          <w:rFonts w:ascii="楷体" w:hAnsi="楷体" w:eastAsia="楷体" w:cs="宋体"/>
          <w:kern w:val="0"/>
          <w:sz w:val="24"/>
          <w:szCs w:val="24"/>
        </w:rPr>
        <w:t>04</w:t>
      </w:r>
      <w:r>
        <w:rPr>
          <w:rFonts w:hint="eastAsia" w:ascii="楷体" w:hAnsi="楷体" w:eastAsia="楷体" w:cs="宋体"/>
          <w:kern w:val="0"/>
          <w:sz w:val="24"/>
          <w:szCs w:val="24"/>
        </w:rPr>
        <w:t>铺，法定代表人为白绍五。公司经营范围：房地产开发及销售，房地产信息咨询服务；销售建筑材料、金属材料、装饰材料、五金交电、化工产品（不含危险品）。</w:t>
      </w:r>
    </w:p>
    <w:p>
      <w:pPr>
        <w:widowControl/>
        <w:shd w:val="clear" w:color="auto" w:fill="FFFFFF"/>
        <w:spacing w:line="360" w:lineRule="auto"/>
        <w:ind w:left="120" w:right="120" w:firstLine="480"/>
        <w:rPr>
          <w:rFonts w:ascii="楷体" w:hAnsi="楷体" w:eastAsia="楷体" w:cs="宋体"/>
          <w:b/>
          <w:bCs/>
          <w:spacing w:val="8"/>
          <w:kern w:val="0"/>
          <w:sz w:val="24"/>
          <w:szCs w:val="24"/>
        </w:rPr>
      </w:pPr>
      <w:r>
        <w:rPr>
          <w:rFonts w:hint="eastAsia" w:ascii="楷体" w:hAnsi="楷体" w:eastAsia="楷体" w:cs="宋体"/>
          <w:b/>
          <w:bCs/>
          <w:spacing w:val="8"/>
          <w:kern w:val="0"/>
          <w:sz w:val="24"/>
          <w:szCs w:val="24"/>
        </w:rPr>
        <w:t>（二）万隆公司股权结构</w:t>
      </w:r>
    </w:p>
    <w:p>
      <w:pPr>
        <w:widowControl/>
        <w:shd w:val="clear" w:color="auto" w:fill="FFFFFF"/>
        <w:spacing w:line="360" w:lineRule="auto"/>
        <w:ind w:left="120" w:right="120" w:firstLine="480"/>
        <w:rPr>
          <w:rFonts w:ascii="楷体" w:hAnsi="楷体" w:eastAsia="楷体" w:cs="宋体"/>
          <w:spacing w:val="8"/>
          <w:kern w:val="0"/>
          <w:sz w:val="24"/>
          <w:szCs w:val="24"/>
        </w:rPr>
      </w:pPr>
      <w:r>
        <w:rPr>
          <w:rFonts w:hint="eastAsia" w:ascii="楷体" w:hAnsi="楷体" w:eastAsia="楷体" w:cs="宋体"/>
          <w:spacing w:val="8"/>
          <w:kern w:val="0"/>
          <w:sz w:val="24"/>
          <w:szCs w:val="24"/>
        </w:rPr>
        <w:t>工商资料显示，万隆公司股东分别为</w:t>
      </w:r>
      <w:bookmarkStart w:id="1" w:name="_Hlk146175362"/>
      <w:r>
        <w:rPr>
          <w:rFonts w:hint="eastAsia" w:ascii="楷体" w:hAnsi="楷体" w:eastAsia="楷体" w:cs="宋体"/>
          <w:spacing w:val="8"/>
          <w:kern w:val="0"/>
          <w:sz w:val="24"/>
          <w:szCs w:val="24"/>
        </w:rPr>
        <w:t>黄石华厦建设集团有限公司</w:t>
      </w:r>
      <w:bookmarkEnd w:id="1"/>
      <w:r>
        <w:rPr>
          <w:rFonts w:hint="eastAsia" w:ascii="楷体" w:hAnsi="楷体" w:eastAsia="楷体" w:cs="宋体"/>
          <w:spacing w:val="8"/>
          <w:kern w:val="0"/>
          <w:sz w:val="24"/>
          <w:szCs w:val="24"/>
        </w:rPr>
        <w:t>认缴出资8</w:t>
      </w:r>
      <w:r>
        <w:rPr>
          <w:rFonts w:ascii="楷体" w:hAnsi="楷体" w:eastAsia="楷体" w:cs="宋体"/>
          <w:spacing w:val="8"/>
          <w:kern w:val="0"/>
          <w:sz w:val="24"/>
          <w:szCs w:val="24"/>
        </w:rPr>
        <w:t>19</w:t>
      </w:r>
      <w:r>
        <w:rPr>
          <w:rFonts w:hint="eastAsia" w:ascii="楷体" w:hAnsi="楷体" w:eastAsia="楷体" w:cs="宋体"/>
          <w:spacing w:val="8"/>
          <w:kern w:val="0"/>
          <w:sz w:val="24"/>
          <w:szCs w:val="24"/>
        </w:rPr>
        <w:t>万元，持股比例4</w:t>
      </w:r>
      <w:r>
        <w:rPr>
          <w:rFonts w:ascii="楷体" w:hAnsi="楷体" w:eastAsia="楷体" w:cs="宋体"/>
          <w:spacing w:val="8"/>
          <w:kern w:val="0"/>
          <w:sz w:val="24"/>
          <w:szCs w:val="24"/>
        </w:rPr>
        <w:t>5.02%</w:t>
      </w:r>
      <w:r>
        <w:rPr>
          <w:rFonts w:hint="eastAsia" w:ascii="楷体" w:hAnsi="楷体" w:eastAsia="楷体" w:cs="宋体"/>
          <w:spacing w:val="8"/>
          <w:kern w:val="0"/>
          <w:sz w:val="24"/>
          <w:szCs w:val="24"/>
        </w:rPr>
        <w:t>；龙少明实缴出资8</w:t>
      </w:r>
      <w:r>
        <w:rPr>
          <w:rFonts w:ascii="楷体" w:hAnsi="楷体" w:eastAsia="楷体" w:cs="宋体"/>
          <w:spacing w:val="8"/>
          <w:kern w:val="0"/>
          <w:sz w:val="24"/>
          <w:szCs w:val="24"/>
        </w:rPr>
        <w:t>00</w:t>
      </w:r>
      <w:r>
        <w:rPr>
          <w:rFonts w:hint="eastAsia" w:ascii="楷体" w:hAnsi="楷体" w:eastAsia="楷体" w:cs="宋体"/>
          <w:spacing w:val="8"/>
          <w:kern w:val="0"/>
          <w:sz w:val="24"/>
          <w:szCs w:val="24"/>
        </w:rPr>
        <w:t>万元，持股比例4</w:t>
      </w:r>
      <w:r>
        <w:rPr>
          <w:rFonts w:ascii="楷体" w:hAnsi="楷体" w:eastAsia="楷体" w:cs="宋体"/>
          <w:spacing w:val="8"/>
          <w:kern w:val="0"/>
          <w:sz w:val="24"/>
          <w:szCs w:val="24"/>
        </w:rPr>
        <w:t>3.98%</w:t>
      </w:r>
      <w:r>
        <w:rPr>
          <w:rFonts w:hint="eastAsia" w:ascii="楷体" w:hAnsi="楷体" w:eastAsia="楷体" w:cs="宋体"/>
          <w:spacing w:val="8"/>
          <w:kern w:val="0"/>
          <w:sz w:val="24"/>
          <w:szCs w:val="24"/>
        </w:rPr>
        <w:t>；张桂秋实缴出资2</w:t>
      </w:r>
      <w:r>
        <w:rPr>
          <w:rFonts w:ascii="楷体" w:hAnsi="楷体" w:eastAsia="楷体" w:cs="宋体"/>
          <w:spacing w:val="8"/>
          <w:kern w:val="0"/>
          <w:sz w:val="24"/>
          <w:szCs w:val="24"/>
        </w:rPr>
        <w:t>00</w:t>
      </w:r>
      <w:r>
        <w:rPr>
          <w:rFonts w:hint="eastAsia" w:ascii="楷体" w:hAnsi="楷体" w:eastAsia="楷体" w:cs="宋体"/>
          <w:spacing w:val="8"/>
          <w:kern w:val="0"/>
          <w:sz w:val="24"/>
          <w:szCs w:val="24"/>
        </w:rPr>
        <w:t>万元，持股比例1</w:t>
      </w:r>
      <w:r>
        <w:rPr>
          <w:rFonts w:ascii="楷体" w:hAnsi="楷体" w:eastAsia="楷体" w:cs="宋体"/>
          <w:spacing w:val="8"/>
          <w:kern w:val="0"/>
          <w:sz w:val="24"/>
          <w:szCs w:val="24"/>
        </w:rPr>
        <w:t>1%</w:t>
      </w:r>
      <w:r>
        <w:rPr>
          <w:rFonts w:hint="eastAsia" w:ascii="楷体" w:hAnsi="楷体" w:eastAsia="楷体" w:cs="宋体"/>
          <w:spacing w:val="8"/>
          <w:kern w:val="0"/>
          <w:sz w:val="24"/>
          <w:szCs w:val="24"/>
        </w:rPr>
        <w:t>。【特别说明：根据黄石市中级人民法院作出的（2</w:t>
      </w:r>
      <w:r>
        <w:rPr>
          <w:rFonts w:ascii="楷体" w:hAnsi="楷体" w:eastAsia="楷体" w:cs="宋体"/>
          <w:spacing w:val="8"/>
          <w:kern w:val="0"/>
          <w:sz w:val="24"/>
          <w:szCs w:val="24"/>
        </w:rPr>
        <w:t>022</w:t>
      </w:r>
      <w:r>
        <w:rPr>
          <w:rFonts w:hint="eastAsia" w:ascii="楷体" w:hAnsi="楷体" w:eastAsia="楷体" w:cs="宋体"/>
          <w:spacing w:val="8"/>
          <w:kern w:val="0"/>
          <w:sz w:val="24"/>
          <w:szCs w:val="24"/>
        </w:rPr>
        <w:t>）鄂0</w:t>
      </w:r>
      <w:r>
        <w:rPr>
          <w:rFonts w:ascii="楷体" w:hAnsi="楷体" w:eastAsia="楷体" w:cs="宋体"/>
          <w:spacing w:val="8"/>
          <w:kern w:val="0"/>
          <w:sz w:val="24"/>
          <w:szCs w:val="24"/>
        </w:rPr>
        <w:t>2</w:t>
      </w:r>
      <w:r>
        <w:rPr>
          <w:rFonts w:hint="eastAsia" w:ascii="楷体" w:hAnsi="楷体" w:eastAsia="楷体" w:cs="宋体"/>
          <w:spacing w:val="8"/>
          <w:kern w:val="0"/>
          <w:sz w:val="24"/>
          <w:szCs w:val="24"/>
        </w:rPr>
        <w:t>民终7</w:t>
      </w:r>
      <w:r>
        <w:rPr>
          <w:rFonts w:ascii="楷体" w:hAnsi="楷体" w:eastAsia="楷体" w:cs="宋体"/>
          <w:spacing w:val="8"/>
          <w:kern w:val="0"/>
          <w:sz w:val="24"/>
          <w:szCs w:val="24"/>
        </w:rPr>
        <w:t>04</w:t>
      </w:r>
      <w:r>
        <w:rPr>
          <w:rFonts w:hint="eastAsia" w:ascii="楷体" w:hAnsi="楷体" w:eastAsia="楷体" w:cs="宋体"/>
          <w:spacing w:val="8"/>
          <w:kern w:val="0"/>
          <w:sz w:val="24"/>
          <w:szCs w:val="24"/>
        </w:rPr>
        <w:t>号《民事判决书》，黄石华厦建设集团有限公司为万隆公司名义股东，不享有股东权利。】</w:t>
      </w:r>
    </w:p>
    <w:p>
      <w:pPr>
        <w:widowControl/>
        <w:shd w:val="clear" w:color="auto" w:fill="FFFFFF"/>
        <w:spacing w:line="360" w:lineRule="auto"/>
        <w:ind w:left="120" w:right="120" w:firstLine="480"/>
        <w:rPr>
          <w:rFonts w:ascii="楷体" w:hAnsi="楷体" w:eastAsia="楷体" w:cs="宋体"/>
          <w:spacing w:val="8"/>
          <w:kern w:val="0"/>
          <w:sz w:val="24"/>
          <w:szCs w:val="24"/>
        </w:rPr>
      </w:pPr>
      <w:r>
        <w:rPr>
          <w:rFonts w:hint="eastAsia" w:ascii="楷体" w:hAnsi="楷体" w:eastAsia="楷体" w:cs="宋体"/>
          <w:b/>
          <w:bCs/>
          <w:spacing w:val="8"/>
          <w:kern w:val="0"/>
          <w:sz w:val="24"/>
          <w:szCs w:val="24"/>
        </w:rPr>
        <w:t>（三）万隆公司债务情况</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经初步调查，万隆公司债务约</w:t>
      </w:r>
      <w:r>
        <w:rPr>
          <w:rFonts w:ascii="楷体" w:hAnsi="楷体" w:eastAsia="楷体" w:cs="宋体"/>
          <w:kern w:val="0"/>
          <w:sz w:val="24"/>
          <w:szCs w:val="24"/>
        </w:rPr>
        <w:t>1.</w:t>
      </w:r>
      <w:r>
        <w:rPr>
          <w:rFonts w:hint="eastAsia" w:ascii="楷体" w:hAnsi="楷体" w:eastAsia="楷体" w:cs="宋体"/>
          <w:kern w:val="0"/>
          <w:sz w:val="24"/>
          <w:szCs w:val="24"/>
        </w:rPr>
        <w:t>4亿元（不包含3</w:t>
      </w:r>
      <w:r>
        <w:rPr>
          <w:rFonts w:ascii="楷体" w:hAnsi="楷体" w:eastAsia="楷体" w:cs="宋体"/>
          <w:kern w:val="0"/>
          <w:sz w:val="24"/>
          <w:szCs w:val="24"/>
        </w:rPr>
        <w:t>44</w:t>
      </w:r>
      <w:r>
        <w:rPr>
          <w:rFonts w:hint="eastAsia" w:ascii="楷体" w:hAnsi="楷体" w:eastAsia="楷体" w:cs="宋体"/>
          <w:kern w:val="0"/>
          <w:sz w:val="24"/>
          <w:szCs w:val="24"/>
        </w:rPr>
        <w:t>户拆迁后需要还建的房屋），具体债务金额待债权人所申报的债权审核后确定。</w:t>
      </w:r>
    </w:p>
    <w:p>
      <w:pPr>
        <w:widowControl/>
        <w:shd w:val="clear" w:color="auto" w:fill="FFFFFF"/>
        <w:spacing w:line="360" w:lineRule="auto"/>
        <w:ind w:left="120" w:right="120" w:firstLine="480"/>
        <w:rPr>
          <w:rFonts w:ascii="楷体" w:hAnsi="楷体" w:eastAsia="楷体" w:cs="宋体"/>
          <w:spacing w:val="8"/>
          <w:kern w:val="0"/>
          <w:sz w:val="24"/>
          <w:szCs w:val="24"/>
        </w:rPr>
      </w:pPr>
      <w:r>
        <w:rPr>
          <w:rFonts w:hint="eastAsia" w:ascii="楷体" w:hAnsi="楷体" w:eastAsia="楷体" w:cs="宋体"/>
          <w:b/>
          <w:bCs/>
          <w:spacing w:val="8"/>
          <w:kern w:val="0"/>
          <w:sz w:val="24"/>
          <w:szCs w:val="24"/>
        </w:rPr>
        <w:t>（四）主要资产</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万隆公司主要资产为待拆迁安置后进行开发的一块土地，基本情况如下：</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1、待开发地块情况</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万隆公司待开发的地块是</w:t>
      </w:r>
      <w:r>
        <w:rPr>
          <w:rFonts w:ascii="楷体" w:hAnsi="楷体" w:eastAsia="楷体" w:cs="宋体"/>
          <w:kern w:val="0"/>
          <w:sz w:val="24"/>
          <w:szCs w:val="24"/>
        </w:rPr>
        <w:t>2011年3月30日经过拍卖竞得</w:t>
      </w:r>
      <w:r>
        <w:rPr>
          <w:rFonts w:hint="eastAsia" w:ascii="楷体" w:hAnsi="楷体" w:eastAsia="楷体" w:cs="宋体"/>
          <w:kern w:val="0"/>
          <w:sz w:val="24"/>
          <w:szCs w:val="24"/>
        </w:rPr>
        <w:t>的位于黄石市环湖路2</w:t>
      </w:r>
      <w:r>
        <w:rPr>
          <w:rFonts w:ascii="楷体" w:hAnsi="楷体" w:eastAsia="楷体" w:cs="宋体"/>
          <w:kern w:val="0"/>
          <w:sz w:val="24"/>
          <w:szCs w:val="24"/>
        </w:rPr>
        <w:t>2</w:t>
      </w:r>
      <w:r>
        <w:rPr>
          <w:rFonts w:hint="eastAsia" w:ascii="楷体" w:hAnsi="楷体" w:eastAsia="楷体" w:cs="宋体"/>
          <w:kern w:val="0"/>
          <w:sz w:val="24"/>
          <w:szCs w:val="24"/>
        </w:rPr>
        <w:t>号</w:t>
      </w:r>
      <w:r>
        <w:rPr>
          <w:rFonts w:ascii="楷体" w:hAnsi="楷体" w:eastAsia="楷体" w:cs="宋体"/>
          <w:kern w:val="0"/>
          <w:sz w:val="24"/>
          <w:szCs w:val="24"/>
        </w:rPr>
        <w:t>11448.36平方米</w:t>
      </w:r>
      <w:r>
        <w:rPr>
          <w:rFonts w:hint="eastAsia" w:ascii="楷体" w:hAnsi="楷体" w:eastAsia="楷体" w:cs="宋体"/>
          <w:kern w:val="0"/>
          <w:sz w:val="24"/>
          <w:szCs w:val="24"/>
        </w:rPr>
        <w:t>国有建设用地使用权</w:t>
      </w:r>
      <w:r>
        <w:rPr>
          <w:rFonts w:ascii="楷体" w:hAnsi="楷体" w:eastAsia="楷体" w:cs="宋体"/>
          <w:kern w:val="0"/>
          <w:sz w:val="24"/>
          <w:szCs w:val="24"/>
        </w:rPr>
        <w:t>，于2011年4月13日</w:t>
      </w:r>
      <w:r>
        <w:rPr>
          <w:rFonts w:hint="eastAsia" w:ascii="楷体" w:hAnsi="楷体" w:eastAsia="楷体" w:cs="宋体"/>
          <w:kern w:val="0"/>
          <w:sz w:val="24"/>
          <w:szCs w:val="24"/>
        </w:rPr>
        <w:t>与</w:t>
      </w:r>
      <w:r>
        <w:rPr>
          <w:rFonts w:ascii="楷体" w:hAnsi="楷体" w:eastAsia="楷体" w:cs="宋体"/>
          <w:kern w:val="0"/>
          <w:sz w:val="24"/>
          <w:szCs w:val="24"/>
        </w:rPr>
        <w:t>黄石市国土资源局签订《国有建设用地使用权出让合同》，以“毛地”方式取得，因拆迁迟缓、规划调整、采光、资金不足等因素导致开发停滞，形成历史遗留问题。</w:t>
      </w:r>
      <w:r>
        <w:rPr>
          <w:rFonts w:hint="eastAsia" w:ascii="楷体" w:hAnsi="楷体" w:eastAsia="楷体" w:cs="宋体"/>
          <w:kern w:val="0"/>
          <w:sz w:val="24"/>
          <w:szCs w:val="24"/>
        </w:rPr>
        <w:t>拟开发的楼盘暂定名为“万隆·澄月湾”。</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2、涉及拆迁安置情况</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根据万隆公司提供的资料，该地块共涉及拆迁安置3</w:t>
      </w:r>
      <w:r>
        <w:rPr>
          <w:rFonts w:ascii="楷体" w:hAnsi="楷体" w:eastAsia="楷体" w:cs="宋体"/>
          <w:kern w:val="0"/>
          <w:sz w:val="24"/>
          <w:szCs w:val="24"/>
        </w:rPr>
        <w:t>44</w:t>
      </w:r>
      <w:r>
        <w:rPr>
          <w:rFonts w:hint="eastAsia" w:ascii="楷体" w:hAnsi="楷体" w:eastAsia="楷体" w:cs="宋体"/>
          <w:kern w:val="0"/>
          <w:sz w:val="24"/>
          <w:szCs w:val="24"/>
        </w:rPr>
        <w:t>户，分布在7幢楼内，平均户型面积为5</w:t>
      </w:r>
      <w:r>
        <w:rPr>
          <w:rFonts w:ascii="楷体" w:hAnsi="楷体" w:eastAsia="楷体" w:cs="宋体"/>
          <w:kern w:val="0"/>
          <w:sz w:val="24"/>
          <w:szCs w:val="24"/>
        </w:rPr>
        <w:t>0</w:t>
      </w:r>
      <w:r>
        <w:rPr>
          <w:rFonts w:hint="eastAsia" w:ascii="楷体" w:hAnsi="楷体" w:eastAsia="楷体" w:cs="宋体"/>
          <w:kern w:val="0"/>
          <w:sz w:val="24"/>
          <w:szCs w:val="24"/>
        </w:rPr>
        <w:t>平方米。目前已签订拆迁补偿协议2</w:t>
      </w:r>
      <w:r>
        <w:rPr>
          <w:rFonts w:ascii="楷体" w:hAnsi="楷体" w:eastAsia="楷体" w:cs="宋体"/>
          <w:kern w:val="0"/>
          <w:sz w:val="24"/>
          <w:szCs w:val="24"/>
        </w:rPr>
        <w:t>3</w:t>
      </w:r>
      <w:r>
        <w:rPr>
          <w:rFonts w:hint="eastAsia" w:ascii="楷体" w:hAnsi="楷体" w:eastAsia="楷体" w:cs="宋体"/>
          <w:kern w:val="0"/>
          <w:sz w:val="24"/>
          <w:szCs w:val="24"/>
          <w:lang w:val="en-US" w:eastAsia="zh-CN"/>
        </w:rPr>
        <w:t>7</w:t>
      </w:r>
      <w:r>
        <w:rPr>
          <w:rFonts w:hint="eastAsia" w:ascii="楷体" w:hAnsi="楷体" w:eastAsia="楷体" w:cs="宋体"/>
          <w:kern w:val="0"/>
          <w:sz w:val="24"/>
          <w:szCs w:val="24"/>
        </w:rPr>
        <w:t>户，未签订拆迁补偿协议约1</w:t>
      </w:r>
      <w:r>
        <w:rPr>
          <w:rFonts w:ascii="楷体" w:hAnsi="楷体" w:eastAsia="楷体" w:cs="宋体"/>
          <w:kern w:val="0"/>
          <w:sz w:val="24"/>
          <w:szCs w:val="24"/>
        </w:rPr>
        <w:t>0</w:t>
      </w:r>
      <w:r>
        <w:rPr>
          <w:rFonts w:hint="eastAsia" w:ascii="楷体" w:hAnsi="楷体" w:eastAsia="楷体" w:cs="宋体"/>
          <w:kern w:val="0"/>
          <w:sz w:val="24"/>
          <w:szCs w:val="24"/>
          <w:lang w:val="en-US" w:eastAsia="zh-CN"/>
        </w:rPr>
        <w:t>7</w:t>
      </w:r>
      <w:r>
        <w:rPr>
          <w:rFonts w:hint="eastAsia" w:ascii="楷体" w:hAnsi="楷体" w:eastAsia="楷体" w:cs="宋体"/>
          <w:kern w:val="0"/>
          <w:sz w:val="24"/>
          <w:szCs w:val="24"/>
        </w:rPr>
        <w:t>户。据现场查勘，目前有4幢楼已完成拆除，尚有3幢楼未拆除，有一百多户居住在该3幢楼内。目前，上述需拆迁安置的拆迁户未安置。</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3、该地块规划情况</w:t>
      </w:r>
      <w:bookmarkStart w:id="6" w:name="_GoBack"/>
      <w:bookmarkEnd w:id="6"/>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根据黄石市规划局西塞山规划分局于2</w:t>
      </w:r>
      <w:r>
        <w:rPr>
          <w:rFonts w:ascii="楷体" w:hAnsi="楷体" w:eastAsia="楷体" w:cs="宋体"/>
          <w:kern w:val="0"/>
          <w:sz w:val="24"/>
          <w:szCs w:val="24"/>
        </w:rPr>
        <w:t>020</w:t>
      </w:r>
      <w:r>
        <w:rPr>
          <w:rFonts w:hint="eastAsia" w:ascii="楷体" w:hAnsi="楷体" w:eastAsia="楷体" w:cs="宋体"/>
          <w:kern w:val="0"/>
          <w:sz w:val="24"/>
          <w:szCs w:val="24"/>
        </w:rPr>
        <w:t>年1</w:t>
      </w:r>
      <w:r>
        <w:rPr>
          <w:rFonts w:ascii="楷体" w:hAnsi="楷体" w:eastAsia="楷体" w:cs="宋体"/>
          <w:kern w:val="0"/>
          <w:sz w:val="24"/>
          <w:szCs w:val="24"/>
        </w:rPr>
        <w:t>0</w:t>
      </w:r>
      <w:r>
        <w:rPr>
          <w:rFonts w:hint="eastAsia" w:ascii="楷体" w:hAnsi="楷体" w:eastAsia="楷体" w:cs="宋体"/>
          <w:kern w:val="0"/>
          <w:sz w:val="24"/>
          <w:szCs w:val="24"/>
        </w:rPr>
        <w:t>月1</w:t>
      </w:r>
      <w:r>
        <w:rPr>
          <w:rFonts w:ascii="楷体" w:hAnsi="楷体" w:eastAsia="楷体" w:cs="宋体"/>
          <w:kern w:val="0"/>
          <w:sz w:val="24"/>
          <w:szCs w:val="24"/>
        </w:rPr>
        <w:t>2</w:t>
      </w:r>
      <w:r>
        <w:rPr>
          <w:rFonts w:hint="eastAsia" w:ascii="楷体" w:hAnsi="楷体" w:eastAsia="楷体" w:cs="宋体"/>
          <w:kern w:val="0"/>
          <w:sz w:val="24"/>
          <w:szCs w:val="24"/>
        </w:rPr>
        <w:t>日经审核原则同意的该地块详细规划技术指标如下：</w:t>
      </w:r>
    </w:p>
    <w:tbl>
      <w:tblPr>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709"/>
        <w:gridCol w:w="3969"/>
        <w:gridCol w:w="850"/>
        <w:gridCol w:w="1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Align w:val="center"/>
          </w:tcPr>
          <w:p>
            <w:pPr>
              <w:widowControl/>
              <w:spacing w:line="360" w:lineRule="auto"/>
              <w:ind w:right="120"/>
              <w:jc w:val="center"/>
              <w:rPr>
                <w:rFonts w:ascii="楷体" w:hAnsi="楷体" w:eastAsia="楷体" w:cs="宋体"/>
                <w:b/>
                <w:bCs/>
                <w:kern w:val="0"/>
                <w:sz w:val="24"/>
                <w:szCs w:val="24"/>
              </w:rPr>
            </w:pPr>
            <w:r>
              <w:rPr>
                <w:rFonts w:hint="eastAsia" w:ascii="楷体" w:hAnsi="楷体" w:eastAsia="楷体" w:cs="宋体"/>
                <w:b/>
                <w:bCs/>
                <w:kern w:val="0"/>
                <w:sz w:val="24"/>
                <w:szCs w:val="24"/>
              </w:rPr>
              <w:t>序号</w:t>
            </w:r>
          </w:p>
        </w:tc>
        <w:tc>
          <w:tcPr>
            <w:tcW w:w="4678" w:type="dxa"/>
            <w:gridSpan w:val="2"/>
            <w:vAlign w:val="center"/>
          </w:tcPr>
          <w:p>
            <w:pPr>
              <w:widowControl/>
              <w:spacing w:line="360" w:lineRule="auto"/>
              <w:ind w:right="120"/>
              <w:jc w:val="center"/>
              <w:rPr>
                <w:rFonts w:ascii="楷体" w:hAnsi="楷体" w:eastAsia="楷体" w:cs="宋体"/>
                <w:b/>
                <w:bCs/>
                <w:kern w:val="0"/>
                <w:sz w:val="24"/>
                <w:szCs w:val="24"/>
              </w:rPr>
            </w:pPr>
            <w:r>
              <w:rPr>
                <w:rFonts w:hint="eastAsia" w:ascii="楷体" w:hAnsi="楷体" w:eastAsia="楷体" w:cs="宋体"/>
                <w:b/>
                <w:bCs/>
                <w:kern w:val="0"/>
                <w:sz w:val="24"/>
                <w:szCs w:val="24"/>
              </w:rPr>
              <w:t>项目名称</w:t>
            </w:r>
          </w:p>
        </w:tc>
        <w:tc>
          <w:tcPr>
            <w:tcW w:w="850" w:type="dxa"/>
            <w:vAlign w:val="center"/>
          </w:tcPr>
          <w:p>
            <w:pPr>
              <w:widowControl/>
              <w:spacing w:line="360" w:lineRule="auto"/>
              <w:ind w:right="120"/>
              <w:jc w:val="center"/>
              <w:rPr>
                <w:rFonts w:ascii="楷体" w:hAnsi="楷体" w:eastAsia="楷体" w:cs="宋体"/>
                <w:b/>
                <w:bCs/>
                <w:kern w:val="0"/>
                <w:sz w:val="24"/>
                <w:szCs w:val="24"/>
              </w:rPr>
            </w:pPr>
            <w:r>
              <w:rPr>
                <w:rFonts w:hint="eastAsia" w:ascii="楷体" w:hAnsi="楷体" w:eastAsia="楷体" w:cs="宋体"/>
                <w:b/>
                <w:bCs/>
                <w:kern w:val="0"/>
                <w:sz w:val="24"/>
                <w:szCs w:val="24"/>
              </w:rPr>
              <w:t>单位</w:t>
            </w:r>
          </w:p>
        </w:tc>
        <w:tc>
          <w:tcPr>
            <w:tcW w:w="1922" w:type="dxa"/>
            <w:vAlign w:val="center"/>
          </w:tcPr>
          <w:p>
            <w:pPr>
              <w:widowControl/>
              <w:spacing w:line="360" w:lineRule="auto"/>
              <w:ind w:right="120"/>
              <w:jc w:val="center"/>
              <w:rPr>
                <w:rFonts w:ascii="楷体" w:hAnsi="楷体" w:eastAsia="楷体" w:cs="宋体"/>
                <w:b/>
                <w:bCs/>
                <w:kern w:val="0"/>
                <w:sz w:val="24"/>
                <w:szCs w:val="24"/>
              </w:rPr>
            </w:pPr>
            <w:r>
              <w:rPr>
                <w:rFonts w:hint="eastAsia" w:ascii="楷体" w:hAnsi="楷体" w:eastAsia="楷体" w:cs="宋体"/>
                <w:b/>
                <w:bCs/>
                <w:kern w:val="0"/>
                <w:sz w:val="24"/>
                <w:szCs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Align w:val="top"/>
          </w:tcPr>
          <w:p>
            <w:pPr>
              <w:widowControl/>
              <w:spacing w:line="360" w:lineRule="auto"/>
              <w:ind w:right="120"/>
              <w:jc w:val="center"/>
              <w:rPr>
                <w:rFonts w:ascii="楷体" w:hAnsi="楷体" w:eastAsia="楷体" w:cs="宋体"/>
                <w:kern w:val="0"/>
                <w:sz w:val="24"/>
                <w:szCs w:val="24"/>
              </w:rPr>
            </w:pPr>
            <w:r>
              <w:rPr>
                <w:rFonts w:hint="eastAsia" w:ascii="楷体" w:hAnsi="楷体" w:eastAsia="楷体" w:cs="宋体"/>
                <w:kern w:val="0"/>
                <w:sz w:val="24"/>
                <w:szCs w:val="24"/>
              </w:rPr>
              <w:t>1</w:t>
            </w:r>
          </w:p>
        </w:tc>
        <w:tc>
          <w:tcPr>
            <w:tcW w:w="4678" w:type="dxa"/>
            <w:gridSpan w:val="2"/>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规划总用地面积</w:t>
            </w:r>
          </w:p>
        </w:tc>
        <w:tc>
          <w:tcPr>
            <w:tcW w:w="850" w:type="dxa"/>
            <w:vMerge w:val="restart"/>
            <w:vAlign w:val="center"/>
          </w:tcPr>
          <w:p>
            <w:pPr>
              <w:widowControl/>
              <w:spacing w:line="360" w:lineRule="auto"/>
              <w:ind w:right="120"/>
              <w:jc w:val="center"/>
              <w:rPr>
                <w:rFonts w:ascii="楷体" w:hAnsi="楷体" w:eastAsia="楷体" w:cs="宋体"/>
                <w:kern w:val="0"/>
                <w:sz w:val="24"/>
                <w:szCs w:val="24"/>
              </w:rPr>
            </w:pPr>
            <w:r>
              <w:rPr>
                <w:rFonts w:hint="eastAsia" w:ascii="楷体" w:hAnsi="楷体" w:eastAsia="楷体" w:cs="宋体"/>
                <w:kern w:val="0"/>
                <w:sz w:val="24"/>
                <w:szCs w:val="24"/>
              </w:rPr>
              <w:t>㎡</w:t>
            </w:r>
          </w:p>
        </w:tc>
        <w:tc>
          <w:tcPr>
            <w:tcW w:w="1922" w:type="dxa"/>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1</w:t>
            </w:r>
            <w:r>
              <w:rPr>
                <w:rFonts w:ascii="楷体" w:hAnsi="楷体" w:eastAsia="楷体" w:cs="宋体"/>
                <w:kern w:val="0"/>
                <w:sz w:val="24"/>
                <w:szCs w:val="24"/>
              </w:rPr>
              <w:t>1450.00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Align w:val="top"/>
          </w:tcPr>
          <w:p>
            <w:pPr>
              <w:widowControl/>
              <w:spacing w:line="360" w:lineRule="auto"/>
              <w:ind w:right="120"/>
              <w:jc w:val="center"/>
              <w:rPr>
                <w:rFonts w:ascii="楷体" w:hAnsi="楷体" w:eastAsia="楷体" w:cs="宋体"/>
                <w:kern w:val="0"/>
                <w:sz w:val="24"/>
                <w:szCs w:val="24"/>
              </w:rPr>
            </w:pPr>
            <w:r>
              <w:rPr>
                <w:rFonts w:hint="eastAsia" w:ascii="楷体" w:hAnsi="楷体" w:eastAsia="楷体" w:cs="宋体"/>
                <w:kern w:val="0"/>
                <w:sz w:val="24"/>
                <w:szCs w:val="24"/>
              </w:rPr>
              <w:t>2</w:t>
            </w:r>
          </w:p>
        </w:tc>
        <w:tc>
          <w:tcPr>
            <w:tcW w:w="4678" w:type="dxa"/>
            <w:gridSpan w:val="2"/>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总建筑面积</w:t>
            </w:r>
          </w:p>
        </w:tc>
        <w:tc>
          <w:tcPr>
            <w:tcW w:w="850" w:type="dxa"/>
            <w:vMerge w:val="continue"/>
            <w:vAlign w:val="top"/>
          </w:tcPr>
          <w:p>
            <w:pPr>
              <w:widowControl/>
              <w:spacing w:line="360" w:lineRule="auto"/>
              <w:ind w:right="120"/>
              <w:rPr>
                <w:rFonts w:ascii="楷体" w:hAnsi="楷体" w:eastAsia="楷体" w:cs="宋体"/>
                <w:kern w:val="0"/>
                <w:sz w:val="24"/>
                <w:szCs w:val="24"/>
              </w:rPr>
            </w:pPr>
          </w:p>
        </w:tc>
        <w:tc>
          <w:tcPr>
            <w:tcW w:w="1922" w:type="dxa"/>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8</w:t>
            </w:r>
            <w:r>
              <w:rPr>
                <w:rFonts w:ascii="楷体" w:hAnsi="楷体" w:eastAsia="楷体" w:cs="宋体"/>
                <w:kern w:val="0"/>
                <w:sz w:val="24"/>
                <w:szCs w:val="24"/>
              </w:rPr>
              <w:t>9116.90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Align w:val="top"/>
          </w:tcPr>
          <w:p>
            <w:pPr>
              <w:widowControl/>
              <w:spacing w:line="360" w:lineRule="auto"/>
              <w:ind w:right="120"/>
              <w:jc w:val="center"/>
              <w:rPr>
                <w:rFonts w:ascii="楷体" w:hAnsi="楷体" w:eastAsia="楷体" w:cs="宋体"/>
                <w:kern w:val="0"/>
                <w:sz w:val="24"/>
                <w:szCs w:val="24"/>
              </w:rPr>
            </w:pPr>
            <w:r>
              <w:rPr>
                <w:rFonts w:hint="eastAsia" w:ascii="楷体" w:hAnsi="楷体" w:eastAsia="楷体" w:cs="宋体"/>
                <w:kern w:val="0"/>
                <w:sz w:val="24"/>
                <w:szCs w:val="24"/>
              </w:rPr>
              <w:t>3</w:t>
            </w:r>
          </w:p>
        </w:tc>
        <w:tc>
          <w:tcPr>
            <w:tcW w:w="4678" w:type="dxa"/>
            <w:gridSpan w:val="2"/>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计容建筑面积</w:t>
            </w:r>
          </w:p>
        </w:tc>
        <w:tc>
          <w:tcPr>
            <w:tcW w:w="850" w:type="dxa"/>
            <w:vMerge w:val="continue"/>
            <w:vAlign w:val="top"/>
          </w:tcPr>
          <w:p>
            <w:pPr>
              <w:widowControl/>
              <w:spacing w:line="360" w:lineRule="auto"/>
              <w:ind w:right="120"/>
              <w:rPr>
                <w:rFonts w:ascii="楷体" w:hAnsi="楷体" w:eastAsia="楷体" w:cs="宋体"/>
                <w:kern w:val="0"/>
                <w:sz w:val="24"/>
                <w:szCs w:val="24"/>
              </w:rPr>
            </w:pPr>
          </w:p>
        </w:tc>
        <w:tc>
          <w:tcPr>
            <w:tcW w:w="1922" w:type="dxa"/>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6</w:t>
            </w:r>
            <w:r>
              <w:rPr>
                <w:rFonts w:ascii="楷体" w:hAnsi="楷体" w:eastAsia="楷体" w:cs="宋体"/>
                <w:kern w:val="0"/>
                <w:sz w:val="24"/>
                <w:szCs w:val="24"/>
              </w:rPr>
              <w:t>8471.00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Merge w:val="restart"/>
            <w:textDirection w:val="tbRlV"/>
            <w:vAlign w:val="top"/>
          </w:tcPr>
          <w:p>
            <w:pPr>
              <w:widowControl/>
              <w:spacing w:line="360" w:lineRule="auto"/>
              <w:ind w:left="113" w:right="120"/>
              <w:rPr>
                <w:rFonts w:ascii="楷体" w:hAnsi="楷体" w:eastAsia="楷体" w:cs="宋体"/>
                <w:kern w:val="0"/>
                <w:sz w:val="24"/>
                <w:szCs w:val="24"/>
              </w:rPr>
            </w:pPr>
            <w:r>
              <w:rPr>
                <w:rFonts w:hint="eastAsia" w:ascii="楷体" w:hAnsi="楷体" w:eastAsia="楷体" w:cs="宋体"/>
                <w:kern w:val="0"/>
                <w:sz w:val="24"/>
                <w:szCs w:val="24"/>
              </w:rPr>
              <w:t xml:space="preserve"> </w:t>
            </w:r>
            <w:r>
              <w:rPr>
                <w:rFonts w:ascii="楷体" w:hAnsi="楷体" w:eastAsia="楷体" w:cs="宋体"/>
                <w:kern w:val="0"/>
                <w:sz w:val="24"/>
                <w:szCs w:val="24"/>
              </w:rPr>
              <w:t xml:space="preserve">  </w:t>
            </w:r>
            <w:r>
              <w:rPr>
                <w:rFonts w:hint="eastAsia" w:ascii="楷体" w:hAnsi="楷体" w:eastAsia="楷体" w:cs="宋体"/>
                <w:kern w:val="0"/>
                <w:sz w:val="24"/>
                <w:szCs w:val="24"/>
              </w:rPr>
              <w:t xml:space="preserve">其 </w:t>
            </w:r>
            <w:r>
              <w:rPr>
                <w:rFonts w:ascii="楷体" w:hAnsi="楷体" w:eastAsia="楷体" w:cs="宋体"/>
                <w:kern w:val="0"/>
                <w:sz w:val="24"/>
                <w:szCs w:val="24"/>
              </w:rPr>
              <w:t xml:space="preserve">    </w:t>
            </w:r>
            <w:r>
              <w:rPr>
                <w:rFonts w:hint="eastAsia" w:ascii="楷体" w:hAnsi="楷体" w:eastAsia="楷体" w:cs="宋体"/>
                <w:kern w:val="0"/>
                <w:sz w:val="24"/>
                <w:szCs w:val="24"/>
              </w:rPr>
              <w:t>中</w:t>
            </w:r>
          </w:p>
        </w:tc>
        <w:tc>
          <w:tcPr>
            <w:tcW w:w="709" w:type="dxa"/>
            <w:vAlign w:val="top"/>
          </w:tcPr>
          <w:p>
            <w:pPr>
              <w:widowControl/>
              <w:spacing w:line="360" w:lineRule="auto"/>
              <w:ind w:right="120"/>
              <w:jc w:val="center"/>
              <w:rPr>
                <w:rFonts w:ascii="楷体" w:hAnsi="楷体" w:eastAsia="楷体" w:cs="宋体"/>
                <w:kern w:val="0"/>
                <w:sz w:val="24"/>
                <w:szCs w:val="24"/>
              </w:rPr>
            </w:pPr>
            <w:r>
              <w:rPr>
                <w:rFonts w:hint="eastAsia" w:ascii="楷体" w:hAnsi="楷体" w:eastAsia="楷体" w:cs="宋体"/>
                <w:kern w:val="0"/>
                <w:sz w:val="24"/>
                <w:szCs w:val="24"/>
              </w:rPr>
              <w:t>A</w:t>
            </w:r>
          </w:p>
        </w:tc>
        <w:tc>
          <w:tcPr>
            <w:tcW w:w="3969" w:type="dxa"/>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规划住宅建筑面积</w:t>
            </w:r>
          </w:p>
        </w:tc>
        <w:tc>
          <w:tcPr>
            <w:tcW w:w="850" w:type="dxa"/>
            <w:vMerge w:val="continue"/>
            <w:vAlign w:val="top"/>
          </w:tcPr>
          <w:p>
            <w:pPr>
              <w:widowControl/>
              <w:spacing w:line="360" w:lineRule="auto"/>
              <w:ind w:right="120"/>
              <w:rPr>
                <w:rFonts w:ascii="楷体" w:hAnsi="楷体" w:eastAsia="楷体" w:cs="宋体"/>
                <w:kern w:val="0"/>
                <w:sz w:val="24"/>
                <w:szCs w:val="24"/>
              </w:rPr>
            </w:pPr>
          </w:p>
        </w:tc>
        <w:tc>
          <w:tcPr>
            <w:tcW w:w="1922" w:type="dxa"/>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6</w:t>
            </w:r>
            <w:r>
              <w:rPr>
                <w:rFonts w:ascii="楷体" w:hAnsi="楷体" w:eastAsia="楷体" w:cs="宋体"/>
                <w:kern w:val="0"/>
                <w:sz w:val="24"/>
                <w:szCs w:val="24"/>
              </w:rPr>
              <w:t>7154.69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Merge w:val="continue"/>
            <w:vAlign w:val="top"/>
          </w:tcPr>
          <w:p>
            <w:pPr>
              <w:widowControl/>
              <w:spacing w:line="360" w:lineRule="auto"/>
              <w:ind w:right="120"/>
              <w:rPr>
                <w:rFonts w:ascii="楷体" w:hAnsi="楷体" w:eastAsia="楷体" w:cs="宋体"/>
                <w:kern w:val="0"/>
                <w:sz w:val="24"/>
                <w:szCs w:val="24"/>
              </w:rPr>
            </w:pPr>
          </w:p>
        </w:tc>
        <w:tc>
          <w:tcPr>
            <w:tcW w:w="709" w:type="dxa"/>
            <w:vAlign w:val="top"/>
          </w:tcPr>
          <w:p>
            <w:pPr>
              <w:widowControl/>
              <w:spacing w:line="360" w:lineRule="auto"/>
              <w:ind w:right="120"/>
              <w:jc w:val="center"/>
              <w:rPr>
                <w:rFonts w:ascii="楷体" w:hAnsi="楷体" w:eastAsia="楷体" w:cs="宋体"/>
                <w:kern w:val="0"/>
                <w:sz w:val="24"/>
                <w:szCs w:val="24"/>
              </w:rPr>
            </w:pPr>
            <w:r>
              <w:rPr>
                <w:rFonts w:hint="eastAsia" w:ascii="楷体" w:hAnsi="楷体" w:eastAsia="楷体" w:cs="宋体"/>
                <w:kern w:val="0"/>
                <w:sz w:val="24"/>
                <w:szCs w:val="24"/>
              </w:rPr>
              <w:t>B</w:t>
            </w:r>
          </w:p>
        </w:tc>
        <w:tc>
          <w:tcPr>
            <w:tcW w:w="3969" w:type="dxa"/>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商业建筑面积</w:t>
            </w:r>
          </w:p>
        </w:tc>
        <w:tc>
          <w:tcPr>
            <w:tcW w:w="850" w:type="dxa"/>
            <w:vMerge w:val="continue"/>
            <w:vAlign w:val="top"/>
          </w:tcPr>
          <w:p>
            <w:pPr>
              <w:widowControl/>
              <w:spacing w:line="360" w:lineRule="auto"/>
              <w:ind w:right="120"/>
              <w:rPr>
                <w:rFonts w:ascii="楷体" w:hAnsi="楷体" w:eastAsia="楷体" w:cs="宋体"/>
                <w:kern w:val="0"/>
                <w:sz w:val="24"/>
                <w:szCs w:val="24"/>
              </w:rPr>
            </w:pPr>
          </w:p>
        </w:tc>
        <w:tc>
          <w:tcPr>
            <w:tcW w:w="1922" w:type="dxa"/>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7</w:t>
            </w:r>
            <w:r>
              <w:rPr>
                <w:rFonts w:ascii="楷体" w:hAnsi="楷体" w:eastAsia="楷体" w:cs="宋体"/>
                <w:kern w:val="0"/>
                <w:sz w:val="24"/>
                <w:szCs w:val="24"/>
              </w:rPr>
              <w:t>13.39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Merge w:val="continue"/>
            <w:vAlign w:val="top"/>
          </w:tcPr>
          <w:p>
            <w:pPr>
              <w:widowControl/>
              <w:spacing w:line="360" w:lineRule="auto"/>
              <w:ind w:right="120"/>
              <w:rPr>
                <w:rFonts w:ascii="楷体" w:hAnsi="楷体" w:eastAsia="楷体" w:cs="宋体"/>
                <w:kern w:val="0"/>
                <w:sz w:val="24"/>
                <w:szCs w:val="24"/>
              </w:rPr>
            </w:pPr>
          </w:p>
        </w:tc>
        <w:tc>
          <w:tcPr>
            <w:tcW w:w="709" w:type="dxa"/>
            <w:vAlign w:val="top"/>
          </w:tcPr>
          <w:p>
            <w:pPr>
              <w:widowControl/>
              <w:spacing w:line="360" w:lineRule="auto"/>
              <w:ind w:right="120"/>
              <w:jc w:val="center"/>
              <w:rPr>
                <w:rFonts w:ascii="楷体" w:hAnsi="楷体" w:eastAsia="楷体" w:cs="宋体"/>
                <w:kern w:val="0"/>
                <w:sz w:val="24"/>
                <w:szCs w:val="24"/>
              </w:rPr>
            </w:pPr>
            <w:r>
              <w:rPr>
                <w:rFonts w:hint="eastAsia" w:ascii="楷体" w:hAnsi="楷体" w:eastAsia="楷体" w:cs="宋体"/>
                <w:kern w:val="0"/>
                <w:sz w:val="24"/>
                <w:szCs w:val="24"/>
              </w:rPr>
              <w:t>C</w:t>
            </w:r>
          </w:p>
        </w:tc>
        <w:tc>
          <w:tcPr>
            <w:tcW w:w="3969" w:type="dxa"/>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配电室</w:t>
            </w:r>
          </w:p>
        </w:tc>
        <w:tc>
          <w:tcPr>
            <w:tcW w:w="850" w:type="dxa"/>
            <w:vMerge w:val="continue"/>
            <w:vAlign w:val="top"/>
          </w:tcPr>
          <w:p>
            <w:pPr>
              <w:widowControl/>
              <w:spacing w:line="360" w:lineRule="auto"/>
              <w:ind w:right="120"/>
              <w:rPr>
                <w:rFonts w:ascii="楷体" w:hAnsi="楷体" w:eastAsia="楷体" w:cs="宋体"/>
                <w:kern w:val="0"/>
                <w:sz w:val="24"/>
                <w:szCs w:val="24"/>
              </w:rPr>
            </w:pPr>
          </w:p>
        </w:tc>
        <w:tc>
          <w:tcPr>
            <w:tcW w:w="1922" w:type="dxa"/>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3</w:t>
            </w:r>
            <w:r>
              <w:rPr>
                <w:rFonts w:ascii="楷体" w:hAnsi="楷体" w:eastAsia="楷体" w:cs="宋体"/>
                <w:kern w:val="0"/>
                <w:sz w:val="24"/>
                <w:szCs w:val="24"/>
              </w:rPr>
              <w:t>04.00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Merge w:val="continue"/>
            <w:vAlign w:val="top"/>
          </w:tcPr>
          <w:p>
            <w:pPr>
              <w:widowControl/>
              <w:spacing w:line="360" w:lineRule="auto"/>
              <w:ind w:right="120"/>
              <w:rPr>
                <w:rFonts w:ascii="楷体" w:hAnsi="楷体" w:eastAsia="楷体" w:cs="宋体"/>
                <w:kern w:val="0"/>
                <w:sz w:val="24"/>
                <w:szCs w:val="24"/>
              </w:rPr>
            </w:pPr>
          </w:p>
        </w:tc>
        <w:tc>
          <w:tcPr>
            <w:tcW w:w="709" w:type="dxa"/>
            <w:vAlign w:val="top"/>
          </w:tcPr>
          <w:p>
            <w:pPr>
              <w:widowControl/>
              <w:spacing w:line="360" w:lineRule="auto"/>
              <w:ind w:right="120"/>
              <w:jc w:val="center"/>
              <w:rPr>
                <w:rFonts w:ascii="楷体" w:hAnsi="楷体" w:eastAsia="楷体" w:cs="宋体"/>
                <w:kern w:val="0"/>
                <w:sz w:val="24"/>
                <w:szCs w:val="24"/>
              </w:rPr>
            </w:pPr>
            <w:r>
              <w:rPr>
                <w:rFonts w:hint="eastAsia" w:ascii="楷体" w:hAnsi="楷体" w:eastAsia="楷体" w:cs="宋体"/>
                <w:kern w:val="0"/>
                <w:sz w:val="24"/>
                <w:szCs w:val="24"/>
              </w:rPr>
              <w:t>D</w:t>
            </w:r>
          </w:p>
        </w:tc>
        <w:tc>
          <w:tcPr>
            <w:tcW w:w="3969" w:type="dxa"/>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治安门卫室</w:t>
            </w:r>
          </w:p>
        </w:tc>
        <w:tc>
          <w:tcPr>
            <w:tcW w:w="850" w:type="dxa"/>
            <w:vMerge w:val="continue"/>
            <w:vAlign w:val="top"/>
          </w:tcPr>
          <w:p>
            <w:pPr>
              <w:widowControl/>
              <w:spacing w:line="360" w:lineRule="auto"/>
              <w:ind w:right="120"/>
              <w:rPr>
                <w:rFonts w:ascii="楷体" w:hAnsi="楷体" w:eastAsia="楷体" w:cs="宋体"/>
                <w:kern w:val="0"/>
                <w:sz w:val="24"/>
                <w:szCs w:val="24"/>
              </w:rPr>
            </w:pPr>
          </w:p>
        </w:tc>
        <w:tc>
          <w:tcPr>
            <w:tcW w:w="1922" w:type="dxa"/>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3</w:t>
            </w:r>
            <w:r>
              <w:rPr>
                <w:rFonts w:ascii="楷体" w:hAnsi="楷体" w:eastAsia="楷体" w:cs="宋体"/>
                <w:kern w:val="0"/>
                <w:sz w:val="24"/>
                <w:szCs w:val="24"/>
              </w:rPr>
              <w:t>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Merge w:val="continue"/>
            <w:vAlign w:val="top"/>
          </w:tcPr>
          <w:p>
            <w:pPr>
              <w:widowControl/>
              <w:spacing w:line="360" w:lineRule="auto"/>
              <w:ind w:right="120"/>
              <w:rPr>
                <w:rFonts w:ascii="楷体" w:hAnsi="楷体" w:eastAsia="楷体" w:cs="宋体"/>
                <w:kern w:val="0"/>
                <w:sz w:val="24"/>
                <w:szCs w:val="24"/>
              </w:rPr>
            </w:pPr>
          </w:p>
        </w:tc>
        <w:tc>
          <w:tcPr>
            <w:tcW w:w="709" w:type="dxa"/>
            <w:vAlign w:val="top"/>
          </w:tcPr>
          <w:p>
            <w:pPr>
              <w:widowControl/>
              <w:spacing w:line="360" w:lineRule="auto"/>
              <w:ind w:right="120"/>
              <w:jc w:val="center"/>
              <w:rPr>
                <w:rFonts w:ascii="楷体" w:hAnsi="楷体" w:eastAsia="楷体" w:cs="宋体"/>
                <w:kern w:val="0"/>
                <w:sz w:val="24"/>
                <w:szCs w:val="24"/>
              </w:rPr>
            </w:pPr>
            <w:r>
              <w:rPr>
                <w:rFonts w:hint="eastAsia" w:ascii="楷体" w:hAnsi="楷体" w:eastAsia="楷体" w:cs="宋体"/>
                <w:kern w:val="0"/>
                <w:sz w:val="24"/>
                <w:szCs w:val="24"/>
              </w:rPr>
              <w:t>E</w:t>
            </w:r>
          </w:p>
        </w:tc>
        <w:tc>
          <w:tcPr>
            <w:tcW w:w="3969" w:type="dxa"/>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社区物业用房</w:t>
            </w:r>
          </w:p>
        </w:tc>
        <w:tc>
          <w:tcPr>
            <w:tcW w:w="850" w:type="dxa"/>
            <w:vMerge w:val="continue"/>
            <w:vAlign w:val="top"/>
          </w:tcPr>
          <w:p>
            <w:pPr>
              <w:widowControl/>
              <w:spacing w:line="360" w:lineRule="auto"/>
              <w:ind w:right="120"/>
              <w:rPr>
                <w:rFonts w:ascii="楷体" w:hAnsi="楷体" w:eastAsia="楷体" w:cs="宋体"/>
                <w:kern w:val="0"/>
                <w:sz w:val="24"/>
                <w:szCs w:val="24"/>
              </w:rPr>
            </w:pPr>
          </w:p>
        </w:tc>
        <w:tc>
          <w:tcPr>
            <w:tcW w:w="1922" w:type="dxa"/>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2</w:t>
            </w:r>
            <w:r>
              <w:rPr>
                <w:rFonts w:ascii="楷体" w:hAnsi="楷体" w:eastAsia="楷体" w:cs="宋体"/>
                <w:kern w:val="0"/>
                <w:sz w:val="24"/>
                <w:szCs w:val="24"/>
              </w:rPr>
              <w:t>68.68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Align w:val="top"/>
          </w:tcPr>
          <w:p>
            <w:pPr>
              <w:widowControl/>
              <w:spacing w:line="360" w:lineRule="auto"/>
              <w:ind w:right="120"/>
              <w:jc w:val="center"/>
              <w:rPr>
                <w:rFonts w:ascii="楷体" w:hAnsi="楷体" w:eastAsia="楷体" w:cs="宋体"/>
                <w:kern w:val="0"/>
                <w:sz w:val="24"/>
                <w:szCs w:val="24"/>
              </w:rPr>
            </w:pPr>
            <w:r>
              <w:rPr>
                <w:rFonts w:hint="eastAsia" w:ascii="楷体" w:hAnsi="楷体" w:eastAsia="楷体" w:cs="宋体"/>
                <w:kern w:val="0"/>
                <w:sz w:val="24"/>
                <w:szCs w:val="24"/>
              </w:rPr>
              <w:t>4</w:t>
            </w:r>
          </w:p>
        </w:tc>
        <w:tc>
          <w:tcPr>
            <w:tcW w:w="4678" w:type="dxa"/>
            <w:gridSpan w:val="2"/>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避难层（不计容）</w:t>
            </w:r>
          </w:p>
        </w:tc>
        <w:tc>
          <w:tcPr>
            <w:tcW w:w="850" w:type="dxa"/>
            <w:vAlign w:val="top"/>
          </w:tcPr>
          <w:p>
            <w:pPr>
              <w:widowControl/>
              <w:spacing w:line="360" w:lineRule="auto"/>
              <w:ind w:right="120"/>
              <w:jc w:val="center"/>
              <w:rPr>
                <w:rFonts w:ascii="楷体" w:hAnsi="楷体" w:eastAsia="楷体" w:cs="宋体"/>
                <w:kern w:val="0"/>
                <w:sz w:val="24"/>
                <w:szCs w:val="24"/>
              </w:rPr>
            </w:pPr>
            <w:r>
              <w:rPr>
                <w:rFonts w:hint="eastAsia" w:ascii="楷体" w:hAnsi="楷体" w:eastAsia="楷体" w:cs="宋体"/>
                <w:kern w:val="0"/>
                <w:sz w:val="24"/>
                <w:szCs w:val="24"/>
              </w:rPr>
              <w:t>㎡</w:t>
            </w:r>
          </w:p>
        </w:tc>
        <w:tc>
          <w:tcPr>
            <w:tcW w:w="1922" w:type="dxa"/>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2</w:t>
            </w:r>
            <w:r>
              <w:rPr>
                <w:rFonts w:ascii="楷体" w:hAnsi="楷体" w:eastAsia="楷体" w:cs="宋体"/>
                <w:kern w:val="0"/>
                <w:sz w:val="24"/>
                <w:szCs w:val="24"/>
              </w:rPr>
              <w:t>913.24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Align w:val="top"/>
          </w:tcPr>
          <w:p>
            <w:pPr>
              <w:widowControl/>
              <w:spacing w:line="360" w:lineRule="auto"/>
              <w:ind w:right="120"/>
              <w:jc w:val="center"/>
              <w:rPr>
                <w:rFonts w:ascii="楷体" w:hAnsi="楷体" w:eastAsia="楷体" w:cs="宋体"/>
                <w:kern w:val="0"/>
                <w:sz w:val="24"/>
                <w:szCs w:val="24"/>
              </w:rPr>
            </w:pPr>
            <w:r>
              <w:rPr>
                <w:rFonts w:hint="eastAsia" w:ascii="楷体" w:hAnsi="楷体" w:eastAsia="楷体" w:cs="宋体"/>
                <w:kern w:val="0"/>
                <w:sz w:val="24"/>
                <w:szCs w:val="24"/>
              </w:rPr>
              <w:t>5</w:t>
            </w:r>
          </w:p>
        </w:tc>
        <w:tc>
          <w:tcPr>
            <w:tcW w:w="4678" w:type="dxa"/>
            <w:gridSpan w:val="2"/>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架空层（不计容）</w:t>
            </w:r>
          </w:p>
        </w:tc>
        <w:tc>
          <w:tcPr>
            <w:tcW w:w="850" w:type="dxa"/>
            <w:vAlign w:val="top"/>
          </w:tcPr>
          <w:p>
            <w:pPr>
              <w:widowControl/>
              <w:spacing w:line="360" w:lineRule="auto"/>
              <w:ind w:right="120"/>
              <w:jc w:val="center"/>
              <w:rPr>
                <w:rFonts w:ascii="楷体" w:hAnsi="楷体" w:eastAsia="楷体" w:cs="宋体"/>
                <w:kern w:val="0"/>
                <w:sz w:val="24"/>
                <w:szCs w:val="24"/>
              </w:rPr>
            </w:pPr>
            <w:r>
              <w:rPr>
                <w:rFonts w:hint="eastAsia" w:ascii="楷体" w:hAnsi="楷体" w:eastAsia="楷体" w:cs="宋体"/>
                <w:kern w:val="0"/>
                <w:sz w:val="24"/>
                <w:szCs w:val="24"/>
              </w:rPr>
              <w:t>㎡</w:t>
            </w:r>
          </w:p>
        </w:tc>
        <w:tc>
          <w:tcPr>
            <w:tcW w:w="1922" w:type="dxa"/>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7</w:t>
            </w:r>
            <w:r>
              <w:rPr>
                <w:rFonts w:ascii="楷体" w:hAnsi="楷体" w:eastAsia="楷体" w:cs="宋体"/>
                <w:kern w:val="0"/>
                <w:sz w:val="24"/>
                <w:szCs w:val="24"/>
              </w:rPr>
              <w:t>98.60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Align w:val="top"/>
          </w:tcPr>
          <w:p>
            <w:pPr>
              <w:widowControl/>
              <w:spacing w:line="360" w:lineRule="auto"/>
              <w:ind w:right="120"/>
              <w:jc w:val="center"/>
              <w:rPr>
                <w:rFonts w:ascii="楷体" w:hAnsi="楷体" w:eastAsia="楷体" w:cs="宋体"/>
                <w:kern w:val="0"/>
                <w:sz w:val="24"/>
                <w:szCs w:val="24"/>
              </w:rPr>
            </w:pPr>
            <w:r>
              <w:rPr>
                <w:rFonts w:hint="eastAsia" w:ascii="楷体" w:hAnsi="楷体" w:eastAsia="楷体" w:cs="宋体"/>
                <w:kern w:val="0"/>
                <w:sz w:val="24"/>
                <w:szCs w:val="24"/>
              </w:rPr>
              <w:t>6</w:t>
            </w:r>
          </w:p>
        </w:tc>
        <w:tc>
          <w:tcPr>
            <w:tcW w:w="4678" w:type="dxa"/>
            <w:gridSpan w:val="2"/>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地下室（不计容）</w:t>
            </w:r>
          </w:p>
        </w:tc>
        <w:tc>
          <w:tcPr>
            <w:tcW w:w="850" w:type="dxa"/>
            <w:vAlign w:val="top"/>
          </w:tcPr>
          <w:p>
            <w:pPr>
              <w:widowControl/>
              <w:spacing w:line="360" w:lineRule="auto"/>
              <w:ind w:right="120"/>
              <w:jc w:val="center"/>
              <w:rPr>
                <w:rFonts w:ascii="楷体" w:hAnsi="楷体" w:eastAsia="楷体" w:cs="宋体"/>
                <w:kern w:val="0"/>
                <w:sz w:val="24"/>
                <w:szCs w:val="24"/>
              </w:rPr>
            </w:pPr>
            <w:r>
              <w:rPr>
                <w:rFonts w:hint="eastAsia" w:ascii="楷体" w:hAnsi="楷体" w:eastAsia="楷体" w:cs="宋体"/>
                <w:kern w:val="0"/>
                <w:sz w:val="24"/>
                <w:szCs w:val="24"/>
              </w:rPr>
              <w:t>㎡</w:t>
            </w:r>
          </w:p>
        </w:tc>
        <w:tc>
          <w:tcPr>
            <w:tcW w:w="1922" w:type="dxa"/>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1</w:t>
            </w:r>
            <w:r>
              <w:rPr>
                <w:rFonts w:ascii="楷体" w:hAnsi="楷体" w:eastAsia="楷体" w:cs="宋体"/>
                <w:kern w:val="0"/>
                <w:sz w:val="24"/>
                <w:szCs w:val="24"/>
              </w:rPr>
              <w:t>6934.06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Align w:val="top"/>
          </w:tcPr>
          <w:p>
            <w:pPr>
              <w:widowControl/>
              <w:spacing w:line="360" w:lineRule="auto"/>
              <w:ind w:right="120"/>
              <w:jc w:val="center"/>
              <w:rPr>
                <w:rFonts w:ascii="楷体" w:hAnsi="楷体" w:eastAsia="楷体" w:cs="宋体"/>
                <w:kern w:val="0"/>
                <w:sz w:val="24"/>
                <w:szCs w:val="24"/>
              </w:rPr>
            </w:pPr>
            <w:r>
              <w:rPr>
                <w:rFonts w:hint="eastAsia" w:ascii="楷体" w:hAnsi="楷体" w:eastAsia="楷体" w:cs="宋体"/>
                <w:kern w:val="0"/>
                <w:sz w:val="24"/>
                <w:szCs w:val="24"/>
              </w:rPr>
              <w:t>7</w:t>
            </w:r>
          </w:p>
        </w:tc>
        <w:tc>
          <w:tcPr>
            <w:tcW w:w="4678" w:type="dxa"/>
            <w:gridSpan w:val="2"/>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建筑占地面积</w:t>
            </w:r>
          </w:p>
        </w:tc>
        <w:tc>
          <w:tcPr>
            <w:tcW w:w="850" w:type="dxa"/>
            <w:vAlign w:val="top"/>
          </w:tcPr>
          <w:p>
            <w:pPr>
              <w:widowControl/>
              <w:spacing w:line="360" w:lineRule="auto"/>
              <w:ind w:right="120"/>
              <w:jc w:val="center"/>
              <w:rPr>
                <w:rFonts w:ascii="楷体" w:hAnsi="楷体" w:eastAsia="楷体" w:cs="宋体"/>
                <w:kern w:val="0"/>
                <w:sz w:val="24"/>
                <w:szCs w:val="24"/>
              </w:rPr>
            </w:pPr>
            <w:r>
              <w:rPr>
                <w:rFonts w:hint="eastAsia" w:ascii="楷体" w:hAnsi="楷体" w:eastAsia="楷体" w:cs="宋体"/>
                <w:kern w:val="0"/>
                <w:sz w:val="24"/>
                <w:szCs w:val="24"/>
              </w:rPr>
              <w:t>㎡</w:t>
            </w:r>
          </w:p>
        </w:tc>
        <w:tc>
          <w:tcPr>
            <w:tcW w:w="1922" w:type="dxa"/>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2</w:t>
            </w:r>
            <w:r>
              <w:rPr>
                <w:rFonts w:ascii="楷体" w:hAnsi="楷体" w:eastAsia="楷体" w:cs="宋体"/>
                <w:kern w:val="0"/>
                <w:sz w:val="24"/>
                <w:szCs w:val="24"/>
              </w:rPr>
              <w:t>274.93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Align w:val="top"/>
          </w:tcPr>
          <w:p>
            <w:pPr>
              <w:widowControl/>
              <w:spacing w:line="360" w:lineRule="auto"/>
              <w:ind w:right="120"/>
              <w:jc w:val="center"/>
              <w:rPr>
                <w:rFonts w:ascii="楷体" w:hAnsi="楷体" w:eastAsia="楷体" w:cs="宋体"/>
                <w:kern w:val="0"/>
                <w:sz w:val="24"/>
                <w:szCs w:val="24"/>
              </w:rPr>
            </w:pPr>
            <w:r>
              <w:rPr>
                <w:rFonts w:hint="eastAsia" w:ascii="楷体" w:hAnsi="楷体" w:eastAsia="楷体" w:cs="宋体"/>
                <w:kern w:val="0"/>
                <w:sz w:val="24"/>
                <w:szCs w:val="24"/>
              </w:rPr>
              <w:t>8</w:t>
            </w:r>
          </w:p>
        </w:tc>
        <w:tc>
          <w:tcPr>
            <w:tcW w:w="4678" w:type="dxa"/>
            <w:gridSpan w:val="2"/>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建筑密度</w:t>
            </w:r>
          </w:p>
        </w:tc>
        <w:tc>
          <w:tcPr>
            <w:tcW w:w="850" w:type="dxa"/>
            <w:vAlign w:val="top"/>
          </w:tcPr>
          <w:p>
            <w:pPr>
              <w:widowControl/>
              <w:spacing w:line="360" w:lineRule="auto"/>
              <w:ind w:right="120"/>
              <w:jc w:val="center"/>
              <w:rPr>
                <w:rFonts w:ascii="楷体" w:hAnsi="楷体" w:eastAsia="楷体" w:cs="宋体"/>
                <w:kern w:val="0"/>
                <w:sz w:val="24"/>
                <w:szCs w:val="24"/>
              </w:rPr>
            </w:pPr>
            <w:r>
              <w:rPr>
                <w:rFonts w:hint="eastAsia" w:ascii="楷体" w:hAnsi="楷体" w:eastAsia="楷体" w:cs="宋体"/>
                <w:kern w:val="0"/>
                <w:sz w:val="24"/>
                <w:szCs w:val="24"/>
              </w:rPr>
              <w:t>%</w:t>
            </w:r>
          </w:p>
        </w:tc>
        <w:tc>
          <w:tcPr>
            <w:tcW w:w="1922" w:type="dxa"/>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1</w:t>
            </w:r>
            <w:r>
              <w:rPr>
                <w:rFonts w:ascii="楷体" w:hAnsi="楷体" w:eastAsia="楷体" w:cs="宋体"/>
                <w:kern w:val="0"/>
                <w:sz w:val="24"/>
                <w:szCs w:val="24"/>
              </w:rPr>
              <w:t>9.87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Align w:val="top"/>
          </w:tcPr>
          <w:p>
            <w:pPr>
              <w:widowControl/>
              <w:spacing w:line="360" w:lineRule="auto"/>
              <w:ind w:right="120"/>
              <w:jc w:val="center"/>
              <w:rPr>
                <w:rFonts w:ascii="楷体" w:hAnsi="楷体" w:eastAsia="楷体" w:cs="宋体"/>
                <w:kern w:val="0"/>
                <w:sz w:val="24"/>
                <w:szCs w:val="24"/>
              </w:rPr>
            </w:pPr>
            <w:r>
              <w:rPr>
                <w:rFonts w:hint="eastAsia" w:ascii="楷体" w:hAnsi="楷体" w:eastAsia="楷体" w:cs="宋体"/>
                <w:kern w:val="0"/>
                <w:sz w:val="24"/>
                <w:szCs w:val="24"/>
              </w:rPr>
              <w:t>9</w:t>
            </w:r>
          </w:p>
        </w:tc>
        <w:tc>
          <w:tcPr>
            <w:tcW w:w="4678" w:type="dxa"/>
            <w:gridSpan w:val="2"/>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容积率</w:t>
            </w:r>
          </w:p>
        </w:tc>
        <w:tc>
          <w:tcPr>
            <w:tcW w:w="850" w:type="dxa"/>
            <w:vAlign w:val="top"/>
          </w:tcPr>
          <w:p>
            <w:pPr>
              <w:widowControl/>
              <w:spacing w:line="360" w:lineRule="auto"/>
              <w:ind w:right="120"/>
              <w:jc w:val="center"/>
              <w:rPr>
                <w:rFonts w:ascii="楷体" w:hAnsi="楷体" w:eastAsia="楷体" w:cs="宋体"/>
                <w:kern w:val="0"/>
                <w:sz w:val="24"/>
                <w:szCs w:val="24"/>
              </w:rPr>
            </w:pPr>
            <w:r>
              <w:rPr>
                <w:rFonts w:hint="eastAsia" w:ascii="楷体" w:hAnsi="楷体" w:eastAsia="楷体" w:cs="宋体"/>
                <w:kern w:val="0"/>
                <w:sz w:val="24"/>
                <w:szCs w:val="24"/>
              </w:rPr>
              <w:t>%</w:t>
            </w:r>
          </w:p>
        </w:tc>
        <w:tc>
          <w:tcPr>
            <w:tcW w:w="1922" w:type="dxa"/>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5</w:t>
            </w:r>
            <w:r>
              <w:rPr>
                <w:rFonts w:ascii="楷体" w:hAnsi="楷体" w:eastAsia="楷体" w:cs="宋体"/>
                <w:kern w:val="0"/>
                <w:sz w:val="24"/>
                <w:szCs w:val="24"/>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Align w:val="top"/>
          </w:tcPr>
          <w:p>
            <w:pPr>
              <w:widowControl/>
              <w:spacing w:line="360" w:lineRule="auto"/>
              <w:ind w:right="120"/>
              <w:jc w:val="center"/>
              <w:rPr>
                <w:rFonts w:ascii="楷体" w:hAnsi="楷体" w:eastAsia="楷体" w:cs="宋体"/>
                <w:kern w:val="0"/>
                <w:sz w:val="24"/>
                <w:szCs w:val="24"/>
              </w:rPr>
            </w:pPr>
            <w:r>
              <w:rPr>
                <w:rFonts w:hint="eastAsia" w:ascii="楷体" w:hAnsi="楷体" w:eastAsia="楷体" w:cs="宋体"/>
                <w:kern w:val="0"/>
                <w:sz w:val="24"/>
                <w:szCs w:val="24"/>
              </w:rPr>
              <w:t>1</w:t>
            </w:r>
            <w:r>
              <w:rPr>
                <w:rFonts w:ascii="楷体" w:hAnsi="楷体" w:eastAsia="楷体" w:cs="宋体"/>
                <w:kern w:val="0"/>
                <w:sz w:val="24"/>
                <w:szCs w:val="24"/>
              </w:rPr>
              <w:t>0</w:t>
            </w:r>
          </w:p>
        </w:tc>
        <w:tc>
          <w:tcPr>
            <w:tcW w:w="4678" w:type="dxa"/>
            <w:gridSpan w:val="2"/>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绿地率</w:t>
            </w:r>
          </w:p>
        </w:tc>
        <w:tc>
          <w:tcPr>
            <w:tcW w:w="850" w:type="dxa"/>
            <w:vAlign w:val="top"/>
          </w:tcPr>
          <w:p>
            <w:pPr>
              <w:widowControl/>
              <w:spacing w:line="360" w:lineRule="auto"/>
              <w:ind w:right="120"/>
              <w:jc w:val="center"/>
              <w:rPr>
                <w:rFonts w:ascii="楷体" w:hAnsi="楷体" w:eastAsia="楷体" w:cs="宋体"/>
                <w:kern w:val="0"/>
                <w:sz w:val="24"/>
                <w:szCs w:val="24"/>
              </w:rPr>
            </w:pPr>
            <w:r>
              <w:rPr>
                <w:rFonts w:hint="eastAsia" w:ascii="楷体" w:hAnsi="楷体" w:eastAsia="楷体" w:cs="宋体"/>
                <w:kern w:val="0"/>
                <w:sz w:val="24"/>
                <w:szCs w:val="24"/>
              </w:rPr>
              <w:t>%</w:t>
            </w:r>
          </w:p>
        </w:tc>
        <w:tc>
          <w:tcPr>
            <w:tcW w:w="1922" w:type="dxa"/>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3</w:t>
            </w:r>
            <w:r>
              <w:rPr>
                <w:rFonts w:ascii="楷体" w:hAnsi="楷体" w:eastAsia="楷体" w:cs="宋体"/>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Align w:val="top"/>
          </w:tcPr>
          <w:p>
            <w:pPr>
              <w:widowControl/>
              <w:spacing w:line="360" w:lineRule="auto"/>
              <w:ind w:right="120"/>
              <w:jc w:val="center"/>
              <w:rPr>
                <w:rFonts w:ascii="楷体" w:hAnsi="楷体" w:eastAsia="楷体" w:cs="宋体"/>
                <w:kern w:val="0"/>
                <w:sz w:val="24"/>
                <w:szCs w:val="24"/>
              </w:rPr>
            </w:pPr>
            <w:r>
              <w:rPr>
                <w:rFonts w:hint="eastAsia" w:ascii="楷体" w:hAnsi="楷体" w:eastAsia="楷体" w:cs="宋体"/>
                <w:kern w:val="0"/>
                <w:sz w:val="24"/>
                <w:szCs w:val="24"/>
              </w:rPr>
              <w:t>1</w:t>
            </w:r>
            <w:r>
              <w:rPr>
                <w:rFonts w:ascii="楷体" w:hAnsi="楷体" w:eastAsia="楷体" w:cs="宋体"/>
                <w:kern w:val="0"/>
                <w:sz w:val="24"/>
                <w:szCs w:val="24"/>
              </w:rPr>
              <w:t>1</w:t>
            </w:r>
          </w:p>
        </w:tc>
        <w:tc>
          <w:tcPr>
            <w:tcW w:w="4678" w:type="dxa"/>
            <w:gridSpan w:val="2"/>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应配套停车泊位：住宅2</w:t>
            </w:r>
            <w:r>
              <w:rPr>
                <w:rFonts w:ascii="楷体" w:hAnsi="楷体" w:eastAsia="楷体" w:cs="宋体"/>
                <w:kern w:val="0"/>
                <w:sz w:val="24"/>
                <w:szCs w:val="24"/>
              </w:rPr>
              <w:t>66+</w:t>
            </w:r>
            <w:r>
              <w:rPr>
                <w:rFonts w:hint="eastAsia" w:ascii="楷体" w:hAnsi="楷体" w:eastAsia="楷体" w:cs="宋体"/>
                <w:kern w:val="0"/>
                <w:sz w:val="24"/>
                <w:szCs w:val="24"/>
              </w:rPr>
              <w:t>商业3</w:t>
            </w:r>
          </w:p>
        </w:tc>
        <w:tc>
          <w:tcPr>
            <w:tcW w:w="850" w:type="dxa"/>
            <w:vAlign w:val="top"/>
          </w:tcPr>
          <w:p>
            <w:pPr>
              <w:widowControl/>
              <w:spacing w:line="360" w:lineRule="auto"/>
              <w:ind w:right="120"/>
              <w:jc w:val="center"/>
              <w:rPr>
                <w:rFonts w:ascii="楷体" w:hAnsi="楷体" w:eastAsia="楷体" w:cs="宋体"/>
                <w:kern w:val="0"/>
                <w:sz w:val="24"/>
                <w:szCs w:val="24"/>
              </w:rPr>
            </w:pPr>
            <w:r>
              <w:rPr>
                <w:rFonts w:hint="eastAsia" w:ascii="楷体" w:hAnsi="楷体" w:eastAsia="楷体" w:cs="宋体"/>
                <w:kern w:val="0"/>
                <w:sz w:val="24"/>
                <w:szCs w:val="24"/>
              </w:rPr>
              <w:t>辆</w:t>
            </w:r>
          </w:p>
        </w:tc>
        <w:tc>
          <w:tcPr>
            <w:tcW w:w="1922" w:type="dxa"/>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2</w:t>
            </w:r>
            <w:r>
              <w:rPr>
                <w:rFonts w:ascii="楷体" w:hAnsi="楷体" w:eastAsia="楷体" w:cs="宋体"/>
                <w:kern w:val="0"/>
                <w:sz w:val="24"/>
                <w:szCs w:val="24"/>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Merge w:val="restart"/>
            <w:textDirection w:val="tbRlV"/>
            <w:vAlign w:val="top"/>
          </w:tcPr>
          <w:p>
            <w:pPr>
              <w:widowControl/>
              <w:spacing w:line="360" w:lineRule="auto"/>
              <w:ind w:left="113" w:right="120"/>
              <w:rPr>
                <w:rFonts w:ascii="楷体" w:hAnsi="楷体" w:eastAsia="楷体" w:cs="宋体"/>
                <w:kern w:val="0"/>
                <w:sz w:val="24"/>
                <w:szCs w:val="24"/>
              </w:rPr>
            </w:pPr>
            <w:r>
              <w:rPr>
                <w:rFonts w:hint="eastAsia" w:ascii="楷体" w:hAnsi="楷体" w:eastAsia="楷体" w:cs="宋体"/>
                <w:kern w:val="0"/>
                <w:sz w:val="24"/>
                <w:szCs w:val="24"/>
              </w:rPr>
              <w:t xml:space="preserve"> 其 </w:t>
            </w:r>
            <w:r>
              <w:rPr>
                <w:rFonts w:ascii="楷体" w:hAnsi="楷体" w:eastAsia="楷体" w:cs="宋体"/>
                <w:kern w:val="0"/>
                <w:sz w:val="24"/>
                <w:szCs w:val="24"/>
              </w:rPr>
              <w:t xml:space="preserve"> </w:t>
            </w:r>
            <w:r>
              <w:rPr>
                <w:rFonts w:hint="eastAsia" w:ascii="楷体" w:hAnsi="楷体" w:eastAsia="楷体" w:cs="宋体"/>
                <w:kern w:val="0"/>
                <w:sz w:val="24"/>
                <w:szCs w:val="24"/>
              </w:rPr>
              <w:t>中</w:t>
            </w:r>
          </w:p>
        </w:tc>
        <w:tc>
          <w:tcPr>
            <w:tcW w:w="4678" w:type="dxa"/>
            <w:gridSpan w:val="2"/>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地下停车场面积：1</w:t>
            </w:r>
            <w:r>
              <w:rPr>
                <w:rFonts w:ascii="楷体" w:hAnsi="楷体" w:eastAsia="楷体" w:cs="宋体"/>
                <w:kern w:val="0"/>
                <w:sz w:val="24"/>
                <w:szCs w:val="24"/>
              </w:rPr>
              <w:t>6934.06</w:t>
            </w:r>
            <w:r>
              <w:rPr>
                <w:rFonts w:hint="eastAsia" w:ascii="楷体" w:hAnsi="楷体" w:eastAsia="楷体" w:cs="宋体"/>
                <w:kern w:val="0"/>
                <w:sz w:val="24"/>
                <w:szCs w:val="24"/>
              </w:rPr>
              <w:t>平方米</w:t>
            </w:r>
          </w:p>
        </w:tc>
        <w:tc>
          <w:tcPr>
            <w:tcW w:w="850" w:type="dxa"/>
            <w:vAlign w:val="top"/>
          </w:tcPr>
          <w:p>
            <w:pPr>
              <w:widowControl/>
              <w:spacing w:line="360" w:lineRule="auto"/>
              <w:ind w:right="120"/>
              <w:jc w:val="center"/>
              <w:rPr>
                <w:rFonts w:ascii="楷体" w:hAnsi="楷体" w:eastAsia="楷体" w:cs="宋体"/>
                <w:kern w:val="0"/>
                <w:sz w:val="24"/>
                <w:szCs w:val="24"/>
              </w:rPr>
            </w:pPr>
            <w:r>
              <w:rPr>
                <w:rFonts w:hint="eastAsia" w:ascii="楷体" w:hAnsi="楷体" w:eastAsia="楷体" w:cs="宋体"/>
                <w:kern w:val="0"/>
                <w:sz w:val="24"/>
                <w:szCs w:val="24"/>
              </w:rPr>
              <w:t>辆</w:t>
            </w:r>
          </w:p>
        </w:tc>
        <w:tc>
          <w:tcPr>
            <w:tcW w:w="1922" w:type="dxa"/>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4</w:t>
            </w:r>
            <w:r>
              <w:rPr>
                <w:rFonts w:ascii="楷体" w:hAnsi="楷体" w:eastAsia="楷体" w:cs="宋体"/>
                <w:kern w:val="0"/>
                <w:sz w:val="24"/>
                <w:szCs w:val="24"/>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Merge w:val="continue"/>
            <w:vAlign w:val="top"/>
          </w:tcPr>
          <w:p>
            <w:pPr>
              <w:widowControl/>
              <w:spacing w:line="360" w:lineRule="auto"/>
              <w:ind w:right="120"/>
              <w:rPr>
                <w:rFonts w:ascii="楷体" w:hAnsi="楷体" w:eastAsia="楷体" w:cs="宋体"/>
                <w:kern w:val="0"/>
                <w:sz w:val="24"/>
                <w:szCs w:val="24"/>
              </w:rPr>
            </w:pPr>
          </w:p>
        </w:tc>
        <w:tc>
          <w:tcPr>
            <w:tcW w:w="4678" w:type="dxa"/>
            <w:gridSpan w:val="2"/>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停车位住宅按0.</w:t>
            </w:r>
            <w:r>
              <w:rPr>
                <w:rFonts w:ascii="楷体" w:hAnsi="楷体" w:eastAsia="楷体" w:cs="宋体"/>
                <w:kern w:val="0"/>
                <w:sz w:val="24"/>
                <w:szCs w:val="24"/>
              </w:rPr>
              <w:t>5</w:t>
            </w:r>
            <w:r>
              <w:rPr>
                <w:rFonts w:hint="eastAsia" w:ascii="楷体" w:hAnsi="楷体" w:eastAsia="楷体" w:cs="宋体"/>
                <w:kern w:val="0"/>
                <w:sz w:val="24"/>
                <w:szCs w:val="24"/>
              </w:rPr>
              <w:t>辆/户，商业按0</w:t>
            </w:r>
            <w:r>
              <w:rPr>
                <w:rFonts w:ascii="楷体" w:hAnsi="楷体" w:eastAsia="楷体" w:cs="宋体"/>
                <w:kern w:val="0"/>
                <w:sz w:val="24"/>
                <w:szCs w:val="24"/>
              </w:rPr>
              <w:t>.4</w:t>
            </w:r>
            <w:r>
              <w:rPr>
                <w:rFonts w:hint="eastAsia" w:ascii="楷体" w:hAnsi="楷体" w:eastAsia="楷体" w:cs="宋体"/>
                <w:kern w:val="0"/>
                <w:sz w:val="24"/>
                <w:szCs w:val="24"/>
              </w:rPr>
              <w:t>辆/</w:t>
            </w:r>
            <w:r>
              <w:rPr>
                <w:rFonts w:ascii="楷体" w:hAnsi="楷体" w:eastAsia="楷体" w:cs="宋体"/>
                <w:kern w:val="0"/>
                <w:sz w:val="24"/>
                <w:szCs w:val="24"/>
              </w:rPr>
              <w:t>100</w:t>
            </w:r>
            <w:r>
              <w:rPr>
                <w:rFonts w:hint="eastAsia" w:ascii="楷体" w:hAnsi="楷体" w:eastAsia="楷体" w:cs="宋体"/>
                <w:kern w:val="0"/>
                <w:sz w:val="24"/>
                <w:szCs w:val="24"/>
              </w:rPr>
              <w:t>平方米</w:t>
            </w:r>
          </w:p>
        </w:tc>
        <w:tc>
          <w:tcPr>
            <w:tcW w:w="850" w:type="dxa"/>
            <w:vAlign w:val="top"/>
          </w:tcPr>
          <w:p>
            <w:pPr>
              <w:widowControl/>
              <w:spacing w:line="360" w:lineRule="auto"/>
              <w:ind w:right="120"/>
              <w:jc w:val="center"/>
              <w:rPr>
                <w:rFonts w:ascii="楷体" w:hAnsi="楷体" w:eastAsia="楷体" w:cs="宋体"/>
                <w:kern w:val="0"/>
                <w:sz w:val="24"/>
                <w:szCs w:val="24"/>
              </w:rPr>
            </w:pPr>
          </w:p>
        </w:tc>
        <w:tc>
          <w:tcPr>
            <w:tcW w:w="1922" w:type="dxa"/>
            <w:vAlign w:val="top"/>
          </w:tcPr>
          <w:p>
            <w:pPr>
              <w:widowControl/>
              <w:spacing w:line="360" w:lineRule="auto"/>
              <w:ind w:right="120"/>
              <w:rPr>
                <w:rFonts w:ascii="楷体" w:hAnsi="楷体" w:eastAsia="楷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46" w:type="dxa"/>
            <w:vAlign w:val="top"/>
          </w:tcPr>
          <w:p>
            <w:pPr>
              <w:widowControl/>
              <w:spacing w:line="360" w:lineRule="auto"/>
              <w:ind w:right="120"/>
              <w:jc w:val="center"/>
              <w:rPr>
                <w:rFonts w:ascii="楷体" w:hAnsi="楷体" w:eastAsia="楷体" w:cs="宋体"/>
                <w:kern w:val="0"/>
                <w:sz w:val="24"/>
                <w:szCs w:val="24"/>
              </w:rPr>
            </w:pPr>
            <w:r>
              <w:rPr>
                <w:rFonts w:hint="eastAsia" w:ascii="楷体" w:hAnsi="楷体" w:eastAsia="楷体" w:cs="宋体"/>
                <w:kern w:val="0"/>
                <w:sz w:val="24"/>
                <w:szCs w:val="24"/>
              </w:rPr>
              <w:t>1</w:t>
            </w:r>
            <w:r>
              <w:rPr>
                <w:rFonts w:ascii="楷体" w:hAnsi="楷体" w:eastAsia="楷体" w:cs="宋体"/>
                <w:kern w:val="0"/>
                <w:sz w:val="24"/>
                <w:szCs w:val="24"/>
              </w:rPr>
              <w:t>2</w:t>
            </w:r>
          </w:p>
        </w:tc>
        <w:tc>
          <w:tcPr>
            <w:tcW w:w="4678" w:type="dxa"/>
            <w:gridSpan w:val="2"/>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总户数</w:t>
            </w:r>
          </w:p>
        </w:tc>
        <w:tc>
          <w:tcPr>
            <w:tcW w:w="850" w:type="dxa"/>
            <w:vAlign w:val="top"/>
          </w:tcPr>
          <w:p>
            <w:pPr>
              <w:widowControl/>
              <w:spacing w:line="360" w:lineRule="auto"/>
              <w:ind w:right="120"/>
              <w:jc w:val="center"/>
              <w:rPr>
                <w:rFonts w:ascii="楷体" w:hAnsi="楷体" w:eastAsia="楷体" w:cs="宋体"/>
                <w:kern w:val="0"/>
                <w:sz w:val="24"/>
                <w:szCs w:val="24"/>
              </w:rPr>
            </w:pPr>
            <w:r>
              <w:rPr>
                <w:rFonts w:hint="eastAsia" w:ascii="楷体" w:hAnsi="楷体" w:eastAsia="楷体" w:cs="宋体"/>
                <w:kern w:val="0"/>
                <w:sz w:val="24"/>
                <w:szCs w:val="24"/>
              </w:rPr>
              <w:t>户</w:t>
            </w:r>
          </w:p>
        </w:tc>
        <w:tc>
          <w:tcPr>
            <w:tcW w:w="1922" w:type="dxa"/>
            <w:vAlign w:val="top"/>
          </w:tcPr>
          <w:p>
            <w:pPr>
              <w:widowControl/>
              <w:spacing w:line="360" w:lineRule="auto"/>
              <w:ind w:right="120"/>
              <w:rPr>
                <w:rFonts w:ascii="楷体" w:hAnsi="楷体" w:eastAsia="楷体" w:cs="宋体"/>
                <w:kern w:val="0"/>
                <w:sz w:val="24"/>
                <w:szCs w:val="24"/>
              </w:rPr>
            </w:pPr>
            <w:r>
              <w:rPr>
                <w:rFonts w:hint="eastAsia" w:ascii="楷体" w:hAnsi="楷体" w:eastAsia="楷体" w:cs="宋体"/>
                <w:kern w:val="0"/>
                <w:sz w:val="24"/>
                <w:szCs w:val="24"/>
              </w:rPr>
              <w:t>5</w:t>
            </w:r>
            <w:r>
              <w:rPr>
                <w:rFonts w:ascii="楷体" w:hAnsi="楷体" w:eastAsia="楷体" w:cs="宋体"/>
                <w:kern w:val="0"/>
                <w:sz w:val="24"/>
                <w:szCs w:val="24"/>
              </w:rPr>
              <w:t>32</w:t>
            </w:r>
            <w:r>
              <w:rPr>
                <w:rFonts w:hint="eastAsia" w:ascii="楷体" w:hAnsi="楷体" w:eastAsia="楷体" w:cs="宋体"/>
                <w:kern w:val="0"/>
                <w:sz w:val="24"/>
                <w:szCs w:val="24"/>
              </w:rPr>
              <w:t>户/</w:t>
            </w:r>
            <w:r>
              <w:rPr>
                <w:rFonts w:ascii="楷体" w:hAnsi="楷体" w:eastAsia="楷体" w:cs="宋体"/>
                <w:kern w:val="0"/>
                <w:sz w:val="24"/>
                <w:szCs w:val="24"/>
              </w:rPr>
              <w:t>1703</w:t>
            </w:r>
            <w:r>
              <w:rPr>
                <w:rFonts w:hint="eastAsia" w:ascii="楷体" w:hAnsi="楷体" w:eastAsia="楷体" w:cs="宋体"/>
                <w:kern w:val="0"/>
                <w:sz w:val="24"/>
                <w:szCs w:val="24"/>
              </w:rPr>
              <w:t>人</w:t>
            </w:r>
          </w:p>
        </w:tc>
      </w:tr>
    </w:tbl>
    <w:p>
      <w:pPr>
        <w:widowControl/>
        <w:shd w:val="clear" w:color="auto" w:fill="FFFFFF"/>
        <w:spacing w:line="360" w:lineRule="auto"/>
        <w:ind w:right="120" w:firstLine="480" w:firstLineChars="200"/>
        <w:jc w:val="center"/>
        <w:rPr>
          <w:rFonts w:ascii="楷体" w:hAnsi="楷体" w:eastAsia="楷体" w:cs="宋体"/>
          <w:kern w:val="0"/>
          <w:sz w:val="24"/>
          <w:szCs w:val="24"/>
        </w:rPr>
      </w:pPr>
      <w:r>
        <w:rPr>
          <w:rFonts w:hint="eastAsia" w:ascii="楷体" w:hAnsi="楷体" w:eastAsia="楷体" w:cs="宋体"/>
          <w:kern w:val="0"/>
          <w:sz w:val="24"/>
          <w:szCs w:val="24"/>
        </w:rPr>
        <w:t>规划平面图如下</w:t>
      </w:r>
    </w:p>
    <w:p>
      <w:pPr>
        <w:widowControl/>
        <w:shd w:val="clear" w:color="auto" w:fill="FFFFFF"/>
        <w:spacing w:line="360" w:lineRule="auto"/>
        <w:ind w:right="120"/>
        <w:rPr>
          <w:rFonts w:ascii="楷体" w:hAnsi="楷体" w:eastAsia="楷体" w:cs="宋体"/>
          <w:kern w:val="0"/>
          <w:sz w:val="24"/>
          <w:szCs w:val="24"/>
        </w:rPr>
      </w:pPr>
      <w:r>
        <w:rPr>
          <w:rFonts w:ascii="楷体" w:hAnsi="楷体" w:eastAsia="楷体" w:cs="宋体"/>
          <w:kern w:val="0"/>
          <w:sz w:val="24"/>
          <w:szCs w:val="24"/>
          <w:lang w:val="en-US" w:eastAsia="zh-CN" w:bidi="ar-SA"/>
        </w:rPr>
        <w:pict>
          <v:shape id="图片 1" o:spid="_x0000_s1026" type="#_x0000_t75" style="height:338.5pt;width:415.3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p>
    <w:p>
      <w:pPr>
        <w:widowControl/>
        <w:shd w:val="clear" w:color="auto" w:fill="FFFFFF"/>
        <w:spacing w:line="360" w:lineRule="auto"/>
        <w:ind w:right="120"/>
        <w:rPr>
          <w:rFonts w:ascii="楷体" w:hAnsi="楷体" w:eastAsia="楷体" w:cs="宋体"/>
          <w:kern w:val="0"/>
          <w:sz w:val="24"/>
          <w:szCs w:val="24"/>
        </w:rPr>
      </w:pPr>
    </w:p>
    <w:p>
      <w:pPr>
        <w:widowControl/>
        <w:shd w:val="clear" w:color="auto" w:fill="FFFFFF"/>
        <w:spacing w:line="360" w:lineRule="auto"/>
        <w:ind w:left="120" w:right="120" w:firstLine="480"/>
        <w:rPr>
          <w:rFonts w:ascii="楷体" w:hAnsi="楷体" w:eastAsia="楷体" w:cs="宋体"/>
          <w:spacing w:val="8"/>
          <w:kern w:val="0"/>
          <w:sz w:val="24"/>
          <w:szCs w:val="24"/>
        </w:rPr>
      </w:pPr>
      <w:r>
        <w:rPr>
          <w:rFonts w:hint="eastAsia" w:ascii="楷体" w:hAnsi="楷体" w:eastAsia="楷体" w:cs="宋体"/>
          <w:b/>
          <w:bCs/>
          <w:spacing w:val="8"/>
          <w:kern w:val="0"/>
          <w:sz w:val="24"/>
          <w:szCs w:val="24"/>
        </w:rPr>
        <w:t>二、招募原则</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本次招募以公开、公平、公正为原则，面</w:t>
      </w:r>
      <w:r>
        <w:rPr>
          <w:rFonts w:hint="eastAsia" w:ascii="楷体" w:hAnsi="楷体" w:eastAsia="楷体" w:cs="楷体"/>
          <w:kern w:val="0"/>
          <w:sz w:val="24"/>
          <w:szCs w:val="24"/>
        </w:rPr>
        <w:t>向全国招募意向投资</w:t>
      </w:r>
      <w:r>
        <w:rPr>
          <w:rFonts w:hint="eastAsia" w:ascii="微软雅黑" w:hAnsi="微软雅黑" w:eastAsia="微软雅黑" w:cs="微软雅黑"/>
          <w:kern w:val="0"/>
          <w:sz w:val="24"/>
          <w:szCs w:val="24"/>
        </w:rPr>
        <w:t>⼈</w:t>
      </w:r>
      <w:r>
        <w:rPr>
          <w:rFonts w:hint="eastAsia" w:ascii="楷体" w:hAnsi="楷体" w:eastAsia="楷体" w:cs="楷体"/>
          <w:kern w:val="0"/>
          <w:sz w:val="24"/>
          <w:szCs w:val="24"/>
        </w:rPr>
        <w:t>。管理人提供的信息仅供参考，意向投资</w:t>
      </w:r>
      <w:r>
        <w:rPr>
          <w:rFonts w:hint="eastAsia" w:ascii="楷体" w:hAnsi="楷体" w:eastAsia="楷体" w:cs="微软雅黑"/>
          <w:kern w:val="0"/>
          <w:sz w:val="24"/>
          <w:szCs w:val="24"/>
        </w:rPr>
        <w:t>人</w:t>
      </w:r>
      <w:r>
        <w:rPr>
          <w:rFonts w:hint="eastAsia" w:ascii="楷体" w:hAnsi="楷体" w:eastAsia="楷体" w:cs="楷体"/>
          <w:kern w:val="0"/>
          <w:sz w:val="24"/>
          <w:szCs w:val="24"/>
        </w:rPr>
        <w:t>在决定参与本次遴选前，应充分理解债务</w:t>
      </w:r>
      <w:r>
        <w:rPr>
          <w:rFonts w:hint="eastAsia" w:ascii="楷体" w:hAnsi="楷体" w:eastAsia="楷体" w:cs="微软雅黑"/>
          <w:kern w:val="0"/>
          <w:sz w:val="24"/>
          <w:szCs w:val="24"/>
        </w:rPr>
        <w:t>人</w:t>
      </w:r>
      <w:r>
        <w:rPr>
          <w:rFonts w:hint="eastAsia" w:ascii="楷体" w:hAnsi="楷体" w:eastAsia="楷体" w:cs="楷体"/>
          <w:kern w:val="0"/>
          <w:sz w:val="24"/>
          <w:szCs w:val="24"/>
        </w:rPr>
        <w:t>重整中可能存在的风险，知晓有关责任和义务，</w:t>
      </w:r>
      <w:r>
        <w:rPr>
          <w:rFonts w:hint="eastAsia" w:ascii="楷体" w:hAnsi="楷体" w:eastAsia="楷体" w:cs="微软雅黑"/>
          <w:kern w:val="0"/>
          <w:sz w:val="24"/>
          <w:szCs w:val="24"/>
        </w:rPr>
        <w:t>一</w:t>
      </w:r>
      <w:r>
        <w:rPr>
          <w:rFonts w:hint="eastAsia" w:ascii="楷体" w:hAnsi="楷体" w:eastAsia="楷体" w:cs="楷体"/>
          <w:kern w:val="0"/>
          <w:sz w:val="24"/>
          <w:szCs w:val="24"/>
        </w:rPr>
        <w:t>旦提交报名材料即视为同意并接受本次遴选的全部程序与规则。</w:t>
      </w:r>
    </w:p>
    <w:p>
      <w:pPr>
        <w:widowControl/>
        <w:shd w:val="clear" w:color="auto" w:fill="FFFFFF"/>
        <w:spacing w:line="360" w:lineRule="auto"/>
        <w:ind w:left="120" w:right="120" w:firstLine="480"/>
        <w:rPr>
          <w:rFonts w:ascii="楷体" w:hAnsi="楷体" w:eastAsia="楷体" w:cs="宋体"/>
          <w:spacing w:val="8"/>
          <w:kern w:val="0"/>
          <w:sz w:val="24"/>
          <w:szCs w:val="24"/>
        </w:rPr>
      </w:pPr>
      <w:r>
        <w:rPr>
          <w:rFonts w:hint="eastAsia" w:ascii="楷体" w:hAnsi="楷体" w:eastAsia="楷体" w:cs="宋体"/>
          <w:b/>
          <w:bCs/>
          <w:spacing w:val="8"/>
          <w:kern w:val="0"/>
          <w:sz w:val="24"/>
          <w:szCs w:val="24"/>
        </w:rPr>
        <w:t>三、意向投资人条件</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（一）具有较强的社会责任感和良好的商业信誉；</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（二）拥有足够的资金实力进行重整投资，并能出具相应的资信证明或其他履约能力证明；</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（三）接受意向投资方联合报名；</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（四）投资方无数额较大到期未清偿债务；最近三年无重大违法行为；最近三年未列入失信行为人等；若投资方为联合体，上述条件联合体成员均应具备；</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（五）拥有商业、住宅项目开发或建设的等相关经验者优先；</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（六）关于投资能力的要求：鉴于该项目的特殊性，</w:t>
      </w:r>
      <w:r>
        <w:rPr>
          <w:rFonts w:hint="eastAsia" w:ascii="楷体" w:hAnsi="楷体" w:eastAsia="楷体" w:cs="楷体"/>
          <w:kern w:val="0"/>
          <w:sz w:val="24"/>
          <w:szCs w:val="24"/>
        </w:rPr>
        <w:t>为确保后续开发的连续性及快速、高效，本项目招募的投资人必须确保具有充分的资金准备和投资能力，必须提供不低于（含）</w:t>
      </w:r>
      <w:r>
        <w:rPr>
          <w:rFonts w:ascii="楷体" w:hAnsi="楷体" w:eastAsia="楷体" w:cs="宋体"/>
          <w:kern w:val="0"/>
          <w:sz w:val="24"/>
          <w:szCs w:val="24"/>
        </w:rPr>
        <w:t>3</w:t>
      </w:r>
      <w:r>
        <w:rPr>
          <w:rFonts w:hint="eastAsia" w:ascii="楷体" w:hAnsi="楷体" w:eastAsia="楷体" w:cs="宋体"/>
          <w:kern w:val="0"/>
          <w:sz w:val="24"/>
          <w:szCs w:val="24"/>
        </w:rPr>
        <w:t>000万元的履约保证金缴纳至管理人账户</w:t>
      </w:r>
      <w:r>
        <w:rPr>
          <w:rFonts w:hint="eastAsia" w:ascii="楷体" w:hAnsi="楷体" w:eastAsia="楷体" w:cs="宋体"/>
          <w:b/>
          <w:bCs/>
          <w:kern w:val="0"/>
          <w:sz w:val="24"/>
          <w:szCs w:val="24"/>
        </w:rPr>
        <w:t>（</w:t>
      </w:r>
      <w:bookmarkStart w:id="2" w:name="_Hlk146530078"/>
      <w:r>
        <w:rPr>
          <w:rFonts w:hint="eastAsia" w:ascii="楷体" w:hAnsi="楷体" w:eastAsia="楷体" w:cs="宋体"/>
          <w:b/>
          <w:bCs/>
          <w:kern w:val="0"/>
          <w:sz w:val="24"/>
          <w:szCs w:val="24"/>
        </w:rPr>
        <w:t>或由银行、国有控股或参股的准金融机构出具的等额保函</w:t>
      </w:r>
      <w:bookmarkEnd w:id="2"/>
      <w:r>
        <w:rPr>
          <w:rFonts w:hint="eastAsia" w:ascii="楷体" w:hAnsi="楷体" w:eastAsia="楷体" w:cs="宋体"/>
          <w:b/>
          <w:bCs/>
          <w:kern w:val="0"/>
          <w:sz w:val="24"/>
          <w:szCs w:val="24"/>
        </w:rPr>
        <w:t>，或提供资金证明，或提供银行存款证明）</w:t>
      </w:r>
      <w:r>
        <w:rPr>
          <w:rFonts w:hint="eastAsia" w:ascii="楷体" w:hAnsi="楷体" w:eastAsia="楷体" w:cs="宋体"/>
          <w:kern w:val="0"/>
          <w:sz w:val="24"/>
          <w:szCs w:val="24"/>
        </w:rPr>
        <w:t>，且必须承诺在万隆公司资金回笼情况不佳时仍能继续投资修建完成本项目所有工程。</w:t>
      </w:r>
    </w:p>
    <w:p>
      <w:pPr>
        <w:widowControl/>
        <w:shd w:val="clear" w:color="auto" w:fill="FFFFFF"/>
        <w:spacing w:line="360" w:lineRule="auto"/>
        <w:ind w:left="120" w:right="120" w:firstLine="480"/>
        <w:rPr>
          <w:rFonts w:ascii="楷体" w:hAnsi="楷体" w:eastAsia="楷体" w:cs="宋体"/>
          <w:b/>
          <w:bCs/>
          <w:spacing w:val="8"/>
          <w:kern w:val="0"/>
          <w:sz w:val="24"/>
          <w:szCs w:val="24"/>
        </w:rPr>
      </w:pPr>
      <w:r>
        <w:rPr>
          <w:rFonts w:hint="eastAsia" w:ascii="楷体" w:hAnsi="楷体" w:eastAsia="楷体" w:cs="宋体"/>
          <w:b/>
          <w:bCs/>
          <w:spacing w:val="8"/>
          <w:kern w:val="0"/>
          <w:sz w:val="24"/>
          <w:szCs w:val="24"/>
        </w:rPr>
        <w:t>四、招募流程</w:t>
      </w:r>
    </w:p>
    <w:p>
      <w:pPr>
        <w:widowControl/>
        <w:shd w:val="clear" w:color="auto" w:fill="FFFFFF"/>
        <w:spacing w:line="360" w:lineRule="auto"/>
        <w:ind w:firstLine="480"/>
        <w:rPr>
          <w:rFonts w:ascii="楷体" w:hAnsi="楷体" w:eastAsia="楷体" w:cs="宋体"/>
          <w:b/>
          <w:bCs/>
          <w:spacing w:val="8"/>
          <w:kern w:val="0"/>
          <w:sz w:val="24"/>
          <w:szCs w:val="24"/>
        </w:rPr>
      </w:pPr>
      <w:r>
        <w:rPr>
          <w:rFonts w:hint="eastAsia" w:ascii="楷体" w:hAnsi="楷体" w:eastAsia="楷体" w:cs="宋体"/>
          <w:b/>
          <w:bCs/>
          <w:spacing w:val="8"/>
          <w:kern w:val="0"/>
          <w:sz w:val="24"/>
          <w:szCs w:val="24"/>
        </w:rPr>
        <w:t>（一）报名时间、地点</w:t>
      </w:r>
    </w:p>
    <w:p>
      <w:pPr>
        <w:widowControl/>
        <w:shd w:val="clear" w:color="auto" w:fill="FFFFFF"/>
        <w:spacing w:line="360" w:lineRule="auto"/>
        <w:ind w:left="120" w:right="120" w:firstLine="480"/>
        <w:rPr>
          <w:rFonts w:ascii="楷体" w:hAnsi="楷体" w:eastAsia="楷体" w:cs="宋体"/>
          <w:kern w:val="0"/>
          <w:sz w:val="24"/>
          <w:szCs w:val="24"/>
        </w:rPr>
      </w:pPr>
      <w:r>
        <w:rPr>
          <w:rFonts w:ascii="楷体" w:hAnsi="楷体" w:eastAsia="楷体" w:cs="宋体"/>
          <w:kern w:val="0"/>
          <w:sz w:val="24"/>
          <w:szCs w:val="24"/>
        </w:rPr>
        <w:t>报名及相关材料提交截止时间：</w:t>
      </w:r>
      <w:r>
        <w:rPr>
          <w:rFonts w:hint="eastAsia" w:ascii="楷体" w:hAnsi="楷体" w:eastAsia="楷体" w:cs="宋体"/>
          <w:color w:val="FF0000"/>
          <w:kern w:val="0"/>
          <w:sz w:val="24"/>
          <w:szCs w:val="24"/>
        </w:rPr>
        <w:t>202</w:t>
      </w:r>
      <w:r>
        <w:rPr>
          <w:rFonts w:ascii="楷体" w:hAnsi="楷体" w:eastAsia="楷体" w:cs="宋体"/>
          <w:color w:val="FF0000"/>
          <w:kern w:val="0"/>
          <w:sz w:val="24"/>
          <w:szCs w:val="24"/>
        </w:rPr>
        <w:t>3</w:t>
      </w:r>
      <w:r>
        <w:rPr>
          <w:rFonts w:hint="eastAsia" w:ascii="楷体" w:hAnsi="楷体" w:eastAsia="楷体" w:cs="宋体"/>
          <w:color w:val="FF0000"/>
          <w:kern w:val="0"/>
          <w:sz w:val="24"/>
          <w:szCs w:val="24"/>
        </w:rPr>
        <w:t>年</w:t>
      </w:r>
      <w:r>
        <w:rPr>
          <w:rFonts w:ascii="楷体" w:hAnsi="楷体" w:eastAsia="楷体" w:cs="宋体"/>
          <w:color w:val="FF0000"/>
          <w:kern w:val="0"/>
          <w:sz w:val="24"/>
          <w:szCs w:val="24"/>
        </w:rPr>
        <w:t>11</w:t>
      </w:r>
      <w:r>
        <w:rPr>
          <w:rFonts w:hint="eastAsia" w:ascii="楷体" w:hAnsi="楷体" w:eastAsia="楷体" w:cs="宋体"/>
          <w:color w:val="FF0000"/>
          <w:kern w:val="0"/>
          <w:sz w:val="24"/>
          <w:szCs w:val="24"/>
        </w:rPr>
        <w:t>月</w:t>
      </w:r>
      <w:r>
        <w:rPr>
          <w:rFonts w:ascii="楷体" w:hAnsi="楷体" w:eastAsia="楷体" w:cs="宋体"/>
          <w:color w:val="FF0000"/>
          <w:kern w:val="0"/>
          <w:sz w:val="24"/>
          <w:szCs w:val="24"/>
        </w:rPr>
        <w:t>10</w:t>
      </w:r>
      <w:r>
        <w:rPr>
          <w:rFonts w:hint="eastAsia" w:ascii="楷体" w:hAnsi="楷体" w:eastAsia="楷体" w:cs="宋体"/>
          <w:color w:val="FF0000"/>
          <w:kern w:val="0"/>
          <w:sz w:val="24"/>
          <w:szCs w:val="24"/>
        </w:rPr>
        <w:t>日12时</w:t>
      </w:r>
    </w:p>
    <w:p>
      <w:pPr>
        <w:widowControl/>
        <w:shd w:val="clear" w:color="auto" w:fill="FFFFFF"/>
        <w:spacing w:line="360" w:lineRule="auto"/>
        <w:ind w:left="120" w:right="120" w:firstLine="480"/>
        <w:rPr>
          <w:rFonts w:ascii="楷体" w:hAnsi="楷体" w:eastAsia="楷体" w:cs="宋体"/>
          <w:kern w:val="0"/>
          <w:sz w:val="24"/>
          <w:szCs w:val="24"/>
        </w:rPr>
      </w:pPr>
      <w:r>
        <w:rPr>
          <w:rFonts w:ascii="楷体" w:hAnsi="楷体" w:eastAsia="楷体" w:cs="宋体"/>
          <w:kern w:val="0"/>
          <w:sz w:val="24"/>
          <w:szCs w:val="24"/>
        </w:rPr>
        <w:t>报名地点</w:t>
      </w:r>
      <w:r>
        <w:rPr>
          <w:rFonts w:hint="eastAsia" w:ascii="楷体" w:hAnsi="楷体" w:eastAsia="楷体" w:cs="宋体"/>
          <w:kern w:val="0"/>
          <w:sz w:val="24"/>
          <w:szCs w:val="24"/>
        </w:rPr>
        <w:t>：湖北省黄石市下陆区桂林南路</w:t>
      </w:r>
      <w:r>
        <w:rPr>
          <w:rFonts w:ascii="楷体" w:hAnsi="楷体" w:eastAsia="楷体" w:cs="宋体"/>
          <w:kern w:val="0"/>
          <w:sz w:val="24"/>
          <w:szCs w:val="24"/>
        </w:rPr>
        <w:t>201-B-15号</w:t>
      </w:r>
      <w:r>
        <w:rPr>
          <w:rFonts w:hint="eastAsia" w:ascii="楷体" w:hAnsi="楷体" w:eastAsia="楷体" w:cs="宋体"/>
          <w:kern w:val="0"/>
          <w:sz w:val="24"/>
          <w:szCs w:val="24"/>
        </w:rPr>
        <w:t xml:space="preserve"> </w:t>
      </w:r>
    </w:p>
    <w:p>
      <w:pPr>
        <w:widowControl/>
        <w:shd w:val="clear" w:color="auto" w:fill="FFFFFF"/>
        <w:spacing w:line="360" w:lineRule="auto"/>
        <w:ind w:left="120" w:right="120" w:firstLine="480"/>
        <w:rPr>
          <w:rFonts w:ascii="楷体" w:hAnsi="楷体" w:eastAsia="楷体" w:cs="宋体"/>
          <w:kern w:val="0"/>
          <w:sz w:val="24"/>
          <w:szCs w:val="24"/>
        </w:rPr>
      </w:pPr>
      <w:r>
        <w:rPr>
          <w:rFonts w:ascii="楷体" w:hAnsi="楷体" w:eastAsia="楷体" w:cs="宋体"/>
          <w:kern w:val="0"/>
          <w:sz w:val="24"/>
          <w:szCs w:val="24"/>
        </w:rPr>
        <w:t>联系</w:t>
      </w:r>
      <w:r>
        <w:rPr>
          <w:rFonts w:hint="eastAsia" w:ascii="楷体" w:hAnsi="楷体" w:eastAsia="楷体" w:cs="宋体"/>
          <w:kern w:val="0"/>
          <w:sz w:val="24"/>
          <w:szCs w:val="24"/>
        </w:rPr>
        <w:t>方式</w:t>
      </w:r>
      <w:r>
        <w:rPr>
          <w:rFonts w:ascii="楷体" w:hAnsi="楷体" w:eastAsia="楷体" w:cs="宋体"/>
          <w:kern w:val="0"/>
          <w:sz w:val="24"/>
          <w:szCs w:val="24"/>
        </w:rPr>
        <w:t>：</w:t>
      </w:r>
      <w:r>
        <w:rPr>
          <w:rFonts w:hint="eastAsia" w:ascii="楷体" w:hAnsi="楷体" w:eastAsia="楷体" w:cs="宋体"/>
          <w:kern w:val="0"/>
          <w:sz w:val="24"/>
          <w:szCs w:val="24"/>
        </w:rPr>
        <w:t>周先生1</w:t>
      </w:r>
      <w:r>
        <w:rPr>
          <w:rFonts w:ascii="楷体" w:hAnsi="楷体" w:eastAsia="楷体" w:cs="宋体"/>
          <w:kern w:val="0"/>
          <w:sz w:val="24"/>
          <w:szCs w:val="24"/>
        </w:rPr>
        <w:t>5995212060</w:t>
      </w:r>
      <w:r>
        <w:rPr>
          <w:rFonts w:hint="eastAsia" w:ascii="楷体" w:hAnsi="楷体" w:eastAsia="楷体" w:cs="宋体"/>
          <w:kern w:val="0"/>
          <w:sz w:val="24"/>
          <w:szCs w:val="24"/>
        </w:rPr>
        <w:t>、陈先生1</w:t>
      </w:r>
      <w:r>
        <w:rPr>
          <w:rFonts w:ascii="楷体" w:hAnsi="楷体" w:eastAsia="楷体" w:cs="宋体"/>
          <w:kern w:val="0"/>
          <w:sz w:val="24"/>
          <w:szCs w:val="24"/>
        </w:rPr>
        <w:t xml:space="preserve">3507238989 </w:t>
      </w:r>
    </w:p>
    <w:p>
      <w:pPr>
        <w:widowControl/>
        <w:shd w:val="clear" w:color="auto" w:fill="FFFFFF"/>
        <w:spacing w:line="360" w:lineRule="auto"/>
        <w:ind w:left="120" w:right="120" w:firstLine="480"/>
        <w:rPr>
          <w:rFonts w:ascii="楷体" w:hAnsi="楷体" w:eastAsia="楷体" w:cs="宋体"/>
          <w:kern w:val="0"/>
          <w:sz w:val="24"/>
          <w:szCs w:val="24"/>
        </w:rPr>
      </w:pPr>
      <w:r>
        <w:rPr>
          <w:rFonts w:ascii="楷体" w:hAnsi="楷体" w:eastAsia="楷体" w:cs="宋体"/>
          <w:kern w:val="0"/>
          <w:sz w:val="24"/>
          <w:szCs w:val="24"/>
        </w:rPr>
        <w:t>邮</w:t>
      </w:r>
      <w:r>
        <w:rPr>
          <w:rFonts w:hint="eastAsia" w:ascii="楷体" w:hAnsi="楷体" w:eastAsia="楷体" w:cs="宋体"/>
          <w:kern w:val="0"/>
          <w:sz w:val="24"/>
          <w:szCs w:val="24"/>
        </w:rPr>
        <w:t xml:space="preserve"> </w:t>
      </w:r>
      <w:r>
        <w:rPr>
          <w:rFonts w:ascii="楷体" w:hAnsi="楷体" w:eastAsia="楷体" w:cs="宋体"/>
          <w:kern w:val="0"/>
          <w:sz w:val="24"/>
          <w:szCs w:val="24"/>
        </w:rPr>
        <w:t xml:space="preserve">   箱：</w:t>
      </w:r>
      <w:r>
        <w:rPr>
          <w:rFonts w:hint="eastAsia" w:ascii="楷体" w:hAnsi="楷体" w:eastAsia="楷体" w:cs="宋体"/>
          <w:kern w:val="0"/>
          <w:sz w:val="24"/>
          <w:szCs w:val="24"/>
        </w:rPr>
        <w:t>z</w:t>
      </w:r>
      <w:r>
        <w:rPr>
          <w:rFonts w:ascii="楷体" w:hAnsi="楷体" w:eastAsia="楷体" w:cs="宋体"/>
          <w:kern w:val="0"/>
          <w:sz w:val="24"/>
          <w:szCs w:val="24"/>
        </w:rPr>
        <w:t xml:space="preserve">houtao2080@sina.com </w:t>
      </w:r>
    </w:p>
    <w:p>
      <w:pPr>
        <w:widowControl/>
        <w:shd w:val="clear" w:color="auto" w:fill="FFFFFF"/>
        <w:spacing w:line="360" w:lineRule="auto"/>
        <w:ind w:left="120" w:right="120" w:firstLine="480"/>
        <w:rPr>
          <w:rFonts w:ascii="楷体" w:hAnsi="楷体" w:eastAsia="楷体" w:cs="宋体"/>
          <w:b/>
          <w:bCs/>
          <w:kern w:val="0"/>
          <w:sz w:val="24"/>
          <w:szCs w:val="24"/>
        </w:rPr>
      </w:pPr>
      <w:r>
        <w:rPr>
          <w:rFonts w:hint="eastAsia" w:ascii="楷体" w:hAnsi="楷体" w:eastAsia="楷体" w:cs="宋体"/>
          <w:b/>
          <w:bCs/>
          <w:spacing w:val="8"/>
          <w:kern w:val="0"/>
          <w:sz w:val="24"/>
          <w:szCs w:val="24"/>
        </w:rPr>
        <w:t>（二）意向投资人文件的提交</w:t>
      </w:r>
    </w:p>
    <w:p>
      <w:pPr>
        <w:widowControl/>
        <w:shd w:val="clear" w:color="auto" w:fill="FFFFFF"/>
        <w:spacing w:line="360" w:lineRule="auto"/>
        <w:ind w:left="120" w:right="120" w:firstLine="480"/>
        <w:rPr>
          <w:rFonts w:ascii="楷体" w:hAnsi="楷体" w:eastAsia="楷体" w:cs="宋体"/>
          <w:kern w:val="0"/>
          <w:sz w:val="24"/>
          <w:szCs w:val="24"/>
        </w:rPr>
      </w:pPr>
      <w:r>
        <w:rPr>
          <w:rFonts w:ascii="楷体" w:hAnsi="楷体" w:eastAsia="楷体" w:cs="宋体"/>
          <w:kern w:val="0"/>
          <w:sz w:val="24"/>
          <w:szCs w:val="24"/>
        </w:rPr>
        <w:t>1.意向重整投资人应提交《</w:t>
      </w:r>
      <w:bookmarkStart w:id="3" w:name="_Hlk149115239"/>
      <w:r>
        <w:rPr>
          <w:rFonts w:ascii="楷体" w:hAnsi="楷体" w:eastAsia="楷体" w:cs="宋体"/>
          <w:kern w:val="0"/>
          <w:sz w:val="24"/>
          <w:szCs w:val="24"/>
        </w:rPr>
        <w:t>参与重整投资意向书</w:t>
      </w:r>
      <w:bookmarkEnd w:id="3"/>
      <w:r>
        <w:rPr>
          <w:rFonts w:ascii="楷体" w:hAnsi="楷体" w:eastAsia="楷体" w:cs="宋体"/>
          <w:kern w:val="0"/>
          <w:sz w:val="24"/>
          <w:szCs w:val="24"/>
        </w:rPr>
        <w:t>》报名，并附以下材料：</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（1）意向投资人介绍（意向投资人主体资格、股权结构、历史沿革、经营范围等）；</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（2）意向投资人的主要业务（业绩）情况和资信证明文件，包括：意向投资人或其控股股东近三年财务审计报告、近半年征信报告；</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（3）企业法人营业执照复印件；</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（4）现行有效的企业法人章程复印件；</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（5）法定代表人或负责人身份证明原件、身份证复印件；</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（6）授权委托书原件和受委托人身份证复印件；</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（7）意向投资人董事会、股东（大）会等决策机构同意对万隆公司预重整/重整投资的决议原件；</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（8）载明联系人、联系电话、电子邮箱、传真号码、通信地址的法律文件送达地址确认书；</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（9）重整投资方案；</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（10）联合体投资的应当提交《联合体协议》；</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（11）同意对知悉的债务人及案件办理、磋商等情况均予以保密并愿意签署保密承诺函。</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上述文件均需加盖公章，报名材料应装订成册；报名材料</w:t>
      </w:r>
      <w:r>
        <w:rPr>
          <w:rFonts w:hint="eastAsia" w:ascii="微软雅黑" w:hAnsi="微软雅黑" w:eastAsia="微软雅黑" w:cs="微软雅黑"/>
          <w:kern w:val="0"/>
          <w:sz w:val="24"/>
          <w:szCs w:val="24"/>
        </w:rPr>
        <w:t>⼀</w:t>
      </w:r>
      <w:r>
        <w:rPr>
          <w:rFonts w:hint="eastAsia" w:ascii="楷体" w:hAnsi="楷体" w:eastAsia="楷体" w:cs="楷体"/>
          <w:kern w:val="0"/>
          <w:sz w:val="24"/>
          <w:szCs w:val="24"/>
        </w:rPr>
        <w:t>式五份，进行密封的纸质版交至管理人，并同步扫描发至管理人邮箱。</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意向投资人提交报名材料，经管理人初审，符合条件的，</w:t>
      </w:r>
      <w:r>
        <w:rPr>
          <w:rFonts w:hint="eastAsia" w:ascii="楷体" w:hAnsi="楷体" w:eastAsia="楷体" w:cs="宋体"/>
          <w:b/>
          <w:bCs/>
          <w:kern w:val="0"/>
          <w:sz w:val="24"/>
          <w:szCs w:val="24"/>
        </w:rPr>
        <w:t>管理人将发出书面通知</w:t>
      </w:r>
      <w:r>
        <w:rPr>
          <w:rFonts w:hint="eastAsia" w:ascii="楷体" w:hAnsi="楷体" w:eastAsia="楷体" w:cs="宋体"/>
          <w:kern w:val="0"/>
          <w:sz w:val="24"/>
          <w:szCs w:val="24"/>
        </w:rPr>
        <w:t>。意向投资人未按本公告要求提交完整报名材料，管理人要求补正仍未按时补正的,视为报名者报名不成功，不符合意向投资人条件。</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2.重整投资方案的要求</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（1）重整投资方式的确定</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为了尽快盘活债务人资产，尽快启动项目开发，减轻社会影响，在兼顾《预重整计划（草案）》合法性、衡平性、可行性、时效性的前提下，意向投资人可</w:t>
      </w:r>
      <w:r>
        <w:rPr>
          <w:rFonts w:hint="eastAsia" w:ascii="楷体" w:hAnsi="楷体" w:eastAsia="楷体" w:cs="宋体"/>
          <w:b/>
          <w:bCs/>
          <w:kern w:val="0"/>
          <w:sz w:val="24"/>
          <w:szCs w:val="24"/>
        </w:rPr>
        <w:t>自行选择重整投资方式</w:t>
      </w:r>
      <w:r>
        <w:rPr>
          <w:rFonts w:hint="eastAsia" w:ascii="楷体" w:hAnsi="楷体" w:eastAsia="楷体" w:cs="宋体"/>
          <w:kern w:val="0"/>
          <w:sz w:val="24"/>
          <w:szCs w:val="24"/>
        </w:rPr>
        <w:t>，包括但</w:t>
      </w:r>
      <w:r>
        <w:rPr>
          <w:rFonts w:hint="eastAsia" w:ascii="楷体" w:hAnsi="楷体" w:eastAsia="楷体" w:cs="宋体"/>
          <w:b/>
          <w:bCs/>
          <w:kern w:val="0"/>
          <w:sz w:val="24"/>
          <w:szCs w:val="24"/>
        </w:rPr>
        <w:t>不限于财务投资、股权收购、资产收购、项目收购、项目合作开发及代建等（或上述投资方式组合）</w:t>
      </w:r>
      <w:r>
        <w:rPr>
          <w:rFonts w:hint="eastAsia" w:ascii="楷体" w:hAnsi="楷体" w:eastAsia="楷体" w:cs="宋体"/>
          <w:kern w:val="0"/>
          <w:sz w:val="24"/>
          <w:szCs w:val="24"/>
        </w:rPr>
        <w:t>。意向投资人应当承担相应的资产或股权交易后依法产生的费用（包括但不限于土地增值税、营业税、契税、所得税、过户费等一切税务部门或其他行政机关收取的税费）。对此，请意向投资人向当地相关政府部门进行必要的咨询了解。</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（2）预重整投资方案的拟定</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为依法推进债务人重整进程，兼顾拆迁户、债权人、债务人及其股东等各方利益，意向投资人应当围绕偿债方案和经营方案制作重整投资方案，确保重整方案具有可行性、能够得到有效执行，并由管理人根据该投资方案编制《预重整计划（草案）》提交债权人会议表决。</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3.重整投资文件的修改与撤回</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在重整投资文件提交截止日前，意向投资人可以修改或撤回已递交的重整投资文件，但需以书面形式通知管理人；意向投资人修改或撤回已递交重整投资文件的书面通知应加盖意向投资人公章并由法定代表人（负责人）或受委托人签名。意向投资人修改投资文件的，最迟应于报名截止时间前，且应按前述重整投资文件的提交方式向管理人提交最终文件。</w:t>
      </w:r>
    </w:p>
    <w:p>
      <w:pPr>
        <w:widowControl/>
        <w:shd w:val="clear" w:color="auto" w:fill="FFFFFF"/>
        <w:spacing w:line="360" w:lineRule="auto"/>
        <w:ind w:left="120" w:right="120" w:firstLine="480"/>
        <w:rPr>
          <w:rFonts w:ascii="楷体" w:hAnsi="楷体" w:eastAsia="楷体" w:cs="宋体"/>
          <w:spacing w:val="8"/>
          <w:kern w:val="0"/>
          <w:sz w:val="24"/>
          <w:szCs w:val="24"/>
        </w:rPr>
      </w:pPr>
      <w:r>
        <w:rPr>
          <w:rFonts w:hint="eastAsia" w:ascii="楷体" w:hAnsi="楷体" w:eastAsia="楷体" w:cs="宋体"/>
          <w:b/>
          <w:bCs/>
          <w:spacing w:val="8"/>
          <w:kern w:val="0"/>
          <w:sz w:val="24"/>
          <w:szCs w:val="24"/>
        </w:rPr>
        <w:t>（三）保证金/保函</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报名成功的意向投资人在</w:t>
      </w:r>
      <w:r>
        <w:rPr>
          <w:rFonts w:ascii="楷体" w:hAnsi="楷体" w:eastAsia="楷体" w:cs="宋体"/>
          <w:kern w:val="0"/>
          <w:sz w:val="24"/>
          <w:szCs w:val="24"/>
        </w:rPr>
        <w:t>收到</w:t>
      </w:r>
      <w:r>
        <w:rPr>
          <w:rFonts w:hint="eastAsia" w:ascii="楷体" w:hAnsi="楷体" w:eastAsia="楷体" w:cs="宋体"/>
          <w:kern w:val="0"/>
          <w:sz w:val="24"/>
          <w:szCs w:val="24"/>
        </w:rPr>
        <w:t>管理人</w:t>
      </w:r>
      <w:r>
        <w:rPr>
          <w:rFonts w:ascii="楷体" w:hAnsi="楷体" w:eastAsia="楷体" w:cs="宋体"/>
          <w:kern w:val="0"/>
          <w:sz w:val="24"/>
          <w:szCs w:val="24"/>
        </w:rPr>
        <w:t>上述书面通知之日起3个工作日内</w:t>
      </w:r>
      <w:r>
        <w:rPr>
          <w:rFonts w:hint="eastAsia" w:ascii="楷体" w:hAnsi="楷体" w:eastAsia="楷体" w:cs="宋体"/>
          <w:kern w:val="0"/>
          <w:sz w:val="24"/>
          <w:szCs w:val="24"/>
        </w:rPr>
        <w:t>，须向管理人提交《保密承诺函》，并自签订前述《保密承诺函》之日起3个工作日内，意向投资人向管理人指定账户支付保证金人民币</w:t>
      </w:r>
      <w:r>
        <w:rPr>
          <w:rFonts w:ascii="楷体" w:hAnsi="楷体" w:eastAsia="楷体" w:cs="宋体"/>
          <w:kern w:val="0"/>
          <w:sz w:val="24"/>
          <w:szCs w:val="24"/>
        </w:rPr>
        <w:t>3</w:t>
      </w:r>
      <w:r>
        <w:rPr>
          <w:rFonts w:hint="eastAsia" w:ascii="楷体" w:hAnsi="楷体" w:eastAsia="楷体" w:cs="宋体"/>
          <w:kern w:val="0"/>
          <w:sz w:val="24"/>
          <w:szCs w:val="24"/>
        </w:rPr>
        <w:t>000万元，</w:t>
      </w:r>
      <w:r>
        <w:rPr>
          <w:rFonts w:hint="eastAsia" w:ascii="楷体" w:hAnsi="楷体" w:eastAsia="楷体" w:cs="宋体"/>
          <w:b/>
          <w:bCs/>
          <w:kern w:val="0"/>
          <w:sz w:val="24"/>
          <w:szCs w:val="24"/>
        </w:rPr>
        <w:t>或由银行、国有控股或参股的准金融机构出具的等额保函，或提供资金证明，或提供银行存款证明。</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按照上述约定按时足额缴纳保证金或提供保函</w:t>
      </w:r>
      <w:bookmarkStart w:id="4" w:name="_Hlk149644309"/>
      <w:r>
        <w:rPr>
          <w:rFonts w:hint="eastAsia" w:ascii="楷体" w:hAnsi="楷体" w:eastAsia="楷体" w:cs="宋体"/>
          <w:kern w:val="0"/>
          <w:sz w:val="24"/>
          <w:szCs w:val="24"/>
        </w:rPr>
        <w:t>、资金证明、存款证明</w:t>
      </w:r>
      <w:bookmarkEnd w:id="4"/>
      <w:r>
        <w:rPr>
          <w:rFonts w:hint="eastAsia" w:ascii="楷体" w:hAnsi="楷体" w:eastAsia="楷体" w:cs="宋体"/>
          <w:kern w:val="0"/>
          <w:sz w:val="24"/>
          <w:szCs w:val="24"/>
        </w:rPr>
        <w:t>的意向投资人即可进入下</w:t>
      </w:r>
      <w:r>
        <w:rPr>
          <w:rFonts w:hint="eastAsia" w:ascii="微软雅黑" w:hAnsi="微软雅黑" w:eastAsia="微软雅黑" w:cs="微软雅黑"/>
          <w:kern w:val="0"/>
          <w:sz w:val="24"/>
          <w:szCs w:val="24"/>
        </w:rPr>
        <w:t>⼀</w:t>
      </w:r>
      <w:r>
        <w:rPr>
          <w:rFonts w:hint="eastAsia" w:ascii="楷体" w:hAnsi="楷体" w:eastAsia="楷体" w:cs="楷体"/>
          <w:kern w:val="0"/>
          <w:sz w:val="24"/>
          <w:szCs w:val="24"/>
        </w:rPr>
        <w:t>阶段的遴选。未按时足额缴纳保证金或提供保函</w:t>
      </w:r>
      <w:r>
        <w:rPr>
          <w:rFonts w:hint="eastAsia" w:ascii="楷体" w:hAnsi="楷体" w:eastAsia="楷体" w:cs="宋体"/>
          <w:kern w:val="0"/>
          <w:sz w:val="24"/>
          <w:szCs w:val="24"/>
        </w:rPr>
        <w:t>、资金证明、存款证明</w:t>
      </w:r>
      <w:r>
        <w:rPr>
          <w:rFonts w:hint="eastAsia" w:ascii="楷体" w:hAnsi="楷体" w:eastAsia="楷体" w:cs="楷体"/>
          <w:kern w:val="0"/>
          <w:sz w:val="24"/>
          <w:szCs w:val="24"/>
        </w:rPr>
        <w:t>的，视为放弃遴选资格，不再参与意向投资人遴选。</w:t>
      </w:r>
    </w:p>
    <w:p>
      <w:pPr>
        <w:widowControl/>
        <w:shd w:val="clear" w:color="auto" w:fill="FFFFFF"/>
        <w:spacing w:line="360" w:lineRule="auto"/>
        <w:ind w:left="120" w:right="120" w:firstLine="480"/>
        <w:rPr>
          <w:rFonts w:ascii="楷体" w:hAnsi="楷体" w:eastAsia="楷体" w:cs="宋体"/>
          <w:spacing w:val="8"/>
          <w:kern w:val="0"/>
          <w:sz w:val="24"/>
          <w:szCs w:val="24"/>
        </w:rPr>
      </w:pPr>
      <w:r>
        <w:rPr>
          <w:rFonts w:hint="eastAsia" w:ascii="楷体" w:hAnsi="楷体" w:eastAsia="楷体" w:cs="宋体"/>
          <w:b/>
          <w:bCs/>
          <w:spacing w:val="8"/>
          <w:kern w:val="0"/>
          <w:sz w:val="24"/>
          <w:szCs w:val="24"/>
        </w:rPr>
        <w:t>（四）遴选阶段</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经接洽与磋商后，管理</w:t>
      </w:r>
      <w:r>
        <w:rPr>
          <w:rFonts w:hint="eastAsia" w:ascii="楷体" w:hAnsi="楷体" w:eastAsia="楷体" w:cs="微软雅黑"/>
          <w:kern w:val="0"/>
          <w:sz w:val="24"/>
          <w:szCs w:val="24"/>
        </w:rPr>
        <w:t>人</w:t>
      </w:r>
      <w:r>
        <w:rPr>
          <w:rFonts w:hint="eastAsia" w:ascii="楷体" w:hAnsi="楷体" w:eastAsia="楷体" w:cs="楷体"/>
          <w:kern w:val="0"/>
          <w:sz w:val="24"/>
          <w:szCs w:val="24"/>
        </w:rPr>
        <w:t>将根据意向投资人</w:t>
      </w:r>
      <w:r>
        <w:rPr>
          <w:rFonts w:hint="eastAsia" w:ascii="楷体" w:hAnsi="楷体" w:eastAsia="楷体" w:cs="微软雅黑"/>
          <w:kern w:val="0"/>
          <w:sz w:val="24"/>
          <w:szCs w:val="24"/>
        </w:rPr>
        <w:t>提交</w:t>
      </w:r>
      <w:r>
        <w:rPr>
          <w:rFonts w:hint="eastAsia" w:ascii="楷体" w:hAnsi="楷体" w:eastAsia="楷体" w:cs="楷体"/>
          <w:kern w:val="0"/>
          <w:sz w:val="24"/>
          <w:szCs w:val="24"/>
        </w:rPr>
        <w:t>的重整投资文件进行综合研判，确定</w:t>
      </w:r>
      <w:r>
        <w:rPr>
          <w:rFonts w:hint="eastAsia" w:ascii="楷体" w:hAnsi="楷体" w:eastAsia="楷体" w:cs="微软雅黑"/>
          <w:kern w:val="0"/>
          <w:sz w:val="24"/>
          <w:szCs w:val="24"/>
        </w:rPr>
        <w:t>入</w:t>
      </w:r>
      <w:r>
        <w:rPr>
          <w:rFonts w:hint="eastAsia" w:ascii="楷体" w:hAnsi="楷体" w:eastAsia="楷体" w:cs="楷体"/>
          <w:kern w:val="0"/>
          <w:sz w:val="24"/>
          <w:szCs w:val="24"/>
        </w:rPr>
        <w:t>围意向投资</w:t>
      </w:r>
      <w:r>
        <w:rPr>
          <w:rFonts w:hint="eastAsia" w:ascii="楷体" w:hAnsi="楷体" w:eastAsia="楷体" w:cs="微软雅黑"/>
          <w:kern w:val="0"/>
          <w:sz w:val="24"/>
          <w:szCs w:val="24"/>
        </w:rPr>
        <w:t>人</w:t>
      </w:r>
      <w:r>
        <w:rPr>
          <w:rFonts w:hint="eastAsia" w:ascii="楷体" w:hAnsi="楷体" w:eastAsia="楷体" w:cs="楷体"/>
          <w:kern w:val="0"/>
          <w:sz w:val="24"/>
          <w:szCs w:val="24"/>
        </w:rPr>
        <w:t>，并以书</w:t>
      </w:r>
      <w:r>
        <w:rPr>
          <w:rFonts w:hint="eastAsia" w:ascii="楷体" w:hAnsi="楷体" w:eastAsia="楷体" w:cs="微软雅黑"/>
          <w:kern w:val="0"/>
          <w:sz w:val="24"/>
          <w:szCs w:val="24"/>
        </w:rPr>
        <w:t>面</w:t>
      </w:r>
      <w:r>
        <w:rPr>
          <w:rFonts w:hint="eastAsia" w:ascii="楷体" w:hAnsi="楷体" w:eastAsia="楷体" w:cs="楷体"/>
          <w:kern w:val="0"/>
          <w:sz w:val="24"/>
          <w:szCs w:val="24"/>
        </w:rPr>
        <w:t>形式告知</w:t>
      </w:r>
      <w:r>
        <w:rPr>
          <w:rFonts w:hint="eastAsia" w:ascii="楷体" w:hAnsi="楷体" w:eastAsia="楷体" w:cs="微软雅黑"/>
          <w:kern w:val="0"/>
          <w:sz w:val="24"/>
          <w:szCs w:val="24"/>
        </w:rPr>
        <w:t>入</w:t>
      </w:r>
      <w:r>
        <w:rPr>
          <w:rFonts w:hint="eastAsia" w:ascii="楷体" w:hAnsi="楷体" w:eastAsia="楷体" w:cs="楷体"/>
          <w:kern w:val="0"/>
          <w:sz w:val="24"/>
          <w:szCs w:val="24"/>
        </w:rPr>
        <w:t>围意向投资</w:t>
      </w:r>
      <w:r>
        <w:rPr>
          <w:rFonts w:hint="eastAsia" w:ascii="楷体" w:hAnsi="楷体" w:eastAsia="楷体" w:cs="微软雅黑"/>
          <w:kern w:val="0"/>
          <w:sz w:val="24"/>
          <w:szCs w:val="24"/>
        </w:rPr>
        <w:t>人</w:t>
      </w:r>
      <w:r>
        <w:rPr>
          <w:rFonts w:hint="eastAsia" w:ascii="楷体" w:hAnsi="楷体" w:eastAsia="楷体" w:cs="楷体"/>
          <w:kern w:val="0"/>
          <w:sz w:val="24"/>
          <w:szCs w:val="24"/>
        </w:rPr>
        <w:t>。对未成为</w:t>
      </w:r>
      <w:r>
        <w:rPr>
          <w:rFonts w:hint="eastAsia" w:ascii="楷体" w:hAnsi="楷体" w:eastAsia="楷体" w:cs="微软雅黑"/>
          <w:kern w:val="0"/>
          <w:sz w:val="24"/>
          <w:szCs w:val="24"/>
        </w:rPr>
        <w:t>入</w:t>
      </w:r>
      <w:r>
        <w:rPr>
          <w:rFonts w:hint="eastAsia" w:ascii="楷体" w:hAnsi="楷体" w:eastAsia="楷体" w:cs="楷体"/>
          <w:kern w:val="0"/>
          <w:sz w:val="24"/>
          <w:szCs w:val="24"/>
        </w:rPr>
        <w:t>围意向投资</w:t>
      </w:r>
      <w:r>
        <w:rPr>
          <w:rFonts w:hint="eastAsia" w:ascii="楷体" w:hAnsi="楷体" w:eastAsia="楷体" w:cs="微软雅黑"/>
          <w:kern w:val="0"/>
          <w:sz w:val="24"/>
          <w:szCs w:val="24"/>
        </w:rPr>
        <w:t>人</w:t>
      </w:r>
      <w:r>
        <w:rPr>
          <w:rFonts w:hint="eastAsia" w:ascii="楷体" w:hAnsi="楷体" w:eastAsia="楷体" w:cs="楷体"/>
          <w:kern w:val="0"/>
          <w:sz w:val="24"/>
          <w:szCs w:val="24"/>
        </w:rPr>
        <w:t>的不再另</w:t>
      </w:r>
      <w:r>
        <w:rPr>
          <w:rFonts w:hint="eastAsia" w:ascii="楷体" w:hAnsi="楷体" w:eastAsia="楷体" w:cs="微软雅黑"/>
          <w:kern w:val="0"/>
          <w:sz w:val="24"/>
          <w:szCs w:val="24"/>
        </w:rPr>
        <w:t>行</w:t>
      </w:r>
      <w:r>
        <w:rPr>
          <w:rFonts w:hint="eastAsia" w:ascii="楷体" w:hAnsi="楷体" w:eastAsia="楷体" w:cs="楷体"/>
          <w:kern w:val="0"/>
          <w:sz w:val="24"/>
          <w:szCs w:val="24"/>
        </w:rPr>
        <w:t>通知，</w:t>
      </w:r>
      <w:r>
        <w:rPr>
          <w:rFonts w:hint="eastAsia" w:ascii="楷体" w:hAnsi="楷体" w:eastAsia="楷体" w:cs="宋体"/>
          <w:kern w:val="0"/>
          <w:sz w:val="24"/>
          <w:szCs w:val="24"/>
        </w:rPr>
        <w:t>管理</w:t>
      </w:r>
      <w:r>
        <w:rPr>
          <w:rFonts w:hint="eastAsia" w:ascii="微软雅黑" w:hAnsi="微软雅黑" w:eastAsia="微软雅黑" w:cs="微软雅黑"/>
          <w:kern w:val="0"/>
          <w:sz w:val="24"/>
          <w:szCs w:val="24"/>
        </w:rPr>
        <w:t>⼈</w:t>
      </w:r>
      <w:r>
        <w:rPr>
          <w:rFonts w:hint="eastAsia" w:ascii="楷体" w:hAnsi="楷体" w:eastAsia="楷体" w:cs="楷体"/>
          <w:kern w:val="0"/>
          <w:sz w:val="24"/>
          <w:szCs w:val="24"/>
        </w:rPr>
        <w:t>将</w:t>
      </w:r>
      <w:r>
        <w:rPr>
          <w:rFonts w:hint="eastAsia" w:ascii="楷体" w:hAnsi="楷体" w:eastAsia="楷体" w:cs="微软雅黑"/>
          <w:kern w:val="0"/>
          <w:sz w:val="24"/>
          <w:szCs w:val="24"/>
        </w:rPr>
        <w:t>无</w:t>
      </w:r>
      <w:r>
        <w:rPr>
          <w:rFonts w:hint="eastAsia" w:ascii="楷体" w:hAnsi="楷体" w:eastAsia="楷体" w:cs="楷体"/>
          <w:kern w:val="0"/>
          <w:sz w:val="24"/>
          <w:szCs w:val="24"/>
        </w:rPr>
        <w:t>息退还其保证</w:t>
      </w:r>
      <w:r>
        <w:rPr>
          <w:rFonts w:hint="eastAsia" w:ascii="楷体" w:hAnsi="楷体" w:eastAsia="楷体" w:cs="微软雅黑"/>
          <w:kern w:val="0"/>
          <w:sz w:val="24"/>
          <w:szCs w:val="24"/>
        </w:rPr>
        <w:t>金</w:t>
      </w:r>
      <w:r>
        <w:rPr>
          <w:rFonts w:hint="eastAsia" w:ascii="楷体" w:hAnsi="楷体" w:eastAsia="楷体" w:cs="宋体"/>
          <w:kern w:val="0"/>
          <w:sz w:val="24"/>
          <w:szCs w:val="24"/>
        </w:rPr>
        <w:t>/保函。</w:t>
      </w:r>
    </w:p>
    <w:p>
      <w:pPr>
        <w:widowControl/>
        <w:shd w:val="clear" w:color="auto" w:fill="FFFFFF"/>
        <w:spacing w:line="360" w:lineRule="auto"/>
        <w:ind w:left="120" w:right="120" w:firstLine="480"/>
        <w:rPr>
          <w:rFonts w:ascii="楷体" w:hAnsi="楷体" w:eastAsia="楷体" w:cs="宋体"/>
          <w:spacing w:val="8"/>
          <w:kern w:val="0"/>
          <w:sz w:val="24"/>
          <w:szCs w:val="24"/>
        </w:rPr>
      </w:pPr>
      <w:r>
        <w:rPr>
          <w:rFonts w:hint="eastAsia" w:ascii="楷体" w:hAnsi="楷体" w:eastAsia="楷体" w:cs="宋体"/>
          <w:b/>
          <w:bCs/>
          <w:spacing w:val="8"/>
          <w:kern w:val="0"/>
          <w:sz w:val="24"/>
          <w:szCs w:val="24"/>
        </w:rPr>
        <w:t>（五）管理人根据上述招募条件甄选最优的重整投资人并拟定预重整计划（草案）</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管理人对意向投资人提交的重整投资文件进行综合评审，选择最优的重整投资人，并以此为基础拟定《预重整计划（草案）》，在最优重整投资人对管理人拟定的《预重整计划（草案）》的预期执行提供充分保证后，管理人将《预重整计划（草案）》提交债权人会议进行预表决。</w:t>
      </w:r>
    </w:p>
    <w:p>
      <w:pPr>
        <w:widowControl/>
        <w:shd w:val="clear" w:color="auto" w:fill="FFFFFF"/>
        <w:spacing w:line="360" w:lineRule="auto"/>
        <w:ind w:left="120" w:right="120" w:firstLine="480"/>
        <w:rPr>
          <w:rFonts w:ascii="楷体" w:hAnsi="楷体" w:eastAsia="楷体" w:cs="宋体"/>
          <w:spacing w:val="8"/>
          <w:kern w:val="0"/>
          <w:sz w:val="24"/>
          <w:szCs w:val="24"/>
        </w:rPr>
      </w:pPr>
      <w:r>
        <w:rPr>
          <w:rFonts w:hint="eastAsia" w:ascii="楷体" w:hAnsi="楷体" w:eastAsia="楷体" w:cs="宋体"/>
          <w:b/>
          <w:bCs/>
          <w:spacing w:val="8"/>
          <w:kern w:val="0"/>
          <w:sz w:val="24"/>
          <w:szCs w:val="24"/>
        </w:rPr>
        <w:t>（六）预重整转重整</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债权人会议预表决通过《预重整计划（草案）》后，管理人将建议人民法院受理相关主体递交的对万隆公司的重整申请，依法正式进入重整程序，并在《预重整计划（草案）》的基础上拟定《重整计划（草案）》。上述债权人会议预表决时设立禁止反言条款，在信息披露充分的情况下，债权人、出资人已经同意《预重整计划（草案）》或《预重整计划（草案）》中核心内容的，在重整阶段正式表决时仍然有效。</w:t>
      </w:r>
    </w:p>
    <w:p>
      <w:pPr>
        <w:widowControl/>
        <w:shd w:val="clear" w:color="auto" w:fill="FFFFFF"/>
        <w:spacing w:line="360" w:lineRule="auto"/>
        <w:ind w:left="120" w:right="120" w:firstLine="480"/>
        <w:rPr>
          <w:rFonts w:ascii="楷体" w:hAnsi="楷体" w:eastAsia="楷体" w:cs="宋体"/>
          <w:spacing w:val="8"/>
          <w:kern w:val="0"/>
          <w:sz w:val="24"/>
          <w:szCs w:val="24"/>
        </w:rPr>
      </w:pPr>
      <w:r>
        <w:rPr>
          <w:rFonts w:hint="eastAsia" w:ascii="楷体" w:hAnsi="楷体" w:eastAsia="楷体" w:cs="宋体"/>
          <w:b/>
          <w:bCs/>
          <w:spacing w:val="8"/>
          <w:kern w:val="0"/>
          <w:sz w:val="24"/>
          <w:szCs w:val="24"/>
        </w:rPr>
        <w:t>（七）过渡期《投资协议》</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为尽快实现盘活资产，解决拆迁户安置等民生事宜，《预重整计划（草案）》经债权人会议预表决通过后，管理人即与意向投资人签订《投资协议》，该《投资协议》设立过渡期安排，若预重整转重整后，非因投资人原因导至《重整计划（草案）》未能经债权人会议正式通过并经人民法院裁定批准的，投资人不承担违约责任。若重整阶段债权人会议正式审议通过《重整计划》并经人民法院裁定批准的，双方不再另行签订《投资协议》。</w:t>
      </w:r>
    </w:p>
    <w:p>
      <w:pPr>
        <w:widowControl/>
        <w:shd w:val="clear" w:color="auto" w:fill="FFFFFF"/>
        <w:spacing w:line="360" w:lineRule="auto"/>
        <w:ind w:left="120" w:right="120" w:firstLine="480"/>
        <w:rPr>
          <w:rFonts w:ascii="楷体" w:hAnsi="楷体" w:eastAsia="楷体" w:cs="宋体"/>
          <w:spacing w:val="8"/>
          <w:kern w:val="0"/>
          <w:sz w:val="24"/>
          <w:szCs w:val="24"/>
        </w:rPr>
      </w:pPr>
      <w:r>
        <w:rPr>
          <w:rFonts w:hint="eastAsia" w:ascii="楷体" w:hAnsi="楷体" w:eastAsia="楷体" w:cs="宋体"/>
          <w:b/>
          <w:bCs/>
          <w:spacing w:val="8"/>
          <w:kern w:val="0"/>
          <w:sz w:val="24"/>
          <w:szCs w:val="24"/>
        </w:rPr>
        <w:t>（八）保证金的使用与退回</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双方签订投资协议后，其缴纳的报名保证金自动转为投资协议的履约保证金。意向投资人未被确认为正式投资人的，管理人应在十个工作日内无息退还其缴纳的报名保证金，双方互不承担违约和/或赔偿责任。若债务人重整计划草案获得人民法院裁定批准，上述3</w:t>
      </w:r>
      <w:r>
        <w:rPr>
          <w:rFonts w:ascii="楷体" w:hAnsi="楷体" w:eastAsia="楷体" w:cs="宋体"/>
          <w:kern w:val="0"/>
          <w:sz w:val="24"/>
          <w:szCs w:val="24"/>
        </w:rPr>
        <w:t>000</w:t>
      </w:r>
      <w:r>
        <w:rPr>
          <w:rFonts w:hint="eastAsia" w:ascii="楷体" w:hAnsi="楷体" w:eastAsia="楷体" w:cs="宋体"/>
          <w:kern w:val="0"/>
          <w:sz w:val="24"/>
          <w:szCs w:val="24"/>
        </w:rPr>
        <w:t>万元履约保证金自动转为投资款。</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投资人出具保函/资金证明/存款证明的不适用本款规定。</w:t>
      </w:r>
    </w:p>
    <w:p>
      <w:pPr>
        <w:widowControl/>
        <w:shd w:val="clear" w:color="auto" w:fill="FFFFFF"/>
        <w:spacing w:line="360" w:lineRule="auto"/>
        <w:ind w:left="120" w:right="120" w:firstLine="480"/>
        <w:rPr>
          <w:rFonts w:ascii="楷体" w:hAnsi="楷体" w:eastAsia="楷体" w:cs="宋体"/>
          <w:b/>
          <w:bCs/>
          <w:kern w:val="0"/>
          <w:sz w:val="24"/>
          <w:szCs w:val="24"/>
        </w:rPr>
      </w:pPr>
      <w:r>
        <w:rPr>
          <w:rFonts w:hint="eastAsia" w:ascii="楷体" w:hAnsi="楷体" w:eastAsia="楷体" w:cs="宋体"/>
          <w:b/>
          <w:bCs/>
          <w:kern w:val="0"/>
          <w:sz w:val="24"/>
          <w:szCs w:val="24"/>
        </w:rPr>
        <w:t>五、尽调事项</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意向投资人如需对万隆公司进行尽职调查的，应按管理人要求签</w:t>
      </w:r>
      <w:r>
        <w:rPr>
          <w:rFonts w:ascii="楷体" w:hAnsi="楷体" w:eastAsia="楷体" w:cs="宋体"/>
          <w:kern w:val="0"/>
          <w:sz w:val="24"/>
          <w:szCs w:val="24"/>
        </w:rPr>
        <w:t>订尽职调查保密</w:t>
      </w:r>
      <w:r>
        <w:rPr>
          <w:rFonts w:hint="eastAsia" w:ascii="楷体" w:hAnsi="楷体" w:eastAsia="楷体" w:cs="宋体"/>
          <w:kern w:val="0"/>
          <w:sz w:val="24"/>
          <w:szCs w:val="24"/>
        </w:rPr>
        <w:t>承诺函，</w:t>
      </w:r>
      <w:r>
        <w:rPr>
          <w:rFonts w:ascii="楷体" w:hAnsi="楷体" w:eastAsia="楷体" w:cs="宋体"/>
          <w:kern w:val="0"/>
          <w:sz w:val="24"/>
          <w:szCs w:val="24"/>
        </w:rPr>
        <w:t>并缴纳尽调保证金。管理人在收到上述文书和保证金后积极予以配合。</w:t>
      </w:r>
    </w:p>
    <w:p>
      <w:pPr>
        <w:widowControl/>
        <w:shd w:val="clear" w:color="auto" w:fill="FFFFFF"/>
        <w:spacing w:line="360" w:lineRule="auto"/>
        <w:ind w:right="120" w:firstLine="480" w:firstLineChars="200"/>
        <w:rPr>
          <w:rFonts w:ascii="楷体" w:hAnsi="楷体" w:eastAsia="楷体" w:cs="宋体"/>
          <w:kern w:val="0"/>
          <w:sz w:val="24"/>
          <w:szCs w:val="24"/>
        </w:rPr>
      </w:pPr>
      <w:r>
        <w:rPr>
          <w:rFonts w:hint="eastAsia" w:ascii="楷体" w:hAnsi="楷体" w:eastAsia="楷体" w:cs="宋体"/>
          <w:kern w:val="0"/>
          <w:sz w:val="24"/>
          <w:szCs w:val="24"/>
        </w:rPr>
        <w:t>（一）</w:t>
      </w:r>
      <w:r>
        <w:rPr>
          <w:rFonts w:ascii="楷体" w:hAnsi="楷体" w:eastAsia="楷体" w:cs="宋体"/>
          <w:kern w:val="0"/>
          <w:sz w:val="24"/>
          <w:szCs w:val="24"/>
        </w:rPr>
        <w:t xml:space="preserve">尽调保证金的金额及缴纳方式 </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意向投资人参与万隆公司招募的尽调保证金为每个单位</w:t>
      </w:r>
      <w:r>
        <w:rPr>
          <w:rFonts w:ascii="楷体" w:hAnsi="楷体" w:eastAsia="楷体" w:cs="宋体"/>
          <w:kern w:val="0"/>
          <w:sz w:val="24"/>
          <w:szCs w:val="24"/>
        </w:rPr>
        <w:t>人民币30万元。意向投资人</w:t>
      </w:r>
      <w:r>
        <w:rPr>
          <w:rFonts w:hint="eastAsia" w:ascii="楷体" w:hAnsi="楷体" w:eastAsia="楷体" w:cs="宋体"/>
          <w:kern w:val="0"/>
          <w:sz w:val="24"/>
          <w:szCs w:val="24"/>
        </w:rPr>
        <w:t>如需进行尽职调查，</w:t>
      </w:r>
      <w:r>
        <w:rPr>
          <w:rFonts w:ascii="楷体" w:hAnsi="楷体" w:eastAsia="楷体" w:cs="宋体"/>
          <w:kern w:val="0"/>
          <w:sz w:val="24"/>
          <w:szCs w:val="24"/>
        </w:rPr>
        <w:t>应于</w:t>
      </w:r>
      <w:r>
        <w:rPr>
          <w:rFonts w:hint="eastAsia" w:ascii="楷体" w:hAnsi="楷体" w:eastAsia="楷体" w:cs="宋体"/>
          <w:kern w:val="0"/>
          <w:sz w:val="24"/>
          <w:szCs w:val="24"/>
        </w:rPr>
        <w:t>本公告发布后尽快</w:t>
      </w:r>
      <w:r>
        <w:rPr>
          <w:rFonts w:ascii="楷体" w:hAnsi="楷体" w:eastAsia="楷体" w:cs="宋体"/>
          <w:kern w:val="0"/>
          <w:sz w:val="24"/>
          <w:szCs w:val="24"/>
        </w:rPr>
        <w:t>将尽调保证金汇入</w:t>
      </w:r>
      <w:r>
        <w:rPr>
          <w:rFonts w:hint="eastAsia" w:ascii="楷体" w:hAnsi="楷体" w:eastAsia="楷体" w:cs="宋体"/>
          <w:kern w:val="0"/>
          <w:sz w:val="24"/>
          <w:szCs w:val="24"/>
        </w:rPr>
        <w:t>管理人指定的如下</w:t>
      </w:r>
      <w:r>
        <w:rPr>
          <w:rFonts w:ascii="楷体" w:hAnsi="楷体" w:eastAsia="楷体" w:cs="宋体"/>
          <w:kern w:val="0"/>
          <w:sz w:val="24"/>
          <w:szCs w:val="24"/>
        </w:rPr>
        <w:t>银行账户</w:t>
      </w:r>
      <w:r>
        <w:rPr>
          <w:rFonts w:hint="eastAsia" w:ascii="楷体" w:hAnsi="楷体" w:eastAsia="楷体" w:cs="宋体"/>
          <w:kern w:val="0"/>
          <w:sz w:val="24"/>
          <w:szCs w:val="24"/>
        </w:rPr>
        <w:t>：</w:t>
      </w:r>
    </w:p>
    <w:p>
      <w:pPr>
        <w:spacing w:line="360" w:lineRule="auto"/>
        <w:ind w:firstLine="720" w:firstLineChars="300"/>
        <w:rPr>
          <w:rFonts w:ascii="楷体" w:hAnsi="楷体" w:eastAsia="楷体"/>
          <w:sz w:val="24"/>
          <w:szCs w:val="24"/>
        </w:rPr>
      </w:pPr>
      <w:r>
        <w:rPr>
          <w:rFonts w:hint="eastAsia" w:ascii="楷体" w:hAnsi="楷体" w:eastAsia="楷体"/>
          <w:sz w:val="24"/>
          <w:szCs w:val="24"/>
        </w:rPr>
        <w:t xml:space="preserve">户 </w:t>
      </w:r>
      <w:r>
        <w:rPr>
          <w:rFonts w:ascii="楷体" w:hAnsi="楷体" w:eastAsia="楷体"/>
          <w:sz w:val="24"/>
          <w:szCs w:val="24"/>
        </w:rPr>
        <w:t xml:space="preserve"> </w:t>
      </w:r>
      <w:r>
        <w:rPr>
          <w:rFonts w:hint="eastAsia" w:ascii="楷体" w:hAnsi="楷体" w:eastAsia="楷体"/>
          <w:sz w:val="24"/>
          <w:szCs w:val="24"/>
        </w:rPr>
        <w:t>名：黄石市万隆房地产开发有限公司预重整管理人</w:t>
      </w:r>
    </w:p>
    <w:p>
      <w:pPr>
        <w:spacing w:line="360" w:lineRule="auto"/>
        <w:ind w:firstLine="720" w:firstLineChars="300"/>
        <w:rPr>
          <w:rFonts w:ascii="楷体" w:hAnsi="楷体" w:eastAsia="楷体"/>
          <w:sz w:val="24"/>
          <w:szCs w:val="24"/>
        </w:rPr>
      </w:pPr>
      <w:r>
        <w:rPr>
          <w:rFonts w:hint="eastAsia" w:ascii="楷体" w:hAnsi="楷体" w:eastAsia="楷体"/>
          <w:sz w:val="24"/>
          <w:szCs w:val="24"/>
        </w:rPr>
        <w:t>开户行：交通银行股份有限公司黄石经济技术开发区支行</w:t>
      </w:r>
    </w:p>
    <w:p>
      <w:pPr>
        <w:spacing w:line="360" w:lineRule="auto"/>
        <w:ind w:firstLine="720" w:firstLineChars="300"/>
        <w:rPr>
          <w:rFonts w:ascii="楷体" w:hAnsi="楷体" w:eastAsia="楷体"/>
          <w:sz w:val="24"/>
          <w:szCs w:val="24"/>
        </w:rPr>
      </w:pPr>
      <w:r>
        <w:rPr>
          <w:rFonts w:hint="eastAsia" w:ascii="楷体" w:hAnsi="楷体" w:eastAsia="楷体"/>
          <w:sz w:val="24"/>
          <w:szCs w:val="24"/>
        </w:rPr>
        <w:t xml:space="preserve">账 </w:t>
      </w:r>
      <w:r>
        <w:rPr>
          <w:rFonts w:ascii="楷体" w:hAnsi="楷体" w:eastAsia="楷体"/>
          <w:sz w:val="24"/>
          <w:szCs w:val="24"/>
        </w:rPr>
        <w:t xml:space="preserve"> </w:t>
      </w:r>
      <w:r>
        <w:rPr>
          <w:rFonts w:hint="eastAsia" w:ascii="楷体" w:hAnsi="楷体" w:eastAsia="楷体"/>
          <w:sz w:val="24"/>
          <w:szCs w:val="24"/>
        </w:rPr>
        <w:t>号：4</w:t>
      </w:r>
      <w:r>
        <w:rPr>
          <w:rFonts w:ascii="楷体" w:hAnsi="楷体" w:eastAsia="楷体"/>
          <w:sz w:val="24"/>
          <w:szCs w:val="24"/>
        </w:rPr>
        <w:t>22422013011000178000</w:t>
      </w:r>
    </w:p>
    <w:p>
      <w:pPr>
        <w:spacing w:line="360" w:lineRule="auto"/>
        <w:ind w:firstLine="480" w:firstLineChars="200"/>
        <w:rPr>
          <w:rFonts w:ascii="楷体" w:hAnsi="楷体" w:eastAsia="楷体"/>
          <w:sz w:val="24"/>
          <w:szCs w:val="24"/>
        </w:rPr>
      </w:pPr>
      <w:r>
        <w:rPr>
          <w:rFonts w:hint="eastAsia" w:ascii="楷体" w:hAnsi="楷体" w:eastAsia="楷体"/>
          <w:sz w:val="24"/>
          <w:szCs w:val="24"/>
        </w:rPr>
        <w:t>如意向投资人无需进行尽调，但仍愿意参与万隆公司重整的，可继</w:t>
      </w:r>
      <w:r>
        <w:rPr>
          <w:rFonts w:ascii="楷体" w:hAnsi="楷体" w:eastAsia="楷体"/>
          <w:sz w:val="24"/>
          <w:szCs w:val="24"/>
        </w:rPr>
        <w:t>续按管理人的</w:t>
      </w:r>
      <w:r>
        <w:rPr>
          <w:rFonts w:hint="eastAsia" w:ascii="楷体" w:hAnsi="楷体" w:eastAsia="楷体"/>
          <w:sz w:val="24"/>
          <w:szCs w:val="24"/>
        </w:rPr>
        <w:t>上述</w:t>
      </w:r>
      <w:r>
        <w:rPr>
          <w:rFonts w:ascii="楷体" w:hAnsi="楷体" w:eastAsia="楷体"/>
          <w:sz w:val="24"/>
          <w:szCs w:val="24"/>
        </w:rPr>
        <w:t>要求提交重整投资文件</w:t>
      </w:r>
      <w:r>
        <w:rPr>
          <w:rFonts w:hint="eastAsia" w:ascii="楷体" w:hAnsi="楷体" w:eastAsia="楷体"/>
          <w:sz w:val="24"/>
          <w:szCs w:val="24"/>
        </w:rPr>
        <w:t>，及缴纳投资保证金或提供保函</w:t>
      </w:r>
      <w:bookmarkStart w:id="5" w:name="_Hlk149649175"/>
      <w:r>
        <w:rPr>
          <w:rFonts w:hint="eastAsia" w:ascii="楷体" w:hAnsi="楷体" w:eastAsia="楷体"/>
          <w:sz w:val="24"/>
          <w:szCs w:val="24"/>
        </w:rPr>
        <w:t>/</w:t>
      </w:r>
      <w:r>
        <w:rPr>
          <w:rFonts w:ascii="楷体" w:hAnsi="楷体" w:eastAsia="楷体"/>
          <w:sz w:val="24"/>
          <w:szCs w:val="24"/>
        </w:rPr>
        <w:t>资金证明</w:t>
      </w:r>
      <w:r>
        <w:rPr>
          <w:rFonts w:hint="eastAsia" w:ascii="楷体" w:hAnsi="楷体" w:eastAsia="楷体"/>
          <w:sz w:val="24"/>
          <w:szCs w:val="24"/>
        </w:rPr>
        <w:t>/</w:t>
      </w:r>
      <w:r>
        <w:rPr>
          <w:rFonts w:ascii="楷体" w:hAnsi="楷体" w:eastAsia="楷体"/>
          <w:sz w:val="24"/>
          <w:szCs w:val="24"/>
        </w:rPr>
        <w:t>存款</w:t>
      </w:r>
      <w:r>
        <w:rPr>
          <w:rFonts w:hint="eastAsia" w:ascii="楷体" w:hAnsi="楷体" w:eastAsia="楷体"/>
          <w:sz w:val="24"/>
          <w:szCs w:val="24"/>
        </w:rPr>
        <w:t>证明</w:t>
      </w:r>
      <w:bookmarkEnd w:id="5"/>
      <w:r>
        <w:rPr>
          <w:rFonts w:ascii="楷体" w:hAnsi="楷体" w:eastAsia="楷体"/>
          <w:sz w:val="24"/>
          <w:szCs w:val="24"/>
        </w:rPr>
        <w:t>。</w:t>
      </w:r>
    </w:p>
    <w:p>
      <w:pPr>
        <w:widowControl/>
        <w:shd w:val="clear" w:color="auto" w:fill="FFFFFF"/>
        <w:spacing w:line="360" w:lineRule="auto"/>
        <w:ind w:right="120" w:firstLine="480" w:firstLineChars="200"/>
        <w:rPr>
          <w:rFonts w:ascii="楷体" w:hAnsi="楷体" w:eastAsia="楷体" w:cs="宋体"/>
          <w:kern w:val="0"/>
          <w:sz w:val="24"/>
          <w:szCs w:val="24"/>
        </w:rPr>
      </w:pPr>
      <w:r>
        <w:rPr>
          <w:rFonts w:hint="eastAsia" w:ascii="楷体" w:hAnsi="楷体" w:eastAsia="楷体" w:cs="宋体"/>
          <w:kern w:val="0"/>
          <w:sz w:val="24"/>
          <w:szCs w:val="24"/>
        </w:rPr>
        <w:t>（二）</w:t>
      </w:r>
      <w:r>
        <w:rPr>
          <w:rFonts w:ascii="楷体" w:hAnsi="楷体" w:eastAsia="楷体" w:cs="宋体"/>
          <w:kern w:val="0"/>
          <w:sz w:val="24"/>
          <w:szCs w:val="24"/>
        </w:rPr>
        <w:t xml:space="preserve">尽调保证金的使用 </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如后期意向投资人需缴纳重整履约保证金的，该意向投资人所缴</w:t>
      </w:r>
      <w:r>
        <w:rPr>
          <w:rFonts w:ascii="楷体" w:hAnsi="楷体" w:eastAsia="楷体" w:cs="宋体"/>
          <w:kern w:val="0"/>
          <w:sz w:val="24"/>
          <w:szCs w:val="24"/>
        </w:rPr>
        <w:t>的尽调保证金转为其应缴纳的等额重整履约保证金（不计息）。</w:t>
      </w:r>
    </w:p>
    <w:p>
      <w:pPr>
        <w:widowControl/>
        <w:shd w:val="clear" w:color="auto" w:fill="FFFFFF"/>
        <w:spacing w:line="360" w:lineRule="auto"/>
        <w:ind w:right="120" w:firstLine="480" w:firstLineChars="200"/>
        <w:rPr>
          <w:rFonts w:ascii="楷体" w:hAnsi="楷体" w:eastAsia="楷体" w:cs="宋体"/>
          <w:kern w:val="0"/>
          <w:sz w:val="24"/>
          <w:szCs w:val="24"/>
        </w:rPr>
      </w:pPr>
      <w:r>
        <w:rPr>
          <w:rFonts w:hint="eastAsia" w:ascii="楷体" w:hAnsi="楷体" w:eastAsia="楷体" w:cs="宋体"/>
          <w:kern w:val="0"/>
          <w:sz w:val="24"/>
          <w:szCs w:val="24"/>
        </w:rPr>
        <w:t>（三）</w:t>
      </w:r>
      <w:r>
        <w:rPr>
          <w:rFonts w:ascii="楷体" w:hAnsi="楷体" w:eastAsia="楷体" w:cs="宋体"/>
          <w:kern w:val="0"/>
          <w:sz w:val="24"/>
          <w:szCs w:val="24"/>
        </w:rPr>
        <w:t xml:space="preserve">尽调保证金的退还 </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意向投资人未按管理人的要求提交重整投资文件或未按</w:t>
      </w:r>
      <w:r>
        <w:rPr>
          <w:rFonts w:ascii="楷体" w:hAnsi="楷体" w:eastAsia="楷体" w:cs="宋体"/>
          <w:kern w:val="0"/>
          <w:sz w:val="24"/>
          <w:szCs w:val="24"/>
        </w:rPr>
        <w:t>期缴纳正式重整履约保证金</w:t>
      </w:r>
      <w:r>
        <w:rPr>
          <w:rFonts w:hint="eastAsia" w:ascii="楷体" w:hAnsi="楷体" w:eastAsia="楷体" w:cs="宋体"/>
          <w:kern w:val="0"/>
          <w:sz w:val="24"/>
          <w:szCs w:val="24"/>
        </w:rPr>
        <w:t>或提供保函/资金证明/存款证明</w:t>
      </w:r>
      <w:r>
        <w:rPr>
          <w:rFonts w:ascii="楷体" w:hAnsi="楷体" w:eastAsia="楷体" w:cs="宋体"/>
          <w:kern w:val="0"/>
          <w:sz w:val="24"/>
          <w:szCs w:val="24"/>
        </w:rPr>
        <w:t>的，或在意向投资人招募投资人遴选期间明确表示放弃投资资格的，管理人将在 7 个工作日内退还尽调保证金（不计息）</w:t>
      </w:r>
      <w:r>
        <w:rPr>
          <w:rFonts w:hint="eastAsia" w:ascii="楷体" w:hAnsi="楷体" w:eastAsia="楷体" w:cs="宋体"/>
          <w:kern w:val="0"/>
          <w:sz w:val="24"/>
          <w:szCs w:val="24"/>
        </w:rPr>
        <w:t>。</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（四）尽职调查阶段</w:t>
      </w:r>
      <w:r>
        <w:rPr>
          <w:rFonts w:ascii="楷体" w:hAnsi="楷体" w:eastAsia="楷体" w:cs="宋体"/>
          <w:kern w:val="0"/>
          <w:sz w:val="24"/>
          <w:szCs w:val="24"/>
        </w:rPr>
        <w:t xml:space="preserve"> </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意向投资人签署尽职调查保密函，且尽调保证金到账后可</w:t>
      </w:r>
      <w:r>
        <w:rPr>
          <w:rFonts w:ascii="楷体" w:hAnsi="楷体" w:eastAsia="楷体" w:cs="宋体"/>
          <w:kern w:val="0"/>
          <w:sz w:val="24"/>
          <w:szCs w:val="24"/>
        </w:rPr>
        <w:t>开展尽职调查工作，意向投资人可联系管理人实地考察，管理人将积极配合。意向投资人开展尽职调查（包括实地考察）所需的费用由意向投资人自行承担。根据各意向投资人实际工作开展的情况，管理人可以适时调整尽职调查工作期限。</w:t>
      </w:r>
    </w:p>
    <w:p>
      <w:pPr>
        <w:widowControl/>
        <w:shd w:val="clear" w:color="auto" w:fill="FFFFFF"/>
        <w:spacing w:line="360" w:lineRule="auto"/>
        <w:ind w:left="120" w:right="120" w:firstLine="480"/>
        <w:rPr>
          <w:rFonts w:ascii="楷体" w:hAnsi="楷体" w:eastAsia="楷体" w:cs="宋体"/>
          <w:spacing w:val="8"/>
          <w:kern w:val="0"/>
          <w:sz w:val="24"/>
          <w:szCs w:val="24"/>
        </w:rPr>
      </w:pPr>
      <w:r>
        <w:rPr>
          <w:rFonts w:hint="eastAsia" w:ascii="楷体" w:hAnsi="楷体" w:eastAsia="楷体" w:cs="宋体"/>
          <w:b/>
          <w:bCs/>
          <w:spacing w:val="8"/>
          <w:kern w:val="0"/>
          <w:sz w:val="24"/>
          <w:szCs w:val="24"/>
        </w:rPr>
        <w:t>六、特别申明</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（一）本公告所列相关数据为管理</w:t>
      </w:r>
      <w:r>
        <w:rPr>
          <w:rFonts w:hint="eastAsia" w:ascii="微软雅黑" w:hAnsi="微软雅黑" w:eastAsia="微软雅黑" w:cs="微软雅黑"/>
          <w:kern w:val="0"/>
          <w:sz w:val="24"/>
          <w:szCs w:val="24"/>
        </w:rPr>
        <w:t>⼈</w:t>
      </w:r>
      <w:r>
        <w:rPr>
          <w:rFonts w:hint="eastAsia" w:ascii="楷体" w:hAnsi="楷体" w:eastAsia="楷体" w:cs="楷体"/>
          <w:kern w:val="0"/>
          <w:sz w:val="24"/>
          <w:szCs w:val="24"/>
        </w:rPr>
        <w:t>阶段性调查数据，后期会随实际情况的变化</w:t>
      </w:r>
      <w:r>
        <w:rPr>
          <w:rFonts w:hint="eastAsia" w:ascii="楷体" w:hAnsi="楷体" w:eastAsia="楷体" w:cs="微软雅黑"/>
          <w:kern w:val="0"/>
          <w:sz w:val="24"/>
          <w:szCs w:val="24"/>
        </w:rPr>
        <w:t>而</w:t>
      </w:r>
      <w:r>
        <w:rPr>
          <w:rFonts w:hint="eastAsia" w:ascii="楷体" w:hAnsi="楷体" w:eastAsia="楷体" w:cs="楷体"/>
          <w:kern w:val="0"/>
          <w:sz w:val="24"/>
          <w:szCs w:val="24"/>
        </w:rPr>
        <w:t>发</w:t>
      </w:r>
      <w:r>
        <w:rPr>
          <w:rFonts w:hint="eastAsia" w:ascii="楷体" w:hAnsi="楷体" w:eastAsia="楷体" w:cs="微软雅黑"/>
          <w:kern w:val="0"/>
          <w:sz w:val="24"/>
          <w:szCs w:val="24"/>
        </w:rPr>
        <w:t>生</w:t>
      </w:r>
      <w:r>
        <w:rPr>
          <w:rFonts w:hint="eastAsia" w:ascii="楷体" w:hAnsi="楷体" w:eastAsia="楷体" w:cs="楷体"/>
          <w:kern w:val="0"/>
          <w:sz w:val="24"/>
          <w:szCs w:val="24"/>
        </w:rPr>
        <w:t>变化，仅供意向投资</w:t>
      </w:r>
      <w:r>
        <w:rPr>
          <w:rFonts w:hint="eastAsia" w:ascii="楷体" w:hAnsi="楷体" w:eastAsia="楷体" w:cs="微软雅黑"/>
          <w:kern w:val="0"/>
          <w:sz w:val="24"/>
          <w:szCs w:val="24"/>
        </w:rPr>
        <w:t>人</w:t>
      </w:r>
      <w:r>
        <w:rPr>
          <w:rFonts w:hint="eastAsia" w:ascii="楷体" w:hAnsi="楷体" w:eastAsia="楷体" w:cs="楷体"/>
          <w:kern w:val="0"/>
          <w:sz w:val="24"/>
          <w:szCs w:val="24"/>
        </w:rPr>
        <w:t>参考。</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（二）本公告内容不构成管理</w:t>
      </w:r>
      <w:r>
        <w:rPr>
          <w:rFonts w:hint="eastAsia" w:ascii="微软雅黑" w:hAnsi="微软雅黑" w:eastAsia="微软雅黑" w:cs="微软雅黑"/>
          <w:kern w:val="0"/>
          <w:sz w:val="24"/>
          <w:szCs w:val="24"/>
        </w:rPr>
        <w:t>⼈</w:t>
      </w:r>
      <w:r>
        <w:rPr>
          <w:rFonts w:hint="eastAsia" w:ascii="楷体" w:hAnsi="楷体" w:eastAsia="楷体" w:cs="楷体"/>
          <w:kern w:val="0"/>
          <w:sz w:val="24"/>
          <w:szCs w:val="24"/>
        </w:rPr>
        <w:t>的任何承诺或保证，不作为投资建议，不构成要约或要约邀请，意向投资</w:t>
      </w:r>
      <w:r>
        <w:rPr>
          <w:rFonts w:hint="eastAsia" w:ascii="楷体" w:hAnsi="楷体" w:eastAsia="楷体" w:cs="微软雅黑"/>
          <w:kern w:val="0"/>
          <w:sz w:val="24"/>
          <w:szCs w:val="24"/>
        </w:rPr>
        <w:t>人</w:t>
      </w:r>
      <w:r>
        <w:rPr>
          <w:rFonts w:hint="eastAsia" w:ascii="楷体" w:hAnsi="楷体" w:eastAsia="楷体" w:cs="楷体"/>
          <w:kern w:val="0"/>
          <w:sz w:val="24"/>
          <w:szCs w:val="24"/>
        </w:rPr>
        <w:t>应以</w:t>
      </w:r>
      <w:r>
        <w:rPr>
          <w:rFonts w:hint="eastAsia" w:ascii="楷体" w:hAnsi="楷体" w:eastAsia="楷体" w:cs="微软雅黑"/>
          <w:kern w:val="0"/>
          <w:sz w:val="24"/>
          <w:szCs w:val="24"/>
        </w:rPr>
        <w:t>自行</w:t>
      </w:r>
      <w:r>
        <w:rPr>
          <w:rFonts w:hint="eastAsia" w:ascii="楷体" w:hAnsi="楷体" w:eastAsia="楷体" w:cs="楷体"/>
          <w:kern w:val="0"/>
          <w:sz w:val="24"/>
          <w:szCs w:val="24"/>
        </w:rPr>
        <w:t>尽调结果为投资依据。意向投资</w:t>
      </w:r>
      <w:r>
        <w:rPr>
          <w:rFonts w:hint="eastAsia" w:ascii="楷体" w:hAnsi="楷体" w:eastAsia="楷体" w:cs="微软雅黑"/>
          <w:kern w:val="0"/>
          <w:sz w:val="24"/>
          <w:szCs w:val="24"/>
        </w:rPr>
        <w:t>人</w:t>
      </w:r>
      <w:r>
        <w:rPr>
          <w:rFonts w:hint="eastAsia" w:ascii="楷体" w:hAnsi="楷体" w:eastAsia="楷体" w:cs="楷体"/>
          <w:kern w:val="0"/>
          <w:sz w:val="24"/>
          <w:szCs w:val="24"/>
        </w:rPr>
        <w:t>在尽调过程中获取的财务审计、资产评估、债权申报等资料和数据，均以各</w:t>
      </w:r>
      <w:r>
        <w:rPr>
          <w:rFonts w:hint="eastAsia" w:ascii="楷体" w:hAnsi="楷体" w:eastAsia="楷体" w:cs="微软雅黑"/>
          <w:kern w:val="0"/>
          <w:sz w:val="24"/>
          <w:szCs w:val="24"/>
        </w:rPr>
        <w:t>行文</w:t>
      </w:r>
      <w:r>
        <w:rPr>
          <w:rFonts w:hint="eastAsia" w:ascii="楷体" w:hAnsi="楷体" w:eastAsia="楷体" w:cs="楷体"/>
          <w:kern w:val="0"/>
          <w:sz w:val="24"/>
          <w:szCs w:val="24"/>
        </w:rPr>
        <w:t>机构出具的意见为准，管理</w:t>
      </w:r>
      <w:r>
        <w:rPr>
          <w:rFonts w:hint="eastAsia" w:ascii="楷体" w:hAnsi="楷体" w:eastAsia="楷体" w:cs="微软雅黑"/>
          <w:kern w:val="0"/>
          <w:sz w:val="24"/>
          <w:szCs w:val="24"/>
        </w:rPr>
        <w:t>人</w:t>
      </w:r>
      <w:r>
        <w:rPr>
          <w:rFonts w:hint="eastAsia" w:ascii="楷体" w:hAnsi="楷体" w:eastAsia="楷体" w:cs="楷体"/>
          <w:kern w:val="0"/>
          <w:sz w:val="24"/>
          <w:szCs w:val="24"/>
        </w:rPr>
        <w:t>不对相应数据的真实性、完整性、合法性等予以承诺和保证。意向投资</w:t>
      </w:r>
      <w:r>
        <w:rPr>
          <w:rFonts w:hint="eastAsia" w:ascii="楷体" w:hAnsi="楷体" w:eastAsia="楷体" w:cs="微软雅黑"/>
          <w:kern w:val="0"/>
          <w:sz w:val="24"/>
          <w:szCs w:val="24"/>
        </w:rPr>
        <w:t>人</w:t>
      </w:r>
      <w:r>
        <w:rPr>
          <w:rFonts w:hint="eastAsia" w:ascii="楷体" w:hAnsi="楷体" w:eastAsia="楷体" w:cs="楷体"/>
          <w:kern w:val="0"/>
          <w:sz w:val="24"/>
          <w:szCs w:val="24"/>
        </w:rPr>
        <w:t>应独</w:t>
      </w:r>
      <w:r>
        <w:rPr>
          <w:rFonts w:hint="eastAsia" w:ascii="楷体" w:hAnsi="楷体" w:eastAsia="楷体" w:cs="微软雅黑"/>
          <w:kern w:val="0"/>
          <w:sz w:val="24"/>
          <w:szCs w:val="24"/>
        </w:rPr>
        <w:t>立</w:t>
      </w:r>
      <w:r>
        <w:rPr>
          <w:rFonts w:hint="eastAsia" w:ascii="楷体" w:hAnsi="楷体" w:eastAsia="楷体" w:cs="楷体"/>
          <w:kern w:val="0"/>
          <w:sz w:val="24"/>
          <w:szCs w:val="24"/>
        </w:rPr>
        <w:t>判断并进</w:t>
      </w:r>
      <w:r>
        <w:rPr>
          <w:rFonts w:hint="eastAsia" w:ascii="楷体" w:hAnsi="楷体" w:eastAsia="楷体" w:cs="微软雅黑"/>
          <w:kern w:val="0"/>
          <w:sz w:val="24"/>
          <w:szCs w:val="24"/>
        </w:rPr>
        <w:t>行</w:t>
      </w:r>
      <w:r>
        <w:rPr>
          <w:rFonts w:hint="eastAsia" w:ascii="楷体" w:hAnsi="楷体" w:eastAsia="楷体" w:cs="楷体"/>
          <w:kern w:val="0"/>
          <w:sz w:val="24"/>
          <w:szCs w:val="24"/>
        </w:rPr>
        <w:t>投资决策。</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（三）如出现影响</w:t>
      </w:r>
      <w:r>
        <w:rPr>
          <w:rFonts w:hint="eastAsia" w:ascii="楷体" w:hAnsi="楷体" w:eastAsia="楷体" w:cs="楷体"/>
          <w:kern w:val="0"/>
          <w:sz w:val="24"/>
          <w:szCs w:val="24"/>
        </w:rPr>
        <w:t>万隆公司重整的重</w:t>
      </w:r>
      <w:r>
        <w:rPr>
          <w:rFonts w:hint="eastAsia" w:ascii="楷体" w:hAnsi="楷体" w:eastAsia="楷体" w:cs="微软雅黑"/>
          <w:kern w:val="0"/>
          <w:sz w:val="24"/>
          <w:szCs w:val="24"/>
        </w:rPr>
        <w:t>大</w:t>
      </w:r>
      <w:r>
        <w:rPr>
          <w:rFonts w:hint="eastAsia" w:ascii="楷体" w:hAnsi="楷体" w:eastAsia="楷体" w:cs="楷体"/>
          <w:kern w:val="0"/>
          <w:sz w:val="24"/>
          <w:szCs w:val="24"/>
        </w:rPr>
        <w:t>事项或者西塞山区</w:t>
      </w:r>
      <w:r>
        <w:rPr>
          <w:rFonts w:hint="eastAsia" w:ascii="楷体" w:hAnsi="楷体" w:eastAsia="楷体" w:cs="微软雅黑"/>
          <w:kern w:val="0"/>
          <w:sz w:val="24"/>
          <w:szCs w:val="24"/>
        </w:rPr>
        <w:t>人</w:t>
      </w:r>
      <w:r>
        <w:rPr>
          <w:rFonts w:hint="eastAsia" w:ascii="楷体" w:hAnsi="楷体" w:eastAsia="楷体" w:cs="楷体"/>
          <w:kern w:val="0"/>
          <w:sz w:val="24"/>
          <w:szCs w:val="24"/>
        </w:rPr>
        <w:t>民法院提出要求，管理</w:t>
      </w:r>
      <w:r>
        <w:rPr>
          <w:rFonts w:hint="eastAsia" w:ascii="楷体" w:hAnsi="楷体" w:eastAsia="楷体" w:cs="微软雅黑"/>
          <w:kern w:val="0"/>
          <w:sz w:val="24"/>
          <w:szCs w:val="24"/>
        </w:rPr>
        <w:t>人</w:t>
      </w:r>
      <w:r>
        <w:rPr>
          <w:rFonts w:hint="eastAsia" w:ascii="楷体" w:hAnsi="楷体" w:eastAsia="楷体" w:cs="楷体"/>
          <w:kern w:val="0"/>
          <w:sz w:val="24"/>
          <w:szCs w:val="24"/>
        </w:rPr>
        <w:t>可中</w:t>
      </w:r>
      <w:r>
        <w:rPr>
          <w:rFonts w:hint="eastAsia" w:ascii="楷体" w:hAnsi="楷体" w:eastAsia="楷体" w:cs="微软雅黑"/>
          <w:kern w:val="0"/>
          <w:sz w:val="24"/>
          <w:szCs w:val="24"/>
        </w:rPr>
        <w:t>止</w:t>
      </w:r>
      <w:r>
        <w:rPr>
          <w:rFonts w:hint="eastAsia" w:ascii="楷体" w:hAnsi="楷体" w:eastAsia="楷体" w:cs="楷体"/>
          <w:kern w:val="0"/>
          <w:sz w:val="24"/>
          <w:szCs w:val="24"/>
        </w:rPr>
        <w:t>或者撤回本次招募计划，不承担任何违约和赔偿、补偿责任。</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（四）本次招募以公开、公平为原则，</w:t>
      </w:r>
      <w:r>
        <w:rPr>
          <w:rFonts w:hint="eastAsia" w:ascii="楷体" w:hAnsi="楷体" w:eastAsia="楷体" w:cs="微软雅黑"/>
          <w:kern w:val="0"/>
          <w:sz w:val="24"/>
          <w:szCs w:val="24"/>
        </w:rPr>
        <w:t>面</w:t>
      </w:r>
      <w:r>
        <w:rPr>
          <w:rFonts w:hint="eastAsia" w:ascii="楷体" w:hAnsi="楷体" w:eastAsia="楷体" w:cs="楷体"/>
          <w:kern w:val="0"/>
          <w:sz w:val="24"/>
          <w:szCs w:val="24"/>
        </w:rPr>
        <w:t>向全国招募投资</w:t>
      </w:r>
      <w:r>
        <w:rPr>
          <w:rFonts w:hint="eastAsia" w:ascii="楷体" w:hAnsi="楷体" w:eastAsia="楷体" w:cs="微软雅黑"/>
          <w:kern w:val="0"/>
          <w:sz w:val="24"/>
          <w:szCs w:val="24"/>
        </w:rPr>
        <w:t>人</w:t>
      </w:r>
      <w:r>
        <w:rPr>
          <w:rFonts w:hint="eastAsia" w:ascii="楷体" w:hAnsi="楷体" w:eastAsia="楷体" w:cs="楷体"/>
          <w:kern w:val="0"/>
          <w:sz w:val="24"/>
          <w:szCs w:val="24"/>
        </w:rPr>
        <w:t>，但不适</w:t>
      </w:r>
      <w:r>
        <w:rPr>
          <w:rFonts w:hint="eastAsia" w:ascii="楷体" w:hAnsi="楷体" w:eastAsia="楷体" w:cs="微软雅黑"/>
          <w:kern w:val="0"/>
          <w:sz w:val="24"/>
          <w:szCs w:val="24"/>
        </w:rPr>
        <w:t>用</w:t>
      </w:r>
      <w:r>
        <w:rPr>
          <w:rFonts w:hint="eastAsia" w:ascii="楷体" w:hAnsi="楷体" w:eastAsia="楷体" w:cs="楷体"/>
          <w:kern w:val="0"/>
          <w:sz w:val="24"/>
          <w:szCs w:val="24"/>
        </w:rPr>
        <w:t>《招标投标法》。</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（五）本公告由管理</w:t>
      </w:r>
      <w:r>
        <w:rPr>
          <w:rFonts w:hint="eastAsia" w:ascii="楷体" w:hAnsi="楷体" w:eastAsia="楷体" w:cs="微软雅黑"/>
          <w:kern w:val="0"/>
          <w:sz w:val="24"/>
          <w:szCs w:val="24"/>
        </w:rPr>
        <w:t>人</w:t>
      </w:r>
      <w:r>
        <w:rPr>
          <w:rFonts w:hint="eastAsia" w:ascii="楷体" w:hAnsi="楷体" w:eastAsia="楷体" w:cs="楷体"/>
          <w:kern w:val="0"/>
          <w:sz w:val="24"/>
          <w:szCs w:val="24"/>
        </w:rPr>
        <w:t>进</w:t>
      </w:r>
      <w:r>
        <w:rPr>
          <w:rFonts w:hint="eastAsia" w:ascii="楷体" w:hAnsi="楷体" w:eastAsia="楷体" w:cs="微软雅黑"/>
          <w:kern w:val="0"/>
          <w:sz w:val="24"/>
          <w:szCs w:val="24"/>
        </w:rPr>
        <w:t>行</w:t>
      </w:r>
      <w:r>
        <w:rPr>
          <w:rFonts w:hint="eastAsia" w:ascii="楷体" w:hAnsi="楷体" w:eastAsia="楷体" w:cs="楷体"/>
          <w:kern w:val="0"/>
          <w:sz w:val="24"/>
          <w:szCs w:val="24"/>
        </w:rPr>
        <w:t>编制，解释权归管理</w:t>
      </w:r>
      <w:r>
        <w:rPr>
          <w:rFonts w:hint="eastAsia" w:ascii="微软雅黑" w:hAnsi="微软雅黑" w:eastAsia="微软雅黑" w:cs="微软雅黑"/>
          <w:kern w:val="0"/>
          <w:sz w:val="24"/>
          <w:szCs w:val="24"/>
        </w:rPr>
        <w:t>⼈</w:t>
      </w:r>
      <w:r>
        <w:rPr>
          <w:rFonts w:hint="eastAsia" w:ascii="楷体" w:hAnsi="楷体" w:eastAsia="楷体" w:cs="楷体"/>
          <w:kern w:val="0"/>
          <w:sz w:val="24"/>
          <w:szCs w:val="24"/>
        </w:rPr>
        <w:t>。根据招募进程管理</w:t>
      </w:r>
      <w:r>
        <w:rPr>
          <w:rFonts w:hint="eastAsia" w:ascii="楷体" w:hAnsi="楷体" w:eastAsia="楷体" w:cs="微软雅黑"/>
          <w:kern w:val="0"/>
          <w:sz w:val="24"/>
          <w:szCs w:val="24"/>
        </w:rPr>
        <w:t>人</w:t>
      </w:r>
      <w:r>
        <w:rPr>
          <w:rFonts w:hint="eastAsia" w:ascii="楷体" w:hAnsi="楷体" w:eastAsia="楷体" w:cs="楷体"/>
          <w:kern w:val="0"/>
          <w:sz w:val="24"/>
          <w:szCs w:val="24"/>
        </w:rPr>
        <w:t>可调整招募流程或有关条件。</w:t>
      </w:r>
    </w:p>
    <w:p>
      <w:pPr>
        <w:widowControl/>
        <w:shd w:val="clear" w:color="auto" w:fill="FFFFFF"/>
        <w:spacing w:line="360" w:lineRule="auto"/>
        <w:ind w:left="120" w:right="120" w:firstLine="480"/>
        <w:rPr>
          <w:rFonts w:ascii="楷体" w:hAnsi="楷体" w:eastAsia="楷体" w:cs="宋体"/>
          <w:spacing w:val="8"/>
          <w:kern w:val="0"/>
          <w:sz w:val="24"/>
          <w:szCs w:val="24"/>
        </w:rPr>
      </w:pPr>
      <w:r>
        <w:rPr>
          <w:rFonts w:hint="eastAsia" w:ascii="楷体" w:hAnsi="楷体" w:eastAsia="楷体" w:cs="宋体"/>
          <w:b/>
          <w:bCs/>
          <w:spacing w:val="8"/>
          <w:kern w:val="0"/>
          <w:sz w:val="24"/>
          <w:szCs w:val="24"/>
        </w:rPr>
        <w:t>七、 管理人联系方式：</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联系人及电话：周先生1</w:t>
      </w:r>
      <w:r>
        <w:rPr>
          <w:rFonts w:ascii="楷体" w:hAnsi="楷体" w:eastAsia="楷体" w:cs="宋体"/>
          <w:kern w:val="0"/>
          <w:sz w:val="24"/>
          <w:szCs w:val="24"/>
        </w:rPr>
        <w:t>5995212060</w:t>
      </w:r>
      <w:r>
        <w:rPr>
          <w:rFonts w:hint="eastAsia" w:ascii="楷体" w:hAnsi="楷体" w:eastAsia="楷体" w:cs="宋体"/>
          <w:kern w:val="0"/>
          <w:sz w:val="24"/>
          <w:szCs w:val="24"/>
        </w:rPr>
        <w:t>、陈先生1</w:t>
      </w:r>
      <w:r>
        <w:rPr>
          <w:rFonts w:ascii="楷体" w:hAnsi="楷体" w:eastAsia="楷体" w:cs="宋体"/>
          <w:kern w:val="0"/>
          <w:sz w:val="24"/>
          <w:szCs w:val="24"/>
        </w:rPr>
        <w:t>3507238989</w:t>
      </w:r>
      <w:r>
        <w:rPr>
          <w:rFonts w:hint="eastAsia" w:ascii="楷体" w:hAnsi="楷体" w:eastAsia="楷体" w:cs="宋体"/>
          <w:kern w:val="0"/>
          <w:sz w:val="24"/>
          <w:szCs w:val="24"/>
        </w:rPr>
        <w:t xml:space="preserve"> </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意向投资人如有疑问，可按上述联系方式与管理人联系。</w:t>
      </w:r>
    </w:p>
    <w:p>
      <w:pPr>
        <w:widowControl/>
        <w:shd w:val="clear" w:color="auto" w:fill="FFFFFF"/>
        <w:spacing w:line="360" w:lineRule="auto"/>
        <w:ind w:left="120" w:right="120" w:firstLine="480"/>
        <w:rPr>
          <w:rFonts w:ascii="楷体" w:hAnsi="楷体" w:eastAsia="楷体" w:cs="宋体"/>
          <w:kern w:val="0"/>
          <w:sz w:val="24"/>
          <w:szCs w:val="24"/>
        </w:rPr>
      </w:pPr>
      <w:r>
        <w:rPr>
          <w:rFonts w:hint="eastAsia" w:ascii="楷体" w:hAnsi="楷体" w:eastAsia="楷体" w:cs="宋体"/>
          <w:kern w:val="0"/>
          <w:sz w:val="24"/>
          <w:szCs w:val="24"/>
        </w:rPr>
        <w:t>特此公告！</w:t>
      </w:r>
    </w:p>
    <w:p>
      <w:pPr>
        <w:widowControl/>
        <w:shd w:val="clear" w:color="auto" w:fill="FFFFFF"/>
        <w:spacing w:line="360" w:lineRule="auto"/>
        <w:ind w:left="120" w:right="120" w:firstLine="480"/>
        <w:rPr>
          <w:rFonts w:ascii="楷体" w:hAnsi="楷体" w:eastAsia="楷体" w:cs="宋体"/>
          <w:kern w:val="0"/>
          <w:sz w:val="24"/>
          <w:szCs w:val="24"/>
        </w:rPr>
      </w:pPr>
    </w:p>
    <w:p>
      <w:pPr>
        <w:widowControl/>
        <w:shd w:val="clear" w:color="auto" w:fill="FFFFFF"/>
        <w:spacing w:line="360" w:lineRule="auto"/>
        <w:ind w:left="120" w:right="120" w:firstLine="480"/>
        <w:rPr>
          <w:rFonts w:ascii="楷体" w:hAnsi="楷体" w:eastAsia="楷体" w:cs="宋体"/>
          <w:kern w:val="0"/>
          <w:sz w:val="24"/>
          <w:szCs w:val="24"/>
        </w:rPr>
      </w:pPr>
    </w:p>
    <w:p>
      <w:pPr>
        <w:widowControl/>
        <w:shd w:val="clear" w:color="auto" w:fill="FFFFFF"/>
        <w:spacing w:line="360" w:lineRule="auto"/>
        <w:ind w:left="120" w:right="120" w:firstLine="480"/>
        <w:jc w:val="right"/>
        <w:rPr>
          <w:rFonts w:ascii="楷体" w:hAnsi="楷体" w:eastAsia="楷体" w:cs="宋体"/>
          <w:kern w:val="0"/>
          <w:sz w:val="24"/>
          <w:szCs w:val="24"/>
        </w:rPr>
      </w:pPr>
    </w:p>
    <w:p>
      <w:pPr>
        <w:widowControl/>
        <w:shd w:val="clear" w:color="auto" w:fill="FFFFFF"/>
        <w:spacing w:line="360" w:lineRule="auto"/>
        <w:ind w:left="120" w:right="120" w:firstLine="480"/>
        <w:jc w:val="right"/>
        <w:rPr>
          <w:rFonts w:ascii="楷体" w:hAnsi="楷体" w:eastAsia="楷体" w:cs="宋体"/>
          <w:kern w:val="0"/>
          <w:sz w:val="24"/>
          <w:szCs w:val="24"/>
        </w:rPr>
      </w:pPr>
      <w:r>
        <w:rPr>
          <w:rFonts w:hint="eastAsia" w:ascii="楷体" w:hAnsi="楷体" w:eastAsia="楷体" w:cs="宋体"/>
          <w:kern w:val="0"/>
          <w:sz w:val="24"/>
          <w:szCs w:val="24"/>
        </w:rPr>
        <w:t>黄石市万隆房地产开发有限公司预重整管理人</w:t>
      </w:r>
    </w:p>
    <w:p>
      <w:pPr>
        <w:widowControl/>
        <w:shd w:val="clear" w:color="auto" w:fill="FFFFFF"/>
        <w:spacing w:line="360" w:lineRule="auto"/>
        <w:ind w:left="120" w:right="1080" w:firstLine="480"/>
        <w:jc w:val="center"/>
        <w:rPr>
          <w:rFonts w:ascii="楷体" w:hAnsi="楷体" w:eastAsia="楷体" w:cs="宋体"/>
          <w:color w:val="FF0000"/>
          <w:kern w:val="0"/>
          <w:sz w:val="24"/>
          <w:szCs w:val="24"/>
        </w:rPr>
      </w:pPr>
      <w:r>
        <w:rPr>
          <w:rFonts w:ascii="楷体" w:hAnsi="楷体" w:eastAsia="楷体" w:cs="宋体"/>
          <w:kern w:val="0"/>
          <w:sz w:val="24"/>
          <w:szCs w:val="24"/>
        </w:rPr>
        <w:t xml:space="preserve">                              </w:t>
      </w:r>
      <w:r>
        <w:rPr>
          <w:rFonts w:hint="eastAsia" w:ascii="楷体" w:hAnsi="楷体" w:eastAsia="楷体" w:cs="宋体"/>
          <w:color w:val="FF0000"/>
          <w:kern w:val="0"/>
          <w:sz w:val="24"/>
          <w:szCs w:val="24"/>
        </w:rPr>
        <w:t>202</w:t>
      </w:r>
      <w:r>
        <w:rPr>
          <w:rFonts w:ascii="楷体" w:hAnsi="楷体" w:eastAsia="楷体" w:cs="宋体"/>
          <w:color w:val="FF0000"/>
          <w:kern w:val="0"/>
          <w:sz w:val="24"/>
          <w:szCs w:val="24"/>
        </w:rPr>
        <w:t>3</w:t>
      </w:r>
      <w:r>
        <w:rPr>
          <w:rFonts w:hint="eastAsia" w:ascii="楷体" w:hAnsi="楷体" w:eastAsia="楷体" w:cs="宋体"/>
          <w:color w:val="FF0000"/>
          <w:kern w:val="0"/>
          <w:sz w:val="24"/>
          <w:szCs w:val="24"/>
        </w:rPr>
        <w:t>年</w:t>
      </w:r>
      <w:r>
        <w:rPr>
          <w:rFonts w:ascii="楷体" w:hAnsi="楷体" w:eastAsia="楷体" w:cs="宋体"/>
          <w:color w:val="FF0000"/>
          <w:kern w:val="0"/>
          <w:sz w:val="24"/>
          <w:szCs w:val="24"/>
        </w:rPr>
        <w:t>1</w:t>
      </w:r>
      <w:r>
        <w:rPr>
          <w:rFonts w:hint="eastAsia" w:ascii="楷体" w:hAnsi="楷体" w:eastAsia="楷体" w:cs="宋体"/>
          <w:color w:val="FF0000"/>
          <w:kern w:val="0"/>
          <w:sz w:val="24"/>
          <w:szCs w:val="24"/>
          <w:lang w:val="en-US" w:eastAsia="zh-CN"/>
        </w:rPr>
        <w:t>0</w:t>
      </w:r>
      <w:r>
        <w:rPr>
          <w:rFonts w:hint="eastAsia" w:ascii="楷体" w:hAnsi="楷体" w:eastAsia="楷体" w:cs="宋体"/>
          <w:color w:val="FF0000"/>
          <w:kern w:val="0"/>
          <w:sz w:val="24"/>
          <w:szCs w:val="24"/>
        </w:rPr>
        <w:t>月</w:t>
      </w:r>
      <w:r>
        <w:rPr>
          <w:rFonts w:hint="eastAsia" w:ascii="楷体" w:hAnsi="楷体" w:eastAsia="楷体" w:cs="宋体"/>
          <w:color w:val="FF0000"/>
          <w:kern w:val="0"/>
          <w:sz w:val="24"/>
          <w:szCs w:val="24"/>
          <w:lang w:val="en-US" w:eastAsia="zh-CN"/>
        </w:rPr>
        <w:t>31</w:t>
      </w:r>
      <w:r>
        <w:rPr>
          <w:rFonts w:hint="eastAsia" w:ascii="楷体" w:hAnsi="楷体" w:eastAsia="楷体" w:cs="宋体"/>
          <w:color w:val="FF0000"/>
          <w:kern w:val="0"/>
          <w:sz w:val="24"/>
          <w:szCs w:val="24"/>
        </w:rPr>
        <w:t>日</w:t>
      </w:r>
    </w:p>
    <w:p>
      <w:pPr>
        <w:widowControl/>
        <w:shd w:val="clear" w:color="auto" w:fill="FFFFFF"/>
        <w:spacing w:line="360" w:lineRule="auto"/>
        <w:ind w:right="1080"/>
        <w:rPr>
          <w:rFonts w:ascii="楷体" w:hAnsi="楷体" w:eastAsia="楷体" w:cs="宋体"/>
          <w:color w:val="FF0000"/>
          <w:kern w:val="0"/>
          <w:sz w:val="24"/>
          <w:szCs w:val="24"/>
        </w:rPr>
      </w:pPr>
    </w:p>
    <w:p>
      <w:pPr>
        <w:spacing w:line="360" w:lineRule="auto"/>
        <w:rPr>
          <w:rFonts w:ascii="楷体" w:hAnsi="楷体" w:eastAsia="楷体"/>
          <w:sz w:val="24"/>
          <w:szCs w:val="24"/>
        </w:rPr>
      </w:pPr>
    </w:p>
    <w:bookmarkEnd w:id="0"/>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等线">
    <w:altName w:val="宋体"/>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 w:name="等线 Light">
    <w:altName w:val="宋体"/>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jc w:val="center"/>
    </w:pPr>
    <w:r>
      <w:fldChar w:fldCharType="begin"/>
    </w:r>
    <w:r>
      <w:instrText xml:space="preserve">PAGE   \* MERGEFORMAT</w:instrText>
    </w:r>
    <w:r>
      <w:fldChar w:fldCharType="separate"/>
    </w:r>
    <w:r>
      <w:rPr>
        <w:lang w:val="zh-CN"/>
      </w:rPr>
      <w:t>2</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iPriority="0" w:name="Balloon Text"/>
  </w:latentStyles>
  <w:style w:type="paragraph" w:default="1" w:styleId="1">
    <w:name w:val="Normal"/>
    <w:qFormat/>
    <w:uiPriority w:val="0"/>
    <w:pPr>
      <w:widowControl w:val="0"/>
      <w:jc w:val="both"/>
    </w:pPr>
    <w:rPr>
      <w:rFonts w:ascii="等线" w:hAnsi="等线" w:eastAsia="等线"/>
      <w:kern w:val="2"/>
      <w:sz w:val="21"/>
      <w:szCs w:val="22"/>
      <w:lang w:val="en-US" w:eastAsia="zh-CN" w:bidi="ar-SA"/>
    </w:rPr>
  </w:style>
  <w:style w:type="character" w:default="1" w:styleId="4">
    <w:name w:val="Default Paragraph Font"/>
    <w:semiHidden/>
    <w:unhideWhenUsed/>
    <w:uiPriority w:val="1"/>
  </w:style>
  <w:style w:type="paragraph" w:styleId="2">
    <w:name w:val="footer"/>
    <w:basedOn w:val="1"/>
    <w:link w:val="5"/>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tabs>
        <w:tab w:val="center" w:pos="4153"/>
        <w:tab w:val="right" w:pos="8306"/>
      </w:tabs>
      <w:snapToGrid w:val="0"/>
      <w:jc w:val="center"/>
    </w:pPr>
    <w:rPr>
      <w:sz w:val="18"/>
      <w:szCs w:val="18"/>
    </w:rPr>
  </w:style>
  <w:style w:type="character" w:customStyle="1" w:styleId="5">
    <w:name w:val="页脚 字符"/>
    <w:basedOn w:val="4"/>
    <w:link w:val="2"/>
    <w:uiPriority w:val="99"/>
    <w:rPr>
      <w:sz w:val="18"/>
      <w:szCs w:val="18"/>
    </w:rPr>
  </w:style>
  <w:style w:type="character" w:customStyle="1" w:styleId="6">
    <w:name w:val="页眉 字符"/>
    <w:basedOn w:val="4"/>
    <w:link w:val="3"/>
    <w:uiPriority w:val="99"/>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theme" Target="theme/theme1.xml"/><Relationship Id="rId6" Type="http://schemas.openxmlformats.org/officeDocument/2006/relationships/image" Target="media/image1.png"/><Relationship Id="rId7"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838</Words>
  <Characters>4779</Characters>
  <Lines>39</Lines>
  <Paragraphs>11</Paragraphs>
  <TotalTime>0</TotalTime>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2023-10-31T03:14:00Z</dcterms:created>
  <dc:creator>ZhouXin</dc:creator>
  <cp:lastModifiedBy>Administrator</cp:lastModifiedBy>
  <dcterms:modified xsi:type="dcterms:W3CDTF">2023-10-31T07:28:01Z</dcterms:modified>
  <dc:title>黄石市万隆房地产开发有限公司预重整案</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