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napToGrid w:val="0"/>
        <w:spacing w:before="156" w:beforeLines="50" w:after="156" w:afterLines="50" w:line="400" w:lineRule="exact"/>
        <w:jc w:val="center"/>
        <w:rPr>
          <w:rFonts w:ascii="仿宋" w:hAnsi="仿宋" w:eastAsia="仿宋" w:cs="仿宋"/>
          <w:b/>
          <w:bCs/>
          <w:color w:val="232222"/>
          <w:spacing w:val="15"/>
          <w:kern w:val="0"/>
          <w:sz w:val="28"/>
          <w:szCs w:val="28"/>
          <w:lang w:bidi="ar"/>
        </w:rPr>
      </w:pPr>
      <w:r>
        <w:rPr>
          <w:rFonts w:hint="eastAsia" w:ascii="仿宋" w:hAnsi="仿宋" w:eastAsia="仿宋" w:cs="仿宋"/>
          <w:b/>
          <w:bCs/>
          <w:color w:val="232222"/>
          <w:spacing w:val="15"/>
          <w:kern w:val="0"/>
          <w:sz w:val="28"/>
          <w:szCs w:val="28"/>
          <w:lang w:bidi="ar"/>
        </w:rPr>
        <w:t>四川海珊建设工程有限公司项目</w:t>
      </w:r>
    </w:p>
    <w:p>
      <w:pPr>
        <w:shd w:val="clear" w:color="auto" w:fill="FFFFFF"/>
        <w:snapToGrid w:val="0"/>
        <w:spacing w:before="156" w:beforeLines="50" w:after="156" w:afterLines="50" w:line="400" w:lineRule="exact"/>
        <w:jc w:val="center"/>
        <w:rPr>
          <w:rFonts w:ascii="仿宋" w:hAnsi="仿宋" w:eastAsia="仿宋" w:cs="仿宋"/>
          <w:b/>
          <w:bCs/>
          <w:color w:val="232222"/>
          <w:spacing w:val="15"/>
          <w:kern w:val="0"/>
          <w:sz w:val="28"/>
          <w:szCs w:val="28"/>
          <w:lang w:bidi="ar"/>
        </w:rPr>
      </w:pPr>
      <w:r>
        <w:rPr>
          <w:rFonts w:hint="eastAsia" w:ascii="仿宋" w:hAnsi="仿宋" w:eastAsia="仿宋" w:cs="仿宋"/>
          <w:b/>
          <w:bCs/>
          <w:color w:val="232222"/>
          <w:spacing w:val="15"/>
          <w:kern w:val="0"/>
          <w:sz w:val="28"/>
          <w:szCs w:val="28"/>
          <w:lang w:bidi="ar"/>
        </w:rPr>
        <w:t>投资人招募公告</w:t>
      </w:r>
    </w:p>
    <w:p>
      <w:pPr>
        <w:shd w:val="clear" w:color="auto" w:fill="FFFFFF"/>
        <w:snapToGrid w:val="0"/>
        <w:spacing w:before="156" w:beforeLines="50" w:after="156" w:afterLines="50" w:line="400" w:lineRule="exact"/>
        <w:jc w:val="center"/>
        <w:rPr>
          <w:rFonts w:ascii="仿宋" w:hAnsi="仿宋" w:eastAsia="仿宋" w:cs="仿宋"/>
          <w:b/>
          <w:bCs/>
          <w:color w:val="232222"/>
          <w:spacing w:val="15"/>
          <w:kern w:val="0"/>
          <w:sz w:val="28"/>
          <w:szCs w:val="28"/>
          <w:lang w:bidi="ar"/>
        </w:rPr>
      </w:pPr>
    </w:p>
    <w:p>
      <w:pPr>
        <w:spacing w:before="156" w:beforeLines="50" w:after="156" w:afterLines="50" w:line="400" w:lineRule="exact"/>
        <w:ind w:firstLine="480" w:firstLineChars="200"/>
        <w:rPr>
          <w:rFonts w:ascii="仿宋" w:hAnsi="仿宋" w:eastAsia="仿宋" w:cs="仿宋"/>
          <w:color w:val="000000" w:themeColor="text1"/>
          <w:sz w:val="24"/>
          <w:lang w:bidi="ar"/>
          <w14:textFill>
            <w14:solidFill>
              <w14:schemeClr w14:val="tx1"/>
            </w14:solidFill>
          </w14:textFill>
        </w:rPr>
      </w:pPr>
      <w:r>
        <w:rPr>
          <w:rFonts w:hint="eastAsia" w:ascii="仿宋" w:hAnsi="仿宋" w:eastAsia="仿宋" w:cs="仿宋"/>
          <w:color w:val="000000" w:themeColor="text1"/>
          <w:sz w:val="24"/>
          <w:lang w:bidi="ar"/>
          <w14:textFill>
            <w14:solidFill>
              <w14:schemeClr w14:val="tx1"/>
            </w14:solidFill>
          </w14:textFill>
        </w:rPr>
        <w:t>2023年6月15日，成都市锦江区人民法院（以下简称“锦江法院”）作出（2023）川0104破申9号《民事裁定书》，裁定受理简阳市君晟睿混凝土有限公司对四川海珊建设工程有限公司（以下简称“海珊建设公司”或“债务人”）提出的破产清算申请，并于2023年7月18日作出（2023）川0104破13号《决定书》，指定国浩律师（成都）事务所、天健会计师事务所（特殊普通合伙）四川分所担任管理人（以下合称“管理人”），黄如鑫为负责人。</w:t>
      </w:r>
    </w:p>
    <w:p>
      <w:pPr>
        <w:widowControl/>
        <w:spacing w:before="156" w:beforeLines="50" w:after="156" w:afterLines="50" w:line="400" w:lineRule="exact"/>
        <w:ind w:firstLine="480" w:firstLineChars="2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为加快推进本案进程、实现债权人利益最大化，管理人现面向社会公开招募意向投资人，欢迎有意向的投资人与管理人洽谈后续投资事宜。现特将招募事项公告如下：</w:t>
      </w:r>
    </w:p>
    <w:p>
      <w:pPr>
        <w:widowControl/>
        <w:numPr>
          <w:ilvl w:val="255"/>
          <w:numId w:val="0"/>
        </w:numPr>
        <w:spacing w:before="156" w:beforeLines="50" w:after="156" w:afterLines="50" w:line="400" w:lineRule="exact"/>
        <w:ind w:firstLine="482" w:firstLineChars="200"/>
        <w:jc w:val="both"/>
        <w:rPr>
          <w:rFonts w:ascii="仿宋" w:hAnsi="仿宋" w:eastAsia="仿宋" w:cs="仿宋"/>
          <w:color w:val="000000" w:themeColor="text1"/>
          <w:sz w:val="24"/>
          <w14:textFill>
            <w14:solidFill>
              <w14:schemeClr w14:val="tx1"/>
            </w14:solidFill>
          </w14:textFill>
        </w:rPr>
      </w:pPr>
      <w:r>
        <w:rPr>
          <w:rStyle w:val="12"/>
          <w:rFonts w:hint="eastAsia" w:ascii="仿宋" w:hAnsi="仿宋" w:eastAsia="仿宋" w:cs="仿宋"/>
          <w:kern w:val="0"/>
          <w:sz w:val="24"/>
          <w:lang w:bidi="ar"/>
        </w:rPr>
        <w:t>一、项目主体概况</w:t>
      </w:r>
    </w:p>
    <w:p>
      <w:pPr>
        <w:widowControl/>
        <w:numPr>
          <w:ilvl w:val="255"/>
          <w:numId w:val="0"/>
        </w:numPr>
        <w:spacing w:before="156" w:beforeLines="50" w:after="156" w:afterLines="50" w:line="400" w:lineRule="exact"/>
        <w:ind w:firstLine="480" w:firstLineChars="200"/>
        <w:jc w:val="both"/>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海珊建设公司系经成都市锦江区市场监督管理局登记注册的有限责任公司，成立于2013年9月43日，注册资本为20000万元人民币，工商登记显示未实缴的注册资本为17000万元，法定代表人为斯春晏，登记地址为成都市锦江区东大街下东大街段328号1栋1单元4层408号，股东为赵正彪（持股90%）和斯春晏（10%），经营期限为2013年9月4日至无固定期限，经营范围为许可项目：建设工程施工；住宅室内装饰装修；文物保护工程施工；建筑物拆除作业（爆破作业除外）；建筑劳务分包；建设工程设计；建设工程勘察；测绘服务。（依法须经批准的项目，经相关部门批准后方可开展经营活动，具体经营项目以相关部门批准文件或许可证件为准）一般项目：金属门窗工程施工；土石方工程施工；园林绿化工程施工；体育场地设施工程施工；工程技术服务（规划管理、勘察、设计、监理除外）；土地整治服务；机械设备租赁；水泥制品销售；金属材料销售。（除依法须经批准的项目外，凭营业执照依法自主开展经营活动）</w:t>
      </w:r>
    </w:p>
    <w:p>
      <w:pPr>
        <w:widowControl/>
        <w:numPr>
          <w:ilvl w:val="255"/>
          <w:numId w:val="0"/>
        </w:numPr>
        <w:spacing w:before="156" w:beforeLines="50" w:after="156" w:afterLines="50" w:line="400" w:lineRule="exact"/>
        <w:ind w:firstLine="482" w:firstLineChars="200"/>
        <w:jc w:val="both"/>
        <w:rPr>
          <w:rFonts w:ascii="仿宋" w:hAnsi="仿宋" w:eastAsia="仿宋" w:cs="仿宋"/>
          <w:color w:val="000000" w:themeColor="text1"/>
          <w:sz w:val="24"/>
          <w14:textFill>
            <w14:solidFill>
              <w14:schemeClr w14:val="tx1"/>
            </w14:solidFill>
          </w14:textFill>
        </w:rPr>
      </w:pPr>
      <w:r>
        <w:rPr>
          <w:rStyle w:val="12"/>
          <w:rFonts w:hint="eastAsia" w:ascii="仿宋" w:hAnsi="仿宋" w:eastAsia="仿宋" w:cs="仿宋"/>
          <w:kern w:val="0"/>
          <w:sz w:val="24"/>
          <w:lang w:bidi="ar"/>
        </w:rPr>
        <w:t>二、项目资产情况</w:t>
      </w:r>
    </w:p>
    <w:p>
      <w:pPr>
        <w:widowControl/>
        <w:numPr>
          <w:ilvl w:val="255"/>
          <w:numId w:val="0"/>
        </w:numPr>
        <w:shd w:val="clear" w:color="auto" w:fill="FFFFFF"/>
        <w:spacing w:before="156" w:beforeLines="50" w:after="156" w:afterLines="50" w:line="400" w:lineRule="exact"/>
        <w:ind w:firstLine="480" w:firstLineChars="200"/>
        <w:jc w:val="both"/>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海珊建设公司</w:t>
      </w:r>
      <w:r>
        <w:rPr>
          <w:rFonts w:hint="eastAsia" w:ascii="仿宋" w:hAnsi="仿宋" w:eastAsia="仿宋" w:cs="仿宋"/>
          <w:color w:val="000000" w:themeColor="text1"/>
          <w:sz w:val="24"/>
          <w:lang w:val="en-US" w:eastAsia="zh-CN"/>
          <w14:textFill>
            <w14:solidFill>
              <w14:schemeClr w14:val="tx1"/>
            </w14:solidFill>
          </w14:textFill>
        </w:rPr>
        <w:t>拥有的</w:t>
      </w:r>
      <w:r>
        <w:rPr>
          <w:rFonts w:hint="eastAsia" w:ascii="仿宋" w:hAnsi="仿宋" w:eastAsia="仿宋" w:cs="仿宋"/>
          <w:color w:val="000000" w:themeColor="text1"/>
          <w:sz w:val="24"/>
          <w14:textFill>
            <w14:solidFill>
              <w14:schemeClr w14:val="tx1"/>
            </w14:solidFill>
          </w14:textFill>
        </w:rPr>
        <w:t>19个建筑资质</w:t>
      </w:r>
      <w:r>
        <w:rPr>
          <w:rFonts w:hint="eastAsia" w:ascii="仿宋" w:hAnsi="仿宋" w:eastAsia="仿宋" w:cs="仿宋"/>
          <w:color w:val="000000" w:themeColor="text1"/>
          <w:sz w:val="24"/>
          <w:lang w:val="en-US" w:eastAsia="zh-CN"/>
          <w14:textFill>
            <w14:solidFill>
              <w14:schemeClr w14:val="tx1"/>
            </w14:solidFill>
          </w14:textFill>
        </w:rPr>
        <w:t>作为资产包一</w:t>
      </w:r>
      <w:r>
        <w:rPr>
          <w:rFonts w:ascii="仿宋" w:hAnsi="仿宋" w:eastAsia="仿宋" w:cs="仿宋"/>
          <w:color w:val="000000" w:themeColor="text1"/>
          <w:sz w:val="24"/>
          <w14:textFill>
            <w14:solidFill>
              <w14:schemeClr w14:val="tx1"/>
            </w14:solidFill>
          </w14:textFill>
        </w:rPr>
        <w:t>，</w:t>
      </w:r>
      <w:r>
        <w:rPr>
          <w:rFonts w:hint="eastAsia" w:ascii="仿宋" w:hAnsi="仿宋" w:eastAsia="仿宋" w:cs="仿宋"/>
          <w:color w:val="000000" w:themeColor="text1"/>
          <w:sz w:val="24"/>
          <w:lang w:val="en-US" w:eastAsia="zh-CN"/>
          <w14:textFill>
            <w14:solidFill>
              <w14:schemeClr w14:val="tx1"/>
            </w14:solidFill>
          </w14:textFill>
        </w:rPr>
        <w:t>本次投资仅针对资产包一，</w:t>
      </w:r>
      <w:r>
        <w:rPr>
          <w:rFonts w:hint="eastAsia" w:ascii="仿宋" w:hAnsi="仿宋" w:eastAsia="仿宋" w:cs="仿宋"/>
          <w:color w:val="000000" w:themeColor="text1"/>
          <w:sz w:val="24"/>
          <w14:textFill>
            <w14:solidFill>
              <w14:schemeClr w14:val="tx1"/>
            </w14:solidFill>
          </w14:textFill>
        </w:rPr>
        <w:t>19个建筑资质具体情况如下：</w:t>
      </w:r>
    </w:p>
    <w:tbl>
      <w:tblPr>
        <w:tblStyle w:val="10"/>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837"/>
        <w:gridCol w:w="2448"/>
        <w:gridCol w:w="1750"/>
        <w:gridCol w:w="1753"/>
      </w:tblGrid>
      <w:tr>
        <w:tc>
          <w:tcPr>
            <w:tcW w:w="428"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rPr>
              <w:t>序号</w:t>
            </w:r>
          </w:p>
        </w:tc>
        <w:tc>
          <w:tcPr>
            <w:tcW w:w="1078"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rPr>
              <w:t>资质证书号</w:t>
            </w:r>
          </w:p>
        </w:tc>
        <w:tc>
          <w:tcPr>
            <w:tcW w:w="1436"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rPr>
              <w:t>资质名称</w:t>
            </w:r>
          </w:p>
        </w:tc>
        <w:tc>
          <w:tcPr>
            <w:tcW w:w="1027"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rPr>
              <w:t>发证日期</w:t>
            </w:r>
          </w:p>
        </w:tc>
        <w:tc>
          <w:tcPr>
            <w:tcW w:w="1028"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rPr>
              <w:t>发证有效期</w:t>
            </w:r>
          </w:p>
        </w:tc>
      </w:tr>
      <w:t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restar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D251646314</w:t>
            </w: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建筑装修装饰工程专业承包二级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2023-12-31</w:t>
            </w:r>
          </w:p>
        </w:tc>
      </w:tr>
      <w:t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消防设施工程专业承包二级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2023-12-31</w:t>
            </w:r>
          </w:p>
        </w:tc>
      </w:tr>
      <w:t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城市及道路照明工程专业承包二级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2023-12-31</w:t>
            </w:r>
          </w:p>
        </w:tc>
      </w:tr>
      <w:t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rPr>
              <w:t>市政公用工程施工总承包二级</w:t>
            </w:r>
          </w:p>
        </w:tc>
        <w:tc>
          <w:tcPr>
            <w:tcW w:w="1027"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shd w:val="clear" w:color="auto" w:fill="FFFFFF"/>
              </w:rPr>
              <w:t>2023-12-31</w:t>
            </w:r>
          </w:p>
        </w:tc>
      </w:tr>
      <w:t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地基其础工程专业承包二级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2023-12-31</w:t>
            </w:r>
          </w:p>
        </w:tc>
      </w:tr>
      <w:t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建筑幕墙工程专业承包二级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rPr>
              <w:t>建筑工程施工总承包二级</w:t>
            </w:r>
          </w:p>
        </w:tc>
        <w:tc>
          <w:tcPr>
            <w:tcW w:w="1027"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b/>
                <w:bCs/>
                <w:sz w:val="24"/>
                <w:szCs w:val="24"/>
              </w:rPr>
            </w:pPr>
            <w:r>
              <w:rPr>
                <w:rFonts w:hint="eastAsia" w:ascii="仿宋" w:hAnsi="仿宋" w:eastAsia="仿宋" w:cs="仿宋"/>
                <w:b/>
                <w:bCs/>
                <w:sz w:val="24"/>
                <w:szCs w:val="24"/>
                <w:shd w:val="clear" w:color="auto" w:fill="FFFFFF"/>
              </w:rPr>
              <w:t>2023-12-31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防水防腐保温工程专业承包二级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restar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D351512352</w:t>
            </w: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公路路基工程专业承包三级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隧道工程专业承包三级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公路路面工程专业承包三级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公路工程施工总承包三级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河湖整治工程专业承包三级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水利水电机电安装工程专业承包三级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模板脚手架专业承包不分等级</w:t>
            </w:r>
          </w:p>
        </w:tc>
        <w:tc>
          <w:tcPr>
            <w:tcW w:w="1027"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水利水电工程施工总承包三级</w:t>
            </w:r>
          </w:p>
        </w:tc>
        <w:tc>
          <w:tcPr>
            <w:tcW w:w="1027"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桥梁工程专业承包三级</w:t>
            </w:r>
          </w:p>
        </w:tc>
        <w:tc>
          <w:tcPr>
            <w:tcW w:w="1027"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vMerge w:val="continue"/>
            <w:tcBorders>
              <w:tl2br w:val="nil"/>
              <w:tr2bl w:val="nil"/>
            </w:tcBorders>
          </w:tcPr>
          <w:p>
            <w:pPr>
              <w:pStyle w:val="2"/>
              <w:spacing w:after="0" w:line="400" w:lineRule="exact"/>
              <w:rPr>
                <w:rFonts w:ascii="仿宋" w:hAnsi="仿宋" w:eastAsia="仿宋" w:cs="仿宋"/>
                <w:sz w:val="24"/>
                <w:szCs w:val="24"/>
              </w:rPr>
            </w:pP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钢结构工程专业承包三级</w:t>
            </w:r>
          </w:p>
        </w:tc>
        <w:tc>
          <w:tcPr>
            <w:tcW w:w="1027"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2023-04-27</w:t>
            </w:r>
          </w:p>
        </w:tc>
        <w:tc>
          <w:tcPr>
            <w:tcW w:w="1028"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2024-12-31</w:t>
            </w:r>
          </w:p>
        </w:tc>
      </w:tr>
      <w:tr>
        <w:trPr>
          <w:trHeight w:val="729" w:hRule="atLeast"/>
        </w:trPr>
        <w:tc>
          <w:tcPr>
            <w:tcW w:w="428" w:type="pct"/>
            <w:tcBorders>
              <w:tl2br w:val="nil"/>
              <w:tr2bl w:val="nil"/>
            </w:tcBorders>
          </w:tcPr>
          <w:p>
            <w:pPr>
              <w:pStyle w:val="2"/>
              <w:numPr>
                <w:ilvl w:val="0"/>
                <w:numId w:val="1"/>
              </w:numPr>
              <w:spacing w:after="0" w:line="400" w:lineRule="exact"/>
              <w:rPr>
                <w:rFonts w:ascii="仿宋" w:hAnsi="仿宋" w:eastAsia="仿宋" w:cs="仿宋"/>
                <w:sz w:val="24"/>
                <w:szCs w:val="24"/>
              </w:rPr>
            </w:pPr>
          </w:p>
        </w:tc>
        <w:tc>
          <w:tcPr>
            <w:tcW w:w="1078"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川劳备510137982号</w:t>
            </w:r>
          </w:p>
        </w:tc>
        <w:tc>
          <w:tcPr>
            <w:tcW w:w="1436" w:type="pct"/>
            <w:tcBorders>
              <w:tl2br w:val="nil"/>
              <w:tr2bl w:val="nil"/>
            </w:tcBorders>
          </w:tcPr>
          <w:p>
            <w:pPr>
              <w:pStyle w:val="2"/>
              <w:spacing w:after="0" w:line="400" w:lineRule="exact"/>
              <w:rPr>
                <w:rFonts w:ascii="仿宋" w:hAnsi="仿宋" w:eastAsia="仿宋" w:cs="仿宋"/>
                <w:sz w:val="24"/>
                <w:szCs w:val="24"/>
              </w:rPr>
            </w:pPr>
            <w:r>
              <w:rPr>
                <w:rFonts w:hint="eastAsia" w:ascii="仿宋" w:hAnsi="仿宋" w:eastAsia="仿宋" w:cs="仿宋"/>
                <w:sz w:val="24"/>
                <w:szCs w:val="24"/>
              </w:rPr>
              <w:t>施工劳务不分等级</w:t>
            </w:r>
          </w:p>
        </w:tc>
        <w:tc>
          <w:tcPr>
            <w:tcW w:w="1027"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2023-06-06</w:t>
            </w:r>
          </w:p>
        </w:tc>
        <w:tc>
          <w:tcPr>
            <w:tcW w:w="1028" w:type="pct"/>
            <w:tcBorders>
              <w:tl2br w:val="nil"/>
              <w:tr2bl w:val="nil"/>
            </w:tcBorders>
          </w:tcPr>
          <w:p>
            <w:pPr>
              <w:pStyle w:val="2"/>
              <w:spacing w:after="0" w:line="400" w:lineRule="exact"/>
              <w:rPr>
                <w:rFonts w:ascii="仿宋" w:hAnsi="仿宋" w:eastAsia="仿宋" w:cs="仿宋"/>
                <w:sz w:val="24"/>
                <w:szCs w:val="24"/>
                <w:shd w:val="clear" w:color="auto" w:fill="FFFFFF"/>
              </w:rPr>
            </w:pPr>
            <w:r>
              <w:rPr>
                <w:rFonts w:hint="eastAsia" w:ascii="仿宋" w:hAnsi="仿宋" w:eastAsia="仿宋" w:cs="仿宋"/>
                <w:sz w:val="24"/>
                <w:szCs w:val="24"/>
                <w:shd w:val="clear" w:color="auto" w:fill="FFFFFF"/>
              </w:rPr>
              <w:t>2028-06-06</w:t>
            </w:r>
          </w:p>
        </w:tc>
      </w:tr>
    </w:tbl>
    <w:p>
      <w:pPr>
        <w:widowControl/>
        <w:numPr>
          <w:ilvl w:val="255"/>
          <w:numId w:val="0"/>
        </w:numPr>
        <w:shd w:val="clear" w:color="auto" w:fill="FFFFFF"/>
        <w:spacing w:before="156" w:beforeLines="50" w:after="156" w:afterLines="50" w:line="400" w:lineRule="exact"/>
        <w:jc w:val="left"/>
        <w:rPr>
          <w:rFonts w:ascii="仿宋" w:hAnsi="仿宋" w:eastAsia="仿宋" w:cs="仿宋"/>
          <w:color w:val="000000" w:themeColor="text1"/>
          <w:sz w:val="24"/>
          <w14:textFill>
            <w14:solidFill>
              <w14:schemeClr w14:val="tx1"/>
            </w14:solidFill>
          </w14:textFill>
        </w:rPr>
      </w:pPr>
    </w:p>
    <w:p>
      <w:pPr>
        <w:widowControl/>
        <w:shd w:val="clear" w:color="auto" w:fill="FFFFFF"/>
        <w:spacing w:before="156" w:beforeLines="50" w:after="156" w:afterLines="50" w:line="400" w:lineRule="exact"/>
        <w:ind w:firstLine="482" w:firstLineChars="200"/>
        <w:jc w:val="both"/>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需要特别说明的是：本次投资后仅取得海珊建设公司所有的建筑资质，即除把</w:t>
      </w:r>
      <w:r>
        <w:rPr>
          <w:rFonts w:ascii="仿宋" w:hAnsi="仿宋" w:eastAsia="仿宋" w:cs="仿宋"/>
          <w:b/>
          <w:bCs/>
          <w:color w:val="000000" w:themeColor="text1"/>
          <w:sz w:val="24"/>
          <w14:textFill>
            <w14:solidFill>
              <w14:schemeClr w14:val="tx1"/>
            </w14:solidFill>
          </w14:textFill>
        </w:rPr>
        <w:t>19个建筑资质保留在海珊建设公司外，其余资产</w:t>
      </w:r>
      <w:r>
        <w:rPr>
          <w:rFonts w:hint="eastAsia" w:ascii="仿宋" w:hAnsi="仿宋" w:eastAsia="仿宋" w:cs="仿宋"/>
          <w:b/>
          <w:bCs/>
          <w:color w:val="000000" w:themeColor="text1"/>
          <w:sz w:val="24"/>
          <w14:textFill>
            <w14:solidFill>
              <w14:schemeClr w14:val="tx1"/>
            </w14:solidFill>
          </w14:textFill>
        </w:rPr>
        <w:t>作为资产包二，资产范围为除却建筑资质外的其他无形资产、有形资产、应收类债权等有价值的破产财产（具体以管理人核查的资产结果为准）。资产包二不作为本次投资项目范围，继续保留在海珊建设公司，由管理人继续追收并处置相关资产，处置所得款项由管理人依法分配，处置时限不超过两年，具体以投资协议签订期限为准，投资人须予以配合。</w:t>
      </w:r>
    </w:p>
    <w:p>
      <w:pPr>
        <w:widowControl/>
        <w:spacing w:before="156" w:beforeLines="50" w:after="156" w:afterLines="50" w:line="400" w:lineRule="exact"/>
        <w:jc w:val="both"/>
        <w:rPr>
          <w:rStyle w:val="12"/>
          <w:rFonts w:ascii="仿宋" w:hAnsi="仿宋" w:eastAsia="仿宋" w:cs="仿宋"/>
          <w:kern w:val="0"/>
          <w:sz w:val="24"/>
          <w:lang w:bidi="ar"/>
        </w:rPr>
      </w:pPr>
      <w:r>
        <w:rPr>
          <w:rStyle w:val="12"/>
          <w:rFonts w:hint="eastAsia" w:ascii="仿宋" w:hAnsi="仿宋" w:eastAsia="仿宋" w:cs="仿宋"/>
          <w:kern w:val="0"/>
          <w:sz w:val="24"/>
          <w:lang w:bidi="ar"/>
        </w:rPr>
        <w:t>三、投资方式</w:t>
      </w:r>
    </w:p>
    <w:p>
      <w:pPr>
        <w:pStyle w:val="7"/>
        <w:widowControl/>
        <w:pBdr>
          <w:top w:val="none" w:color="FF0000" w:sz="0" w:space="0"/>
          <w:left w:val="none" w:color="FF0000" w:sz="0" w:space="0"/>
          <w:bottom w:val="none" w:color="FF0000" w:sz="0" w:space="0"/>
          <w:right w:val="none" w:color="FF0000" w:sz="0" w:space="0"/>
        </w:pBdr>
        <w:shd w:val="clear" w:color="auto" w:fill="FFFFFF"/>
        <w:spacing w:before="156" w:beforeLines="50" w:beforeAutospacing="0" w:after="156" w:afterLines="50" w:afterAutospacing="0" w:line="400" w:lineRule="exact"/>
        <w:ind w:firstLine="480" w:firstLineChars="20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鉴于海珊建设公司资产的实际状况，本次采取股权投资方式，即由投资人通过购买海珊建设公司股权的方式最终取得海珊建设公司资质资产。</w:t>
      </w:r>
    </w:p>
    <w:p>
      <w:pPr>
        <w:widowControl/>
        <w:pBdr>
          <w:top w:val="none" w:color="FF0000" w:sz="0" w:space="0"/>
          <w:left w:val="none" w:color="FF0000" w:sz="0" w:space="0"/>
          <w:bottom w:val="none" w:color="FF0000" w:sz="0" w:space="0"/>
          <w:right w:val="none" w:color="FF0000" w:sz="0" w:space="0"/>
        </w:pBdr>
        <w:shd w:val="clear" w:color="auto" w:fill="FFFFFF"/>
        <w:spacing w:before="156" w:beforeLines="50" w:after="156" w:afterLines="50" w:line="400" w:lineRule="exact"/>
        <w:ind w:firstLine="480" w:firstLineChars="200"/>
        <w:rPr>
          <w:rFonts w:ascii="仿宋" w:hAnsi="仿宋" w:eastAsia="仿宋" w:cs="仿宋"/>
          <w:color w:val="000000" w:themeColor="text1"/>
          <w:spacing w:val="15"/>
          <w:shd w:val="clear" w:color="auto" w:fill="FFFFFF"/>
          <w14:textFill>
            <w14:solidFill>
              <w14:schemeClr w14:val="tx1"/>
            </w14:solidFill>
          </w14:textFill>
        </w:rPr>
      </w:pPr>
      <w:r>
        <w:rPr>
          <w:rFonts w:ascii="仿宋" w:hAnsi="仿宋" w:eastAsia="仿宋" w:cs="仿宋"/>
          <w:color w:val="000000" w:themeColor="text1"/>
          <w:sz w:val="24"/>
          <w14:textFill>
            <w14:solidFill>
              <w14:schemeClr w14:val="tx1"/>
            </w14:solidFill>
          </w14:textFill>
        </w:rPr>
        <w:t>投资人取得海珊建设公司</w:t>
      </w:r>
      <w:r>
        <w:rPr>
          <w:rFonts w:hint="eastAsia" w:ascii="仿宋" w:hAnsi="仿宋" w:eastAsia="仿宋" w:cs="仿宋"/>
          <w:color w:val="000000" w:themeColor="text1"/>
          <w:sz w:val="24"/>
          <w14:textFill>
            <w14:solidFill>
              <w14:schemeClr w14:val="tx1"/>
            </w14:solidFill>
          </w14:textFill>
        </w:rPr>
        <w:t>股权</w:t>
      </w:r>
      <w:r>
        <w:rPr>
          <w:rFonts w:ascii="仿宋" w:hAnsi="仿宋" w:eastAsia="仿宋" w:cs="仿宋"/>
          <w:color w:val="000000" w:themeColor="text1"/>
          <w:sz w:val="24"/>
          <w14:textFill>
            <w14:solidFill>
              <w14:schemeClr w14:val="tx1"/>
            </w14:solidFill>
          </w14:textFill>
        </w:rPr>
        <w:t>后，</w:t>
      </w:r>
      <w:r>
        <w:rPr>
          <w:rFonts w:hint="eastAsia" w:ascii="仿宋" w:hAnsi="仿宋" w:eastAsia="仿宋" w:cs="仿宋"/>
          <w:color w:val="000000" w:themeColor="text1"/>
          <w:sz w:val="24"/>
          <w14:textFill>
            <w14:solidFill>
              <w14:schemeClr w14:val="tx1"/>
            </w14:solidFill>
          </w14:textFill>
        </w:rPr>
        <w:t>海珊建设公司债权人</w:t>
      </w:r>
      <w:r>
        <w:rPr>
          <w:rFonts w:ascii="仿宋" w:hAnsi="仿宋" w:eastAsia="仿宋" w:cs="仿宋"/>
          <w:color w:val="000000" w:themeColor="text1"/>
          <w:sz w:val="24"/>
          <w14:textFill>
            <w14:solidFill>
              <w14:schemeClr w14:val="tx1"/>
            </w14:solidFill>
          </w14:textFill>
        </w:rPr>
        <w:t>在破产程序中已向管理人申报的债权，由管理人在破产程序中根据相关的分配方案进行清偿。在破产程序终结后，债权人通过破产分配未得到清偿的债权不再予以清偿，海珊建设公司未偿清余债的责任依法免除。</w:t>
      </w:r>
    </w:p>
    <w:p>
      <w:pPr>
        <w:widowControl/>
        <w:spacing w:before="156" w:beforeLines="50" w:after="156" w:afterLines="50" w:line="400" w:lineRule="exact"/>
        <w:jc w:val="both"/>
        <w:rPr>
          <w:rFonts w:ascii="仿宋" w:hAnsi="仿宋" w:eastAsia="仿宋" w:cs="仿宋"/>
          <w:color w:val="222222"/>
          <w:spacing w:val="8"/>
          <w:sz w:val="24"/>
        </w:rPr>
      </w:pPr>
      <w:r>
        <w:rPr>
          <w:rStyle w:val="12"/>
          <w:rFonts w:hint="eastAsia" w:ascii="仿宋" w:hAnsi="仿宋" w:eastAsia="仿宋" w:cs="仿宋"/>
          <w:kern w:val="0"/>
          <w:sz w:val="24"/>
          <w:lang w:bidi="ar"/>
        </w:rPr>
        <w:t>四、投资人应具备的资格条件</w:t>
      </w:r>
    </w:p>
    <w:p>
      <w:pPr>
        <w:spacing w:before="156" w:beforeLines="50" w:after="156" w:afterLines="50" w:line="400" w:lineRule="exact"/>
        <w:ind w:firstLine="480" w:firstLineChars="200"/>
        <w:jc w:val="both"/>
        <w:rPr>
          <w:rFonts w:ascii="仿宋" w:hAnsi="仿宋" w:eastAsia="仿宋" w:cs="仿宋"/>
          <w:color w:val="000000" w:themeColor="text1"/>
          <w:sz w:val="24"/>
          <w:lang w:bidi="ar"/>
          <w14:textFill>
            <w14:solidFill>
              <w14:schemeClr w14:val="tx1"/>
            </w14:solidFill>
          </w14:textFill>
        </w:rPr>
      </w:pPr>
      <w:r>
        <w:rPr>
          <w:rFonts w:hint="eastAsia" w:ascii="仿宋" w:hAnsi="仿宋" w:eastAsia="仿宋" w:cs="仿宋"/>
          <w:color w:val="000000" w:themeColor="text1"/>
          <w:sz w:val="24"/>
          <w:lang w:bidi="ar"/>
          <w14:textFill>
            <w14:solidFill>
              <w14:schemeClr w14:val="tx1"/>
            </w14:solidFill>
          </w14:textFill>
        </w:rPr>
        <w:t>1.意向投资人应当为自然人或者依法设立并有效存续的法人或其他组织；</w:t>
      </w:r>
    </w:p>
    <w:p>
      <w:pPr>
        <w:spacing w:before="156" w:beforeLines="50" w:after="156" w:afterLines="50" w:line="400" w:lineRule="exact"/>
        <w:ind w:firstLine="480" w:firstLineChars="200"/>
        <w:jc w:val="both"/>
        <w:rPr>
          <w:rFonts w:ascii="仿宋" w:hAnsi="仿宋" w:eastAsia="仿宋" w:cs="仿宋"/>
          <w:color w:val="000000" w:themeColor="text1"/>
          <w:sz w:val="24"/>
          <w:lang w:bidi="ar"/>
          <w14:textFill>
            <w14:solidFill>
              <w14:schemeClr w14:val="tx1"/>
            </w14:solidFill>
          </w14:textFill>
        </w:rPr>
      </w:pPr>
      <w:r>
        <w:rPr>
          <w:rFonts w:hint="eastAsia" w:ascii="仿宋" w:hAnsi="仿宋" w:eastAsia="仿宋" w:cs="仿宋"/>
          <w:color w:val="000000" w:themeColor="text1"/>
          <w:sz w:val="24"/>
          <w:lang w:bidi="ar"/>
          <w14:textFill>
            <w14:solidFill>
              <w14:schemeClr w14:val="tx1"/>
            </w14:solidFill>
          </w14:textFill>
        </w:rPr>
        <w:t>2.意向投资人应具有拥有足够的资金实力，财务状况良好，能出具相应资信实力证明或其他履约能力证明，拥有足够的资金实力参与本项目重整投资；</w:t>
      </w:r>
    </w:p>
    <w:p>
      <w:pPr>
        <w:spacing w:before="156" w:beforeLines="50" w:after="156" w:afterLines="50" w:line="400" w:lineRule="exact"/>
        <w:ind w:firstLine="480" w:firstLineChars="200"/>
        <w:jc w:val="both"/>
        <w:rPr>
          <w:rFonts w:ascii="仿宋" w:hAnsi="仿宋" w:eastAsia="仿宋" w:cs="仿宋"/>
          <w:color w:val="000000" w:themeColor="text1"/>
          <w:sz w:val="24"/>
          <w:lang w:bidi="ar"/>
          <w14:textFill>
            <w14:solidFill>
              <w14:schemeClr w14:val="tx1"/>
            </w14:solidFill>
          </w14:textFill>
        </w:rPr>
      </w:pPr>
      <w:r>
        <w:rPr>
          <w:rFonts w:hint="eastAsia" w:ascii="仿宋" w:hAnsi="仿宋" w:eastAsia="仿宋" w:cs="仿宋"/>
          <w:color w:val="000000" w:themeColor="text1"/>
          <w:sz w:val="24"/>
          <w:lang w:bidi="ar"/>
          <w14:textFill>
            <w14:solidFill>
              <w14:schemeClr w14:val="tx1"/>
            </w14:solidFill>
          </w14:textFill>
        </w:rPr>
        <w:t>3.意向投资人认可管理人发布的招募条件及招募流程等，承诺对管理人所提供的信息承担保密义务；</w:t>
      </w:r>
    </w:p>
    <w:p>
      <w:pPr>
        <w:spacing w:before="156" w:beforeLines="50" w:after="156" w:afterLines="50" w:line="400" w:lineRule="exact"/>
        <w:ind w:firstLine="480" w:firstLineChars="200"/>
        <w:jc w:val="both"/>
        <w:rPr>
          <w:rFonts w:ascii="仿宋" w:hAnsi="仿宋" w:eastAsia="仿宋" w:cs="仿宋"/>
          <w:color w:val="000000" w:themeColor="text1"/>
          <w:sz w:val="24"/>
          <w:lang w:bidi="ar"/>
          <w14:textFill>
            <w14:solidFill>
              <w14:schemeClr w14:val="tx1"/>
            </w14:solidFill>
          </w14:textFill>
        </w:rPr>
      </w:pPr>
      <w:r>
        <w:rPr>
          <w:rFonts w:hint="eastAsia" w:ascii="仿宋" w:hAnsi="仿宋" w:eastAsia="仿宋" w:cs="仿宋"/>
          <w:color w:val="000000" w:themeColor="text1"/>
          <w:sz w:val="24"/>
          <w:lang w:bidi="ar"/>
          <w14:textFill>
            <w14:solidFill>
              <w14:schemeClr w14:val="tx1"/>
            </w14:solidFill>
          </w14:textFill>
        </w:rPr>
        <w:t>4.自愿遵守招募公告及重整投资系列文件对其权利义务的安排和约束。</w:t>
      </w:r>
    </w:p>
    <w:p>
      <w:pPr>
        <w:pStyle w:val="7"/>
        <w:shd w:val="clear" w:color="auto" w:fill="FFFFFF"/>
        <w:spacing w:before="156" w:beforeLines="50" w:beforeAutospacing="0" w:after="156" w:afterLines="50" w:afterAutospacing="0" w:line="400" w:lineRule="exact"/>
        <w:jc w:val="both"/>
        <w:rPr>
          <w:rFonts w:ascii="仿宋" w:hAnsi="仿宋" w:eastAsia="仿宋" w:cs="仿宋"/>
          <w:color w:val="222222"/>
          <w:spacing w:val="15"/>
        </w:rPr>
      </w:pPr>
      <w:r>
        <w:rPr>
          <w:rStyle w:val="12"/>
          <w:rFonts w:hint="eastAsia" w:ascii="仿宋" w:hAnsi="仿宋" w:eastAsia="仿宋" w:cs="仿宋"/>
          <w:lang w:bidi="ar"/>
        </w:rPr>
        <w:t>五、投资人报名要求</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符合以上条件的意向投资人，应当在2023年11月15日12:00前（管理人收到资料的时间）向管理人报名并提交以下资料：</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1.投资人主体资格材料（若投资人为自然人的，应提交签名并捺印的身份证复印件；若投资人为法人的，应提交加盖公章的营业执照复印件、法定代表人身份证明文件、授权委托书）；</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2.信用承诺书（详见附件1）；</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3.保密承诺书（详见附件2）；</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4.报价函（详见附件3），本次报价经报债权人同意不设置投资底价，由投资人按照资质市场定价进行报价，支付周期不超过3个月（以投资协议签订之日起算）；</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5.按照要求提交缴纳保证金的证明材料；</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6.重整投资方案，要求具体可操作性、可实现性并符合本公告的全部内容。</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报名资料一式贰份（需密封），可以现场或者通过邮寄方式提交给管理人。意向投资人未及时、按要求提交前述资料的，不得参与本项目招募工作。</w:t>
      </w:r>
    </w:p>
    <w:p>
      <w:pPr>
        <w:widowControl/>
        <w:spacing w:before="156" w:beforeLines="50" w:after="156" w:afterLines="50" w:line="400" w:lineRule="exact"/>
        <w:jc w:val="both"/>
        <w:rPr>
          <w:rFonts w:ascii="仿宋" w:hAnsi="仿宋" w:eastAsia="仿宋" w:cs="仿宋"/>
          <w:color w:val="222222"/>
          <w:spacing w:val="15"/>
          <w:sz w:val="24"/>
        </w:rPr>
      </w:pPr>
      <w:r>
        <w:rPr>
          <w:rStyle w:val="12"/>
          <w:rFonts w:hint="eastAsia" w:ascii="仿宋" w:hAnsi="仿宋" w:eastAsia="仿宋" w:cs="仿宋"/>
          <w:kern w:val="0"/>
          <w:sz w:val="24"/>
          <w:lang w:bidi="ar"/>
        </w:rPr>
        <w:t>六、报名保证金的收取与退还事宜</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1.在报名截止前向管理人账户缴纳保证金10万元（大写：人民币拾万元整），否则视为放弃报名。</w:t>
      </w:r>
    </w:p>
    <w:p>
      <w:pPr>
        <w:pStyle w:val="7"/>
        <w:widowControl/>
        <w:spacing w:before="156" w:beforeLines="50" w:beforeAutospacing="0" w:after="156" w:afterLines="50" w:afterAutospacing="0" w:line="400" w:lineRule="exact"/>
        <w:ind w:firstLine="240" w:firstLineChars="100"/>
        <w:jc w:val="both"/>
        <w:rPr>
          <w:rStyle w:val="12"/>
          <w:rFonts w:ascii="仿宋" w:hAnsi="仿宋" w:eastAsia="仿宋" w:cs="仿宋"/>
          <w:b w:val="0"/>
          <w:bCs/>
          <w:kern w:val="2"/>
          <w:sz w:val="21"/>
        </w:rPr>
      </w:pPr>
      <w:r>
        <w:rPr>
          <w:rStyle w:val="12"/>
          <w:rFonts w:hint="eastAsia" w:ascii="仿宋" w:hAnsi="仿宋" w:eastAsia="仿宋" w:cs="仿宋"/>
          <w:b w:val="0"/>
          <w:bCs/>
        </w:rPr>
        <w:t>指定账户信息如下：</w:t>
      </w:r>
    </w:p>
    <w:p>
      <w:pPr>
        <w:pStyle w:val="7"/>
        <w:widowControl/>
        <w:spacing w:before="156" w:beforeLines="50" w:beforeAutospacing="0" w:after="156" w:afterLines="50" w:afterAutospacing="0" w:line="400" w:lineRule="exact"/>
        <w:ind w:firstLine="420"/>
        <w:jc w:val="both"/>
        <w:rPr>
          <w:rFonts w:ascii="仿宋" w:hAnsi="仿宋" w:eastAsia="仿宋" w:cs="仿宋"/>
        </w:rPr>
      </w:pPr>
      <w:r>
        <w:rPr>
          <w:rFonts w:hint="eastAsia" w:ascii="仿宋" w:hAnsi="仿宋" w:eastAsia="仿宋" w:cs="仿宋"/>
          <w:color w:val="232222"/>
        </w:rPr>
        <w:t>户名：四川海珊建设工程有限公司管理人</w:t>
      </w:r>
    </w:p>
    <w:p>
      <w:pPr>
        <w:pStyle w:val="7"/>
        <w:widowControl/>
        <w:spacing w:before="156" w:beforeLines="50" w:beforeAutospacing="0" w:after="156" w:afterLines="50" w:afterAutospacing="0" w:line="400" w:lineRule="exact"/>
        <w:ind w:firstLine="420"/>
        <w:jc w:val="both"/>
        <w:rPr>
          <w:rFonts w:ascii="仿宋" w:hAnsi="仿宋" w:eastAsia="仿宋" w:cs="仿宋"/>
        </w:rPr>
      </w:pPr>
      <w:r>
        <w:rPr>
          <w:rFonts w:hint="eastAsia" w:ascii="仿宋" w:hAnsi="仿宋" w:eastAsia="仿宋" w:cs="仿宋"/>
          <w:color w:val="232222"/>
        </w:rPr>
        <w:t>账号：03005457757</w:t>
      </w:r>
    </w:p>
    <w:p>
      <w:pPr>
        <w:pStyle w:val="7"/>
        <w:widowControl/>
        <w:spacing w:before="156" w:beforeLines="50" w:beforeAutospacing="0" w:after="156" w:afterLines="50" w:afterAutospacing="0" w:line="400" w:lineRule="exact"/>
        <w:ind w:firstLine="420"/>
        <w:jc w:val="both"/>
        <w:rPr>
          <w:rFonts w:ascii="仿宋" w:hAnsi="仿宋" w:eastAsia="仿宋" w:cs="仿宋"/>
          <w:spacing w:val="15"/>
        </w:rPr>
      </w:pPr>
      <w:r>
        <w:rPr>
          <w:rFonts w:hint="eastAsia" w:ascii="仿宋" w:hAnsi="仿宋" w:eastAsia="仿宋" w:cs="仿宋"/>
          <w:color w:val="232222"/>
        </w:rPr>
        <w:t>开户行：上海银行成都高新支行</w:t>
      </w:r>
    </w:p>
    <w:p>
      <w:pPr>
        <w:pStyle w:val="7"/>
        <w:widowControl/>
        <w:spacing w:before="156" w:beforeLines="50" w:beforeAutospacing="0" w:after="156" w:afterLines="50" w:afterAutospacing="0" w:line="400" w:lineRule="exact"/>
        <w:ind w:firstLine="240" w:firstLineChars="100"/>
        <w:jc w:val="both"/>
        <w:rPr>
          <w:rStyle w:val="12"/>
          <w:rFonts w:ascii="仿宋" w:hAnsi="仿宋" w:eastAsia="仿宋" w:cs="仿宋"/>
          <w:b w:val="0"/>
          <w:bCs/>
          <w:kern w:val="2"/>
          <w:sz w:val="21"/>
        </w:rPr>
      </w:pPr>
      <w:r>
        <w:rPr>
          <w:rStyle w:val="12"/>
          <w:rFonts w:hint="eastAsia" w:ascii="仿宋" w:hAnsi="仿宋" w:eastAsia="仿宋" w:cs="仿宋"/>
          <w:b w:val="0"/>
          <w:bCs/>
        </w:rPr>
        <w:t>汇款时请注明钱款用途为海珊建设公司投资项目保证金。</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2、意向投资人在报名截止时间前书面撤回已提交的报名文件或者经评选未被确定为投资人的，管理人将在评选结果确定后五个工作日内全额无息退还意向投资人在报名时缴纳的保证金；</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000000" w:themeColor="text1"/>
          <w:kern w:val="2"/>
          <w14:textFill>
            <w14:solidFill>
              <w14:schemeClr w14:val="tx1"/>
            </w14:solidFill>
          </w14:textFill>
        </w:rPr>
      </w:pPr>
      <w:r>
        <w:rPr>
          <w:rFonts w:hint="eastAsia" w:ascii="仿宋" w:hAnsi="仿宋" w:eastAsia="仿宋" w:cs="仿宋"/>
          <w:color w:val="000000" w:themeColor="text1"/>
          <w:kern w:val="2"/>
          <w14:textFill>
            <w14:solidFill>
              <w14:schemeClr w14:val="tx1"/>
            </w14:solidFill>
          </w14:textFill>
        </w:rPr>
        <w:t>3、意向投资人经评选被确定为投资人的，因投资人自身原因未及时签订投资协议及相关文件或者未按照约定及时支付投资款的，则不予退还其缴纳的保证金；</w:t>
      </w:r>
    </w:p>
    <w:p>
      <w:pPr>
        <w:pStyle w:val="7"/>
        <w:widowControl/>
        <w:shd w:val="clear" w:color="auto" w:fill="FFFFFF"/>
        <w:spacing w:before="156" w:beforeLines="50" w:beforeAutospacing="0" w:after="156" w:afterLines="50" w:afterAutospacing="0" w:line="400" w:lineRule="exact"/>
        <w:ind w:firstLine="420"/>
        <w:jc w:val="both"/>
        <w:rPr>
          <w:rFonts w:ascii="仿宋" w:hAnsi="仿宋" w:eastAsia="仿宋" w:cs="仿宋"/>
          <w:color w:val="232222"/>
        </w:rPr>
      </w:pPr>
      <w:r>
        <w:rPr>
          <w:rFonts w:hint="eastAsia" w:ascii="仿宋" w:hAnsi="仿宋" w:eastAsia="仿宋" w:cs="仿宋"/>
          <w:color w:val="000000" w:themeColor="text1"/>
          <w:kern w:val="2"/>
          <w14:textFill>
            <w14:solidFill>
              <w14:schemeClr w14:val="tx1"/>
            </w14:solidFill>
          </w14:textFill>
        </w:rPr>
        <w:t>4、若本次招募顺利确定投资人，届时债务人将向法院申请本案转重整，投资人将作为海珊建设公司重整意向投资人。在重整程序中，若《重整计划草案》与本公告载明的投资方式、投资人资格条件等有实质性调整的，管理人将在重整计划草案经债权人会议表决后及时与重整投资人进行协商，若投资人无意愿按照重整计划草案载明的调整后的内容继续参与投资的，管理人将在投资人明确不再参与海珊建设公司重整投资的书面文件后5日内无息退还其缴纳的保证金；若重整计划草案最终未获债权人会议表决通过或者未获人民法院裁定批准的，管理人自人民法院作出裁定之日起五个工作日内全额无息退还中选投资人所交纳的报名保证金。</w:t>
      </w:r>
    </w:p>
    <w:p>
      <w:pPr>
        <w:pStyle w:val="7"/>
        <w:widowControl/>
        <w:spacing w:before="156" w:beforeLines="50" w:beforeAutospacing="0" w:after="156" w:afterLines="50" w:afterAutospacing="0" w:line="400" w:lineRule="exact"/>
        <w:jc w:val="both"/>
        <w:rPr>
          <w:rFonts w:ascii="仿宋" w:hAnsi="仿宋" w:eastAsia="仿宋" w:cs="仿宋"/>
        </w:rPr>
      </w:pPr>
      <w:r>
        <w:rPr>
          <w:rStyle w:val="12"/>
          <w:rFonts w:hint="eastAsia" w:ascii="仿宋" w:hAnsi="仿宋" w:eastAsia="仿宋" w:cs="仿宋"/>
        </w:rPr>
        <w:t>七、管理人联系方式</w:t>
      </w:r>
    </w:p>
    <w:p>
      <w:pPr>
        <w:pStyle w:val="7"/>
        <w:widowControl/>
        <w:spacing w:before="156" w:beforeLines="50" w:beforeAutospacing="0" w:after="156" w:afterLines="50" w:afterAutospacing="0" w:line="400" w:lineRule="exact"/>
        <w:ind w:firstLine="420"/>
        <w:jc w:val="both"/>
        <w:rPr>
          <w:rStyle w:val="12"/>
          <w:rFonts w:ascii="仿宋" w:hAnsi="仿宋" w:eastAsia="仿宋" w:cs="仿宋"/>
          <w:color w:val="232222"/>
        </w:rPr>
      </w:pPr>
      <w:r>
        <w:rPr>
          <w:rStyle w:val="12"/>
          <w:rFonts w:hint="eastAsia" w:ascii="仿宋" w:hAnsi="仿宋" w:eastAsia="仿宋" w:cs="仿宋"/>
          <w:color w:val="232222"/>
        </w:rPr>
        <w:t>联系人：</w:t>
      </w:r>
    </w:p>
    <w:p>
      <w:pPr>
        <w:pStyle w:val="7"/>
        <w:widowControl/>
        <w:spacing w:before="156" w:beforeLines="50" w:beforeAutospacing="0" w:after="156" w:afterLines="50" w:afterAutospacing="0" w:line="400" w:lineRule="exact"/>
        <w:ind w:firstLine="420"/>
        <w:jc w:val="both"/>
        <w:rPr>
          <w:rStyle w:val="12"/>
          <w:rFonts w:ascii="仿宋" w:hAnsi="仿宋" w:eastAsia="仿宋" w:cs="仿宋"/>
          <w:b w:val="0"/>
          <w:bCs/>
          <w:color w:val="232222"/>
        </w:rPr>
      </w:pPr>
      <w:r>
        <w:rPr>
          <w:rStyle w:val="12"/>
          <w:rFonts w:hint="eastAsia" w:ascii="仿宋" w:hAnsi="仿宋" w:eastAsia="仿宋" w:cs="仿宋"/>
          <w:b w:val="0"/>
          <w:bCs/>
          <w:color w:val="232222"/>
        </w:rPr>
        <w:t>钟律师  19822901523</w:t>
      </w:r>
    </w:p>
    <w:p>
      <w:pPr>
        <w:pStyle w:val="7"/>
        <w:widowControl/>
        <w:spacing w:before="156" w:beforeLines="50" w:beforeAutospacing="0" w:after="156" w:afterLines="50" w:afterAutospacing="0" w:line="400" w:lineRule="exact"/>
        <w:ind w:firstLine="420"/>
        <w:jc w:val="both"/>
        <w:rPr>
          <w:rFonts w:ascii="仿宋" w:hAnsi="仿宋" w:eastAsia="仿宋" w:cs="仿宋"/>
          <w:color w:val="232222"/>
        </w:rPr>
      </w:pPr>
      <w:r>
        <w:rPr>
          <w:rFonts w:hint="eastAsia" w:ascii="仿宋" w:hAnsi="仿宋" w:eastAsia="仿宋" w:cs="仿宋"/>
          <w:color w:val="232222"/>
        </w:rPr>
        <w:t>肖律师  18081994585</w:t>
      </w:r>
    </w:p>
    <w:p>
      <w:pPr>
        <w:pStyle w:val="7"/>
        <w:widowControl/>
        <w:spacing w:before="156" w:beforeLines="50" w:beforeAutospacing="0" w:after="156" w:afterLines="50" w:afterAutospacing="0" w:line="400" w:lineRule="exact"/>
        <w:ind w:firstLine="420"/>
        <w:jc w:val="both"/>
        <w:rPr>
          <w:rFonts w:ascii="仿宋" w:hAnsi="仿宋" w:eastAsia="仿宋" w:cs="仿宋"/>
          <w:color w:val="232222"/>
        </w:rPr>
      </w:pPr>
      <w:r>
        <w:rPr>
          <w:rStyle w:val="12"/>
          <w:rFonts w:hint="eastAsia" w:ascii="仿宋" w:hAnsi="仿宋" w:eastAsia="仿宋" w:cs="仿宋"/>
          <w:color w:val="232222"/>
        </w:rPr>
        <w:t>联系地址：</w:t>
      </w:r>
      <w:r>
        <w:rPr>
          <w:rFonts w:hint="eastAsia" w:ascii="仿宋" w:hAnsi="仿宋" w:eastAsia="仿宋" w:cs="仿宋"/>
          <w:color w:val="232222"/>
        </w:rPr>
        <w:t>四川省成都市高新区天府二街269号无国界26栋9楼国浩律师（成都）事务所</w:t>
      </w:r>
    </w:p>
    <w:p>
      <w:pPr>
        <w:pStyle w:val="7"/>
        <w:widowControl/>
        <w:spacing w:before="156" w:beforeLines="50" w:beforeAutospacing="0" w:after="156" w:afterLines="50" w:afterAutospacing="0" w:line="400" w:lineRule="exact"/>
        <w:jc w:val="both"/>
        <w:rPr>
          <w:rFonts w:ascii="仿宋" w:hAnsi="仿宋" w:eastAsia="仿宋" w:cs="仿宋"/>
          <w:spacing w:val="15"/>
        </w:rPr>
      </w:pPr>
      <w:r>
        <w:rPr>
          <w:rStyle w:val="12"/>
          <w:rFonts w:hint="eastAsia" w:ascii="仿宋" w:hAnsi="仿宋" w:eastAsia="仿宋" w:cs="仿宋"/>
        </w:rPr>
        <w:t>八、特别事项声明及风险提示</w:t>
      </w:r>
    </w:p>
    <w:p>
      <w:pPr>
        <w:pStyle w:val="7"/>
        <w:widowControl/>
        <w:spacing w:before="156" w:beforeLines="50" w:beforeAutospacing="0" w:after="156" w:afterLines="50" w:afterAutospacing="0" w:line="400" w:lineRule="exact"/>
        <w:ind w:firstLine="420"/>
        <w:jc w:val="both"/>
        <w:rPr>
          <w:rFonts w:ascii="仿宋" w:hAnsi="仿宋" w:eastAsia="仿宋" w:cs="仿宋"/>
        </w:rPr>
      </w:pPr>
      <w:r>
        <w:rPr>
          <w:rFonts w:hint="eastAsia" w:ascii="仿宋" w:hAnsi="仿宋" w:eastAsia="仿宋" w:cs="仿宋"/>
          <w:color w:val="232222"/>
        </w:rPr>
        <w:t>1.本招募公告对重整主体情况的介绍，目的在于让投资人初步了解重整主体及财产基本情况，公告内容不构成管理人的任何承诺或保证。</w:t>
      </w:r>
    </w:p>
    <w:p>
      <w:pPr>
        <w:pStyle w:val="7"/>
        <w:widowControl/>
        <w:spacing w:before="156" w:beforeLines="50" w:beforeAutospacing="0" w:after="156" w:afterLines="50" w:afterAutospacing="0" w:line="400" w:lineRule="exact"/>
        <w:ind w:firstLine="420"/>
        <w:jc w:val="both"/>
        <w:rPr>
          <w:rFonts w:ascii="仿宋" w:hAnsi="仿宋" w:eastAsia="仿宋" w:cs="仿宋"/>
        </w:rPr>
      </w:pPr>
      <w:r>
        <w:rPr>
          <w:rFonts w:hint="eastAsia" w:ascii="仿宋" w:hAnsi="仿宋" w:eastAsia="仿宋" w:cs="仿宋"/>
          <w:color w:val="232222"/>
        </w:rPr>
        <w:t>2.投资人自行决定是否聘请专业机构进行尽职调查、出具投资意见等。投资人应以自行尽职调查结果作为投资依据，自行承担投资风险。</w:t>
      </w:r>
    </w:p>
    <w:p>
      <w:pPr>
        <w:pStyle w:val="7"/>
        <w:widowControl/>
        <w:spacing w:before="156" w:beforeLines="50" w:beforeAutospacing="0" w:after="156" w:afterLines="50" w:afterAutospacing="0" w:line="400" w:lineRule="exact"/>
        <w:ind w:firstLine="420"/>
        <w:jc w:val="both"/>
        <w:rPr>
          <w:rFonts w:ascii="仿宋" w:hAnsi="仿宋" w:eastAsia="仿宋" w:cs="仿宋"/>
          <w:color w:val="232222"/>
        </w:rPr>
      </w:pPr>
      <w:r>
        <w:rPr>
          <w:rFonts w:hint="eastAsia" w:ascii="仿宋" w:hAnsi="仿宋" w:eastAsia="仿宋" w:cs="仿宋"/>
          <w:color w:val="232222"/>
        </w:rPr>
        <w:t>3.根据《住房城乡建设部建筑市场监管司关于建设工程企业资质延续有关事项的通知》（建司局函市〔2023〕116号），企业于资质证书有效期届满后再申请资质证书有效期延续的将不予受理相关内容，</w:t>
      </w:r>
      <w:r>
        <w:rPr>
          <w:rFonts w:hint="eastAsia" w:ascii="仿宋" w:hAnsi="仿宋" w:eastAsia="仿宋" w:cs="仿宋"/>
          <w:b/>
          <w:color w:val="232222"/>
        </w:rPr>
        <w:t>海珊建设公司有部分建筑资质将于2023年12月31日到期，需在2023年12月31日到期前申请资质延期。</w:t>
      </w:r>
      <w:r>
        <w:rPr>
          <w:rFonts w:hint="eastAsia" w:ascii="仿宋" w:hAnsi="仿宋" w:eastAsia="仿宋" w:cs="仿宋"/>
          <w:color w:val="232222"/>
        </w:rPr>
        <w:t>投资人自行了解判断海珊建设公司是否具备资质延期的条件，并自行办理延期申请、自行承担延期风险。</w:t>
      </w:r>
    </w:p>
    <w:p>
      <w:pPr>
        <w:pStyle w:val="7"/>
        <w:widowControl/>
        <w:spacing w:before="156" w:beforeLines="50" w:beforeAutospacing="0" w:after="156" w:afterLines="50" w:afterAutospacing="0" w:line="400" w:lineRule="exact"/>
        <w:ind w:firstLine="420"/>
        <w:jc w:val="both"/>
        <w:rPr>
          <w:rFonts w:ascii="仿宋" w:hAnsi="仿宋" w:eastAsia="仿宋" w:cs="仿宋"/>
          <w:b/>
          <w:color w:val="232222"/>
        </w:rPr>
      </w:pPr>
      <w:r>
        <w:rPr>
          <w:rFonts w:hint="eastAsia" w:ascii="仿宋" w:hAnsi="仿宋" w:eastAsia="仿宋" w:cs="仿宋"/>
          <w:b/>
          <w:color w:val="232222"/>
        </w:rPr>
        <w:t>4.海珊建设公司注册资金2</w:t>
      </w:r>
      <w:r>
        <w:rPr>
          <w:rFonts w:ascii="仿宋" w:hAnsi="仿宋" w:eastAsia="仿宋" w:cs="仿宋"/>
          <w:b/>
          <w:color w:val="232222"/>
        </w:rPr>
        <w:t>0000万元，现仅实缴</w:t>
      </w:r>
      <w:r>
        <w:rPr>
          <w:rFonts w:hint="eastAsia" w:ascii="仿宋" w:hAnsi="仿宋" w:eastAsia="仿宋" w:cs="仿宋"/>
          <w:b/>
          <w:color w:val="232222"/>
        </w:rPr>
        <w:t>3</w:t>
      </w:r>
      <w:r>
        <w:rPr>
          <w:rFonts w:ascii="仿宋" w:hAnsi="仿宋" w:eastAsia="仿宋" w:cs="仿宋"/>
          <w:b/>
          <w:color w:val="232222"/>
        </w:rPr>
        <w:t>000万元（该</w:t>
      </w:r>
      <w:r>
        <w:rPr>
          <w:rFonts w:hint="eastAsia" w:ascii="仿宋" w:hAnsi="仿宋" w:eastAsia="仿宋" w:cs="仿宋"/>
          <w:b/>
          <w:color w:val="232222"/>
        </w:rPr>
        <w:t>3</w:t>
      </w:r>
      <w:r>
        <w:rPr>
          <w:rFonts w:ascii="仿宋" w:hAnsi="仿宋" w:eastAsia="仿宋" w:cs="仿宋"/>
          <w:b/>
          <w:color w:val="232222"/>
        </w:rPr>
        <w:t>000万元可能存在抽逃行为），尚</w:t>
      </w:r>
      <w:r>
        <w:rPr>
          <w:rFonts w:hint="eastAsia" w:ascii="仿宋" w:hAnsi="仿宋" w:eastAsia="仿宋" w:cs="仿宋"/>
          <w:b/>
          <w:color w:val="232222"/>
        </w:rPr>
        <w:t>存17000万元注册资金未实缴，但管理人将在重整计划草案中约定海珊建设公司债权人及后续补充申报的债权人不得要求海珊建设公司在破产重整程序中确定的投资人（新的股东））承担连带责任。对于该事项重整成功后可能存在的其他法律风险，请投资人自行评判并承担。</w:t>
      </w:r>
    </w:p>
    <w:p>
      <w:pPr>
        <w:pStyle w:val="7"/>
        <w:widowControl w:val="0"/>
        <w:spacing w:before="156" w:beforeLines="50" w:beforeAutospacing="1" w:after="156" w:afterLines="50" w:afterAutospacing="1" w:line="400" w:lineRule="exact"/>
        <w:ind w:firstLine="420"/>
        <w:jc w:val="both"/>
        <w:rPr>
          <w:rFonts w:ascii="仿宋" w:hAnsi="仿宋" w:eastAsia="仿宋" w:cs="仿宋"/>
          <w:color w:val="232222"/>
        </w:rPr>
      </w:pPr>
      <w:r>
        <w:rPr>
          <w:rFonts w:hint="eastAsia" w:ascii="仿宋" w:hAnsi="仿宋" w:eastAsia="仿宋" w:cs="仿宋"/>
          <w:color w:val="232222"/>
        </w:rPr>
        <w:t>5.</w:t>
      </w:r>
      <w:r>
        <w:rPr>
          <w:rFonts w:hint="eastAsia" w:ascii="仿宋" w:hAnsi="仿宋" w:eastAsia="仿宋" w:cs="仿宋"/>
          <w:b/>
          <w:color w:val="232222"/>
        </w:rPr>
        <w:t>《</w:t>
      </w:r>
      <w:r>
        <w:rPr>
          <w:rFonts w:hint="eastAsia" w:ascii="仿宋" w:hAnsi="仿宋" w:eastAsia="仿宋"/>
          <w:b/>
          <w:bCs/>
          <w:color w:val="333333"/>
          <w:sz w:val="24"/>
          <w:szCs w:val="24"/>
          <w:shd w:val="clear" w:color="auto" w:fill="FFFFFF"/>
        </w:rPr>
        <w:t>中华人民共和国企业破产法》</w:t>
      </w:r>
      <w:r>
        <w:rPr>
          <w:rFonts w:ascii="仿宋" w:hAnsi="仿宋" w:eastAsia="仿宋" w:cs="仿宋"/>
          <w:b/>
          <w:bCs/>
          <w:color w:val="232222"/>
        </w:rPr>
        <w:t>第九十二条第二款规定，“</w:t>
      </w:r>
      <w:r>
        <w:rPr>
          <w:rFonts w:ascii="仿宋" w:hAnsi="仿宋" w:eastAsia="仿宋" w:cs="仿宋"/>
          <w:b/>
          <w:color w:val="232222"/>
        </w:rPr>
        <w:t>债权人未依照本法规定申报债权的，在重整计划执行期间不得行使权利；在重整计划执行完毕后，可以按照重整计划规定的同类债权的清偿条件行使权利。”</w:t>
      </w:r>
      <w:r>
        <w:rPr>
          <w:rFonts w:hint="eastAsia" w:ascii="仿宋" w:hAnsi="仿宋" w:eastAsia="仿宋" w:cs="仿宋"/>
          <w:b/>
          <w:color w:val="232222"/>
        </w:rPr>
        <w:t>提请投资人注意破产程序终结后，海珊建设公司对补充申报的债权承担清偿责任的风险。</w:t>
      </w:r>
    </w:p>
    <w:p>
      <w:pPr>
        <w:pStyle w:val="7"/>
        <w:widowControl/>
        <w:spacing w:before="156" w:beforeLines="50" w:beforeAutospacing="0" w:after="156" w:afterLines="50" w:afterAutospacing="0" w:line="400" w:lineRule="exact"/>
        <w:ind w:firstLine="420"/>
        <w:jc w:val="both"/>
        <w:rPr>
          <w:rFonts w:ascii="仿宋" w:hAnsi="仿宋" w:eastAsia="仿宋" w:cs="仿宋"/>
          <w:color w:val="232222"/>
        </w:rPr>
      </w:pPr>
      <w:r>
        <w:rPr>
          <w:rFonts w:hint="eastAsia" w:ascii="仿宋" w:hAnsi="仿宋" w:eastAsia="仿宋" w:cs="仿宋"/>
          <w:color w:val="232222"/>
        </w:rPr>
        <w:t>6.本次招募重整投资人以公开的方式进行，招募公告内容对全体意向投资人平等适用。</w:t>
      </w:r>
    </w:p>
    <w:p>
      <w:pPr>
        <w:pStyle w:val="7"/>
        <w:widowControl/>
        <w:spacing w:before="156" w:beforeLines="50" w:beforeAutospacing="0" w:after="156" w:afterLines="50" w:afterAutospacing="0" w:line="400" w:lineRule="exact"/>
        <w:jc w:val="both"/>
        <w:rPr>
          <w:rFonts w:ascii="仿宋" w:hAnsi="仿宋" w:eastAsia="仿宋" w:cs="仿宋"/>
          <w:color w:val="232222"/>
          <w:spacing w:val="8"/>
        </w:rPr>
      </w:pPr>
      <w:r>
        <w:rPr>
          <w:rFonts w:hint="eastAsia" w:ascii="仿宋" w:hAnsi="仿宋" w:eastAsia="仿宋" w:cs="仿宋"/>
          <w:color w:val="232222"/>
          <w:spacing w:val="8"/>
        </w:rPr>
        <w:t>附：《信用承诺书》、《保密承诺书》、《报价函》、《招募投资人评审办法》</w:t>
      </w:r>
    </w:p>
    <w:p>
      <w:pPr>
        <w:pStyle w:val="7"/>
        <w:widowControl/>
        <w:spacing w:before="156" w:beforeLines="50" w:beforeAutospacing="0" w:after="156" w:afterLines="50" w:afterAutospacing="0" w:line="400" w:lineRule="exact"/>
        <w:jc w:val="both"/>
        <w:rPr>
          <w:rFonts w:ascii="仿宋" w:hAnsi="仿宋" w:eastAsia="仿宋" w:cs="仿宋"/>
          <w:color w:val="232222"/>
          <w:spacing w:val="8"/>
        </w:rPr>
      </w:pPr>
    </w:p>
    <w:p>
      <w:pPr>
        <w:pStyle w:val="7"/>
        <w:widowControl/>
        <w:spacing w:before="156" w:beforeLines="50" w:beforeAutospacing="0" w:after="156" w:afterLines="50" w:afterAutospacing="0" w:line="400" w:lineRule="exact"/>
        <w:ind w:firstLine="420"/>
        <w:jc w:val="right"/>
        <w:rPr>
          <w:rFonts w:ascii="仿宋" w:hAnsi="仿宋" w:eastAsia="仿宋" w:cs="仿宋"/>
          <w:color w:val="232222"/>
        </w:rPr>
      </w:pPr>
      <w:r>
        <w:rPr>
          <w:rFonts w:hint="eastAsia" w:ascii="仿宋" w:hAnsi="仿宋" w:eastAsia="仿宋" w:cs="仿宋"/>
          <w:color w:val="232222"/>
        </w:rPr>
        <w:t>四川海珊建设工程有限公司管理人</w:t>
      </w:r>
    </w:p>
    <w:p>
      <w:pPr>
        <w:pStyle w:val="7"/>
        <w:widowControl/>
        <w:spacing w:before="156" w:beforeLines="50" w:beforeAutospacing="0" w:after="156" w:afterLines="50" w:afterAutospacing="0" w:line="400" w:lineRule="exact"/>
        <w:ind w:firstLine="420"/>
        <w:jc w:val="right"/>
        <w:rPr>
          <w:rFonts w:ascii="仿宋" w:hAnsi="仿宋" w:eastAsia="仿宋" w:cs="仿宋"/>
          <w:color w:val="232222"/>
        </w:rPr>
      </w:pPr>
      <w:r>
        <w:rPr>
          <w:rFonts w:hint="eastAsia" w:ascii="仿宋" w:hAnsi="仿宋" w:eastAsia="仿宋" w:cs="仿宋"/>
          <w:color w:val="232222"/>
        </w:rPr>
        <w:t>二〇二三年十月三十一日</w:t>
      </w:r>
    </w:p>
    <w:p>
      <w:pPr>
        <w:pStyle w:val="7"/>
        <w:pageBreakBefore/>
        <w:widowControl/>
        <w:spacing w:before="312" w:beforeLines="100" w:beforeAutospacing="0" w:afterAutospacing="0" w:line="380" w:lineRule="exact"/>
        <w:rPr>
          <w:rFonts w:ascii="仿宋" w:hAnsi="仿宋" w:eastAsia="仿宋" w:cs="仿宋"/>
          <w:b/>
          <w:bCs/>
          <w:color w:val="232222"/>
        </w:rPr>
      </w:pPr>
      <w:r>
        <w:rPr>
          <w:rFonts w:hint="eastAsia" w:ascii="仿宋" w:hAnsi="仿宋" w:eastAsia="仿宋" w:cs="仿宋"/>
          <w:b/>
          <w:bCs/>
          <w:color w:val="232222"/>
          <w:spacing w:val="8"/>
        </w:rPr>
        <w:t>附件1：信用承诺书</w:t>
      </w:r>
    </w:p>
    <w:p>
      <w:pPr>
        <w:pStyle w:val="7"/>
        <w:widowControl/>
        <w:spacing w:before="312" w:beforeLines="100" w:beforeAutospacing="0" w:afterAutospacing="0" w:line="380" w:lineRule="exact"/>
        <w:ind w:firstLine="420"/>
        <w:jc w:val="center"/>
        <w:rPr>
          <w:rFonts w:ascii="仿宋" w:hAnsi="仿宋" w:eastAsia="仿宋" w:cs="仿宋"/>
          <w:b/>
          <w:bCs/>
          <w:color w:val="232222"/>
        </w:rPr>
      </w:pPr>
      <w:r>
        <w:rPr>
          <w:rFonts w:hint="eastAsia" w:ascii="仿宋" w:hAnsi="仿宋" w:eastAsia="仿宋" w:cs="仿宋"/>
          <w:b/>
          <w:bCs/>
          <w:color w:val="232222"/>
          <w:spacing w:val="8"/>
        </w:rPr>
        <w:t>《信用承诺书》</w:t>
      </w:r>
      <w:bookmarkStart w:id="0" w:name="_GoBack"/>
      <w:bookmarkEnd w:id="0"/>
    </w:p>
    <w:p>
      <w:pPr>
        <w:pStyle w:val="7"/>
        <w:widowControl/>
        <w:spacing w:before="312" w:beforeLines="100" w:beforeAutospacing="0" w:afterAutospacing="0" w:line="380" w:lineRule="exact"/>
        <w:rPr>
          <w:rFonts w:ascii="仿宋" w:hAnsi="仿宋" w:eastAsia="仿宋" w:cs="仿宋"/>
          <w:color w:val="232222"/>
        </w:rPr>
      </w:pPr>
      <w:r>
        <w:rPr>
          <w:rFonts w:hint="eastAsia" w:ascii="仿宋" w:hAnsi="仿宋" w:eastAsia="仿宋" w:cs="仿宋"/>
          <w:color w:val="232222"/>
        </w:rPr>
        <w:t>四川海珊建设工程有限公司管理人：</w:t>
      </w:r>
    </w:p>
    <w:p>
      <w:pPr>
        <w:pStyle w:val="7"/>
        <w:widowControl/>
        <w:spacing w:before="312" w:beforeLines="100" w:beforeAutospacing="0" w:afterAutospacing="0" w:line="380" w:lineRule="exact"/>
        <w:ind w:firstLine="480" w:firstLineChars="200"/>
        <w:rPr>
          <w:rFonts w:ascii="仿宋" w:hAnsi="仿宋" w:eastAsia="仿宋" w:cs="仿宋"/>
          <w:color w:val="232222"/>
        </w:rPr>
      </w:pPr>
      <w:r>
        <w:rPr>
          <w:rFonts w:hint="eastAsia" w:ascii="仿宋" w:hAnsi="仿宋" w:eastAsia="仿宋" w:cs="仿宋"/>
          <w:color w:val="232222"/>
          <w:u w:val="single"/>
        </w:rPr>
        <w:t xml:space="preserve">                    </w:t>
      </w:r>
      <w:r>
        <w:rPr>
          <w:rFonts w:hint="eastAsia" w:ascii="仿宋" w:hAnsi="仿宋" w:eastAsia="仿宋" w:cs="仿宋"/>
          <w:color w:val="232222"/>
        </w:rPr>
        <w:t>（以下简称我方）确认参加四川海珊建设工程有限公司项目投资人招募程序（本案转重整后自动变为重整投资人）。现我方郑重承诺如下：</w:t>
      </w:r>
    </w:p>
    <w:p>
      <w:pPr>
        <w:pStyle w:val="7"/>
        <w:widowControl/>
        <w:spacing w:before="312" w:beforeLines="100" w:beforeAutospacing="0" w:afterAutospacing="0" w:line="380" w:lineRule="exact"/>
        <w:ind w:firstLine="420"/>
        <w:rPr>
          <w:rFonts w:ascii="仿宋" w:hAnsi="仿宋" w:eastAsia="仿宋" w:cs="仿宋"/>
          <w:color w:val="232222"/>
        </w:rPr>
      </w:pPr>
      <w:r>
        <w:rPr>
          <w:rFonts w:hint="eastAsia" w:ascii="仿宋" w:hAnsi="仿宋" w:eastAsia="仿宋" w:cs="仿宋"/>
          <w:color w:val="232222"/>
        </w:rPr>
        <w:t>我方信用良好。我方及我方控股股东、实际控制人无数额较大到期未清偿债务、未被列入失信行为人，在过去三年内无重大违法违规行为；且我方无数额较大对外提供担保的情形。</w:t>
      </w:r>
    </w:p>
    <w:p>
      <w:pPr>
        <w:pStyle w:val="7"/>
        <w:widowControl/>
        <w:spacing w:before="312" w:beforeLines="100" w:beforeAutospacing="0" w:afterAutospacing="0" w:line="380" w:lineRule="exact"/>
        <w:ind w:firstLine="420"/>
        <w:rPr>
          <w:rFonts w:ascii="仿宋" w:hAnsi="仿宋" w:eastAsia="仿宋" w:cs="仿宋"/>
          <w:color w:val="232222"/>
        </w:rPr>
      </w:pPr>
      <w:r>
        <w:rPr>
          <w:rFonts w:hint="eastAsia" w:ascii="仿宋" w:hAnsi="仿宋" w:eastAsia="仿宋" w:cs="仿宋"/>
          <w:color w:val="232222"/>
        </w:rPr>
        <w:t>我方保证以上承诺属实，如有虚假，我方愿意承担一切法律后果。</w:t>
      </w:r>
    </w:p>
    <w:p>
      <w:pPr>
        <w:pStyle w:val="7"/>
        <w:widowControl/>
        <w:spacing w:before="312" w:beforeLines="100" w:beforeAutospacing="0" w:afterAutospacing="0" w:line="380" w:lineRule="exact"/>
        <w:ind w:firstLine="420"/>
        <w:rPr>
          <w:rFonts w:ascii="仿宋" w:hAnsi="仿宋" w:eastAsia="仿宋" w:cs="仿宋"/>
          <w:color w:val="232222"/>
        </w:rPr>
      </w:pPr>
      <w:r>
        <w:rPr>
          <w:rFonts w:hint="eastAsia" w:ascii="仿宋" w:hAnsi="仿宋" w:eastAsia="仿宋" w:cs="仿宋"/>
          <w:color w:val="232222"/>
        </w:rPr>
        <w:t>特此承诺。</w:t>
      </w:r>
    </w:p>
    <w:p>
      <w:pPr>
        <w:pStyle w:val="7"/>
        <w:widowControl/>
        <w:spacing w:before="312" w:beforeLines="100" w:beforeAutospacing="0" w:afterAutospacing="0" w:line="380" w:lineRule="exact"/>
        <w:ind w:firstLine="420"/>
        <w:jc w:val="right"/>
        <w:rPr>
          <w:rFonts w:ascii="仿宋" w:hAnsi="仿宋" w:eastAsia="仿宋" w:cs="仿宋"/>
          <w:color w:val="232222"/>
        </w:rPr>
      </w:pPr>
    </w:p>
    <w:p>
      <w:pPr>
        <w:pStyle w:val="7"/>
        <w:widowControl/>
        <w:spacing w:before="312" w:beforeLines="100" w:beforeAutospacing="0" w:afterAutospacing="0" w:line="380" w:lineRule="exact"/>
        <w:ind w:firstLine="420"/>
        <w:jc w:val="right"/>
        <w:rPr>
          <w:rFonts w:ascii="仿宋" w:hAnsi="仿宋" w:eastAsia="仿宋" w:cs="仿宋"/>
          <w:color w:val="232222"/>
        </w:rPr>
      </w:pPr>
      <w:r>
        <w:rPr>
          <w:rFonts w:hint="eastAsia" w:ascii="仿宋" w:hAnsi="仿宋" w:eastAsia="仿宋" w:cs="仿宋"/>
          <w:color w:val="232222"/>
        </w:rPr>
        <w:t>承诺人：</w:t>
      </w:r>
    </w:p>
    <w:p>
      <w:pPr>
        <w:pStyle w:val="7"/>
        <w:widowControl/>
        <w:spacing w:before="312" w:beforeLines="100" w:beforeAutospacing="0" w:afterAutospacing="0" w:line="380" w:lineRule="exact"/>
        <w:ind w:firstLine="420"/>
        <w:jc w:val="right"/>
        <w:rPr>
          <w:rFonts w:ascii="仿宋" w:hAnsi="仿宋" w:eastAsia="仿宋" w:cs="仿宋"/>
          <w:color w:val="232222"/>
        </w:rPr>
      </w:pPr>
      <w:r>
        <w:rPr>
          <w:rFonts w:hint="eastAsia" w:ascii="仿宋" w:hAnsi="仿宋" w:eastAsia="仿宋" w:cs="仿宋"/>
          <w:color w:val="232222"/>
        </w:rPr>
        <w:t>年   月  日</w:t>
      </w:r>
    </w:p>
    <w:p>
      <w:pPr>
        <w:pStyle w:val="7"/>
        <w:widowControl/>
        <w:spacing w:before="312" w:beforeLines="100" w:beforeAutospacing="0" w:afterAutospacing="0" w:line="380" w:lineRule="exact"/>
        <w:ind w:firstLine="420"/>
        <w:rPr>
          <w:rFonts w:ascii="仿宋" w:hAnsi="仿宋" w:eastAsia="仿宋" w:cs="仿宋"/>
          <w:color w:val="232222"/>
        </w:rPr>
      </w:pPr>
    </w:p>
    <w:p>
      <w:pPr>
        <w:pStyle w:val="7"/>
        <w:pageBreakBefore/>
        <w:widowControl/>
        <w:spacing w:before="312" w:beforeLines="100" w:beforeAutospacing="0" w:afterAutospacing="0" w:line="380" w:lineRule="exact"/>
        <w:rPr>
          <w:rFonts w:ascii="仿宋" w:hAnsi="仿宋" w:eastAsia="仿宋" w:cs="仿宋"/>
          <w:b/>
          <w:bCs/>
          <w:color w:val="232222"/>
        </w:rPr>
      </w:pPr>
      <w:r>
        <w:rPr>
          <w:rFonts w:hint="eastAsia" w:ascii="仿宋" w:hAnsi="仿宋" w:eastAsia="仿宋" w:cs="仿宋"/>
          <w:b/>
          <w:bCs/>
          <w:color w:val="232222"/>
        </w:rPr>
        <w:t>附件2：保密承诺书</w:t>
      </w:r>
    </w:p>
    <w:p>
      <w:pPr>
        <w:pStyle w:val="7"/>
        <w:widowControl/>
        <w:spacing w:before="312" w:beforeLines="100" w:beforeAutospacing="0" w:afterAutospacing="0" w:line="380" w:lineRule="exact"/>
        <w:ind w:firstLine="420"/>
        <w:jc w:val="center"/>
        <w:rPr>
          <w:rFonts w:ascii="仿宋" w:hAnsi="仿宋" w:eastAsia="仿宋" w:cs="仿宋"/>
          <w:b/>
          <w:bCs/>
          <w:color w:val="232222"/>
        </w:rPr>
      </w:pPr>
      <w:r>
        <w:rPr>
          <w:rFonts w:hint="eastAsia" w:ascii="仿宋" w:hAnsi="仿宋" w:eastAsia="仿宋" w:cs="仿宋"/>
          <w:b/>
          <w:bCs/>
          <w:color w:val="232222"/>
        </w:rPr>
        <w:t>保密承诺书</w:t>
      </w:r>
    </w:p>
    <w:p>
      <w:pPr>
        <w:pStyle w:val="7"/>
        <w:widowControl/>
        <w:spacing w:before="312" w:beforeLines="100" w:beforeAutospacing="0" w:afterAutospacing="0" w:line="380" w:lineRule="exact"/>
        <w:rPr>
          <w:rFonts w:ascii="仿宋" w:hAnsi="仿宋" w:eastAsia="仿宋" w:cs="仿宋"/>
          <w:color w:val="232222"/>
        </w:rPr>
      </w:pPr>
      <w:r>
        <w:rPr>
          <w:rFonts w:hint="eastAsia" w:ascii="仿宋" w:hAnsi="仿宋" w:eastAsia="仿宋" w:cs="仿宋"/>
          <w:color w:val="232222"/>
        </w:rPr>
        <w:t>四川海珊建设工程有限公司管理人：</w:t>
      </w:r>
    </w:p>
    <w:p>
      <w:pPr>
        <w:pStyle w:val="7"/>
        <w:widowControl/>
        <w:spacing w:before="312" w:beforeLines="100" w:beforeAutospacing="0" w:afterAutospacing="0" w:line="380" w:lineRule="exact"/>
        <w:ind w:firstLine="420"/>
        <w:rPr>
          <w:rFonts w:ascii="仿宋" w:hAnsi="仿宋" w:eastAsia="仿宋" w:cs="仿宋"/>
          <w:color w:val="232222"/>
        </w:rPr>
      </w:pPr>
      <w:r>
        <w:rPr>
          <w:rFonts w:hint="eastAsia" w:ascii="仿宋" w:hAnsi="仿宋" w:eastAsia="仿宋" w:cs="仿宋"/>
          <w:color w:val="232222"/>
          <w:u w:val="single"/>
        </w:rPr>
        <w:t xml:space="preserve">                    </w:t>
      </w:r>
      <w:r>
        <w:rPr>
          <w:rFonts w:hint="eastAsia" w:ascii="仿宋" w:hAnsi="仿宋" w:eastAsia="仿宋" w:cs="仿宋"/>
          <w:color w:val="232222"/>
        </w:rPr>
        <w:t>（以下简称我方）确认参加四川海珊建设工程有限公司项目投资人（本案转重整后自动变为重整投资人）招募程序。在投资人招募过程中，我方就管理人提供有关的信息和资料之保密事宜作出如下承诺：</w:t>
      </w:r>
    </w:p>
    <w:p>
      <w:pPr>
        <w:pStyle w:val="7"/>
        <w:widowControl/>
        <w:spacing w:before="312" w:beforeLines="100" w:beforeAutospacing="0" w:afterAutospacing="0" w:line="380" w:lineRule="exact"/>
        <w:ind w:firstLine="420"/>
        <w:rPr>
          <w:rFonts w:ascii="仿宋" w:hAnsi="仿宋" w:eastAsia="仿宋" w:cs="仿宋"/>
          <w:color w:val="232222"/>
        </w:rPr>
      </w:pPr>
      <w:r>
        <w:rPr>
          <w:rFonts w:hint="eastAsia" w:ascii="仿宋" w:hAnsi="仿宋" w:eastAsia="仿宋" w:cs="仿宋"/>
          <w:color w:val="232222"/>
        </w:rPr>
        <w:t>一、我方对管理人所提供的资料严格履行保密责任，并且仅为参与竞选重整投资人之目的使用。</w:t>
      </w:r>
    </w:p>
    <w:p>
      <w:pPr>
        <w:pStyle w:val="7"/>
        <w:widowControl/>
        <w:spacing w:before="312" w:beforeLines="100" w:beforeAutospacing="0" w:afterAutospacing="0" w:line="380" w:lineRule="exact"/>
        <w:ind w:firstLine="480" w:firstLineChars="200"/>
        <w:rPr>
          <w:rFonts w:ascii="仿宋" w:hAnsi="仿宋" w:eastAsia="仿宋" w:cs="仿宋"/>
          <w:color w:val="232222"/>
        </w:rPr>
      </w:pPr>
      <w:r>
        <w:rPr>
          <w:rFonts w:hint="eastAsia" w:ascii="仿宋" w:hAnsi="仿宋" w:eastAsia="仿宋" w:cs="仿宋"/>
          <w:color w:val="232222"/>
        </w:rPr>
        <w:t>二、我方将对获得的保密信息，包括但不限于尽职调查、与债务人或者管理人进行接洽和交流等活动中获取的债务人商业秘密和资料，进行保密管理，并采取有效措施防止保密信息泄露给任何第三方。</w:t>
      </w:r>
    </w:p>
    <w:p>
      <w:pPr>
        <w:pStyle w:val="7"/>
        <w:widowControl/>
        <w:spacing w:before="312" w:beforeLines="100" w:beforeAutospacing="0" w:afterAutospacing="0" w:line="380" w:lineRule="exact"/>
        <w:ind w:firstLine="480" w:firstLineChars="200"/>
        <w:rPr>
          <w:rFonts w:ascii="仿宋" w:hAnsi="仿宋" w:eastAsia="仿宋" w:cs="仿宋"/>
          <w:color w:val="232222"/>
        </w:rPr>
      </w:pPr>
      <w:r>
        <w:rPr>
          <w:rFonts w:hint="eastAsia" w:ascii="仿宋" w:hAnsi="仿宋" w:eastAsia="仿宋" w:cs="仿宋"/>
          <w:color w:val="232222"/>
        </w:rPr>
        <w:t>三、我方将采取严格措施防止与招募活动无关的我方人员接触保密信息，防止其泄露信息。</w:t>
      </w:r>
    </w:p>
    <w:p>
      <w:pPr>
        <w:pStyle w:val="7"/>
        <w:widowControl/>
        <w:spacing w:before="312" w:beforeLines="100" w:beforeAutospacing="0" w:afterAutospacing="0" w:line="380" w:lineRule="exact"/>
        <w:ind w:left="420"/>
        <w:rPr>
          <w:rFonts w:ascii="仿宋" w:hAnsi="仿宋" w:eastAsia="仿宋" w:cs="仿宋"/>
          <w:color w:val="232222"/>
        </w:rPr>
      </w:pPr>
      <w:r>
        <w:rPr>
          <w:rFonts w:hint="eastAsia" w:ascii="仿宋" w:hAnsi="仿宋" w:eastAsia="仿宋" w:cs="仿宋"/>
          <w:color w:val="232222"/>
        </w:rPr>
        <w:t>四、如果发生泄密，我方愿意承担一切相关法律责任。</w:t>
      </w:r>
    </w:p>
    <w:p>
      <w:pPr>
        <w:pStyle w:val="7"/>
        <w:widowControl/>
        <w:spacing w:before="312" w:beforeLines="100" w:beforeAutospacing="0" w:afterAutospacing="0" w:line="380" w:lineRule="exact"/>
        <w:ind w:left="420"/>
        <w:rPr>
          <w:rFonts w:ascii="仿宋" w:hAnsi="仿宋" w:eastAsia="仿宋" w:cs="仿宋"/>
          <w:color w:val="232222"/>
        </w:rPr>
      </w:pPr>
      <w:r>
        <w:rPr>
          <w:rFonts w:hint="eastAsia" w:ascii="仿宋" w:hAnsi="仿宋" w:eastAsia="仿宋" w:cs="仿宋"/>
          <w:color w:val="232222"/>
        </w:rPr>
        <w:t>特此承诺。</w:t>
      </w:r>
    </w:p>
    <w:p>
      <w:pPr>
        <w:pStyle w:val="7"/>
        <w:widowControl/>
        <w:spacing w:before="312" w:beforeLines="100" w:beforeAutospacing="0" w:afterAutospacing="0" w:line="380" w:lineRule="exact"/>
        <w:ind w:firstLine="420"/>
        <w:jc w:val="right"/>
        <w:rPr>
          <w:rFonts w:ascii="仿宋" w:hAnsi="仿宋" w:eastAsia="仿宋" w:cs="仿宋"/>
          <w:color w:val="232222"/>
        </w:rPr>
      </w:pPr>
      <w:r>
        <w:rPr>
          <w:rFonts w:hint="eastAsia" w:ascii="仿宋" w:hAnsi="仿宋" w:eastAsia="仿宋" w:cs="仿宋"/>
          <w:color w:val="232222"/>
        </w:rPr>
        <w:t>承诺人：</w:t>
      </w:r>
    </w:p>
    <w:p>
      <w:pPr>
        <w:pStyle w:val="7"/>
        <w:widowControl/>
        <w:spacing w:before="312" w:beforeLines="100" w:beforeAutospacing="0" w:afterAutospacing="0" w:line="380" w:lineRule="exact"/>
        <w:ind w:firstLine="420"/>
        <w:jc w:val="right"/>
        <w:rPr>
          <w:rFonts w:ascii="仿宋" w:hAnsi="仿宋" w:eastAsia="仿宋" w:cs="仿宋"/>
          <w:color w:val="232222"/>
        </w:rPr>
      </w:pPr>
      <w:r>
        <w:rPr>
          <w:rFonts w:hint="eastAsia" w:ascii="仿宋" w:hAnsi="仿宋" w:eastAsia="仿宋" w:cs="仿宋"/>
          <w:color w:val="232222"/>
        </w:rPr>
        <w:t>年   月  日</w:t>
      </w:r>
    </w:p>
    <w:p>
      <w:pPr>
        <w:pStyle w:val="7"/>
        <w:widowControl/>
        <w:spacing w:before="312" w:beforeLines="100" w:beforeAutospacing="0" w:afterAutospacing="0" w:line="380" w:lineRule="exact"/>
        <w:ind w:firstLine="420"/>
        <w:jc w:val="right"/>
        <w:rPr>
          <w:rFonts w:ascii="仿宋" w:hAnsi="仿宋" w:eastAsia="仿宋" w:cs="仿宋"/>
          <w:color w:val="232222"/>
        </w:rPr>
      </w:pPr>
    </w:p>
    <w:p>
      <w:pPr>
        <w:pStyle w:val="7"/>
        <w:widowControl/>
        <w:spacing w:before="312" w:beforeLines="100" w:beforeAutospacing="0" w:afterAutospacing="0" w:line="380" w:lineRule="exact"/>
        <w:ind w:firstLine="420"/>
        <w:jc w:val="right"/>
        <w:rPr>
          <w:rFonts w:ascii="仿宋" w:hAnsi="仿宋" w:eastAsia="仿宋" w:cs="仿宋"/>
          <w:color w:val="232222"/>
        </w:rPr>
      </w:pPr>
    </w:p>
    <w:p>
      <w:pPr>
        <w:pStyle w:val="7"/>
        <w:widowControl/>
        <w:spacing w:before="312" w:beforeLines="100" w:beforeAutospacing="0" w:afterAutospacing="0" w:line="380" w:lineRule="exact"/>
        <w:ind w:firstLine="420"/>
        <w:jc w:val="right"/>
        <w:rPr>
          <w:rFonts w:ascii="仿宋" w:hAnsi="仿宋" w:eastAsia="仿宋" w:cs="仿宋"/>
          <w:color w:val="232222"/>
        </w:rPr>
      </w:pPr>
    </w:p>
    <w:p>
      <w:pPr>
        <w:pStyle w:val="7"/>
        <w:widowControl/>
        <w:spacing w:before="312" w:beforeLines="100" w:beforeAutospacing="0" w:afterAutospacing="0" w:line="380" w:lineRule="exact"/>
        <w:ind w:firstLine="420"/>
        <w:jc w:val="right"/>
        <w:rPr>
          <w:rFonts w:ascii="仿宋" w:hAnsi="仿宋" w:eastAsia="仿宋" w:cs="仿宋"/>
          <w:color w:val="232222"/>
        </w:rPr>
      </w:pPr>
    </w:p>
    <w:p>
      <w:pPr>
        <w:pStyle w:val="7"/>
        <w:widowControl/>
        <w:spacing w:before="312" w:beforeLines="100" w:beforeAutospacing="0" w:afterAutospacing="0" w:line="380" w:lineRule="exact"/>
        <w:ind w:firstLine="420"/>
        <w:jc w:val="right"/>
        <w:rPr>
          <w:rFonts w:ascii="仿宋" w:hAnsi="仿宋" w:eastAsia="仿宋" w:cs="仿宋"/>
          <w:color w:val="232222"/>
        </w:rPr>
      </w:pPr>
    </w:p>
    <w:p>
      <w:pPr>
        <w:jc w:val="center"/>
        <w:rPr>
          <w:rFonts w:ascii="仿宋" w:hAnsi="仿宋" w:eastAsia="仿宋" w:cs="仿宋"/>
          <w:b/>
          <w:sz w:val="28"/>
          <w:szCs w:val="28"/>
        </w:rPr>
      </w:pPr>
    </w:p>
    <w:p>
      <w:pPr>
        <w:pStyle w:val="7"/>
        <w:pageBreakBefore/>
        <w:widowControl/>
        <w:spacing w:before="312" w:beforeLines="100" w:beforeAutospacing="0" w:afterAutospacing="0" w:line="380" w:lineRule="exact"/>
        <w:rPr>
          <w:rFonts w:ascii="仿宋" w:hAnsi="仿宋" w:eastAsia="仿宋" w:cs="仿宋"/>
          <w:b/>
          <w:bCs/>
          <w:color w:val="232222"/>
        </w:rPr>
      </w:pPr>
      <w:r>
        <w:rPr>
          <w:rFonts w:hint="eastAsia" w:ascii="仿宋" w:hAnsi="仿宋" w:eastAsia="仿宋" w:cs="仿宋"/>
          <w:b/>
          <w:bCs/>
          <w:color w:val="232222"/>
        </w:rPr>
        <w:t>附件3：报价函</w:t>
      </w:r>
    </w:p>
    <w:p>
      <w:pPr>
        <w:spacing w:before="312" w:beforeLines="100"/>
        <w:jc w:val="center"/>
        <w:rPr>
          <w:rFonts w:ascii="仿宋" w:hAnsi="仿宋" w:eastAsia="仿宋" w:cs="仿宋"/>
          <w:b/>
          <w:sz w:val="28"/>
          <w:szCs w:val="28"/>
        </w:rPr>
      </w:pPr>
      <w:r>
        <w:rPr>
          <w:rFonts w:hint="eastAsia" w:ascii="仿宋" w:hAnsi="仿宋" w:eastAsia="仿宋" w:cs="仿宋"/>
          <w:b/>
          <w:sz w:val="28"/>
          <w:szCs w:val="28"/>
        </w:rPr>
        <w:t>四川海珊建设工程有限公司项目投资人</w:t>
      </w:r>
    </w:p>
    <w:p>
      <w:pPr>
        <w:jc w:val="center"/>
        <w:rPr>
          <w:rFonts w:ascii="仿宋" w:hAnsi="仿宋" w:eastAsia="仿宋" w:cs="仿宋"/>
          <w:b/>
          <w:sz w:val="28"/>
          <w:szCs w:val="28"/>
        </w:rPr>
      </w:pPr>
      <w:r>
        <w:rPr>
          <w:rFonts w:hint="eastAsia" w:ascii="仿宋" w:hAnsi="仿宋" w:eastAsia="仿宋" w:cs="仿宋"/>
          <w:b/>
          <w:sz w:val="28"/>
          <w:szCs w:val="28"/>
        </w:rPr>
        <w:t>报价函</w:t>
      </w:r>
    </w:p>
    <w:p>
      <w:pPr>
        <w:widowControl/>
        <w:adjustRightInd w:val="0"/>
        <w:snapToGrid w:val="0"/>
        <w:spacing w:line="480" w:lineRule="exact"/>
        <w:rPr>
          <w:rFonts w:ascii="仿宋" w:hAnsi="仿宋" w:eastAsia="仿宋" w:cs="仿宋"/>
          <w:sz w:val="24"/>
        </w:rPr>
      </w:pPr>
      <w:r>
        <w:rPr>
          <w:rFonts w:hint="eastAsia" w:ascii="仿宋" w:hAnsi="仿宋" w:eastAsia="仿宋" w:cs="仿宋"/>
          <w:sz w:val="24"/>
        </w:rPr>
        <w:t>四川海珊建设工程有限公司管理人：</w:t>
      </w:r>
    </w:p>
    <w:p>
      <w:pPr>
        <w:widowControl/>
        <w:adjustRightInd w:val="0"/>
        <w:snapToGrid w:val="0"/>
        <w:spacing w:line="480" w:lineRule="exact"/>
        <w:ind w:firstLine="480"/>
        <w:rPr>
          <w:rFonts w:ascii="仿宋" w:hAnsi="仿宋" w:eastAsia="仿宋" w:cs="仿宋"/>
          <w:sz w:val="24"/>
        </w:rPr>
      </w:pPr>
      <w:r>
        <w:rPr>
          <w:rFonts w:hint="eastAsia" w:ascii="仿宋" w:hAnsi="仿宋" w:eastAsia="仿宋" w:cs="仿宋"/>
          <w:sz w:val="24"/>
        </w:rPr>
        <w:t>根据《四川海珊建设工程有限公司项目投资人招募公告》（以下简称“招募公告”），我方向管理人报名投资四川海珊建设工程有限公司（以下简称“海珊建设公司”）。现我方已仔细、认真阅读招募公告，接受上述文件所规定的条款的约束并承担全部责任和义务。现我方特此承诺及报价如下：</w:t>
      </w:r>
    </w:p>
    <w:p>
      <w:pPr>
        <w:widowControl/>
        <w:numPr>
          <w:ilvl w:val="0"/>
          <w:numId w:val="2"/>
        </w:numPr>
        <w:adjustRightInd w:val="0"/>
        <w:snapToGrid w:val="0"/>
        <w:spacing w:line="480" w:lineRule="exact"/>
        <w:ind w:firstLine="480"/>
        <w:jc w:val="left"/>
        <w:rPr>
          <w:rFonts w:ascii="仿宋" w:hAnsi="仿宋" w:eastAsia="仿宋" w:cs="仿宋"/>
          <w:sz w:val="24"/>
        </w:rPr>
      </w:pPr>
      <w:r>
        <w:rPr>
          <w:rFonts w:hint="eastAsia" w:ascii="仿宋" w:hAnsi="仿宋" w:eastAsia="仿宋" w:cs="仿宋"/>
          <w:sz w:val="24"/>
        </w:rPr>
        <w:t>我方同意海珊建设公司资产由管理人以招募公告及后续的重整计划草案、等文件约定的方式和状态予以交付。</w:t>
      </w:r>
    </w:p>
    <w:p>
      <w:pPr>
        <w:widowControl/>
        <w:adjustRightInd w:val="0"/>
        <w:snapToGrid w:val="0"/>
        <w:spacing w:line="480" w:lineRule="exact"/>
        <w:ind w:firstLine="480" w:firstLineChars="200"/>
        <w:jc w:val="left"/>
        <w:rPr>
          <w:rFonts w:ascii="仿宋" w:hAnsi="仿宋" w:eastAsia="仿宋" w:cs="仿宋"/>
          <w:sz w:val="24"/>
        </w:rPr>
      </w:pPr>
      <w:r>
        <w:rPr>
          <w:rFonts w:hint="eastAsia" w:ascii="仿宋" w:hAnsi="仿宋" w:eastAsia="仿宋" w:cs="仿宋"/>
          <w:sz w:val="24"/>
        </w:rPr>
        <w:t>2、我方确认遵守《四川海珊建设工程有限公司项目投资人招募公告》的全部内容。</w:t>
      </w:r>
    </w:p>
    <w:p>
      <w:pPr>
        <w:widowControl/>
        <w:adjustRightInd w:val="0"/>
        <w:snapToGrid w:val="0"/>
        <w:spacing w:line="480" w:lineRule="exact"/>
        <w:ind w:firstLine="480"/>
        <w:rPr>
          <w:rFonts w:ascii="仿宋" w:hAnsi="仿宋" w:eastAsia="仿宋" w:cs="仿宋"/>
          <w:sz w:val="24"/>
        </w:rPr>
      </w:pPr>
      <w:r>
        <w:rPr>
          <w:rFonts w:hint="eastAsia" w:ascii="仿宋" w:hAnsi="仿宋" w:eastAsia="仿宋" w:cs="仿宋"/>
          <w:sz w:val="24"/>
        </w:rPr>
        <w:t>3、我方经过深入调查和深思熟虑，认为自身符合参与海珊建设公司项目投资条件，确认参与海珊建设公司项目投资，最终在中选并经法院裁定转重整后，过渡为重整投资人。</w:t>
      </w:r>
    </w:p>
    <w:p>
      <w:pPr>
        <w:widowControl/>
        <w:adjustRightInd w:val="0"/>
        <w:snapToGrid w:val="0"/>
        <w:spacing w:line="480" w:lineRule="exact"/>
        <w:ind w:right="120" w:firstLine="480"/>
        <w:rPr>
          <w:rFonts w:ascii="仿宋" w:hAnsi="仿宋" w:eastAsia="仿宋" w:cs="仿宋"/>
          <w:b/>
          <w:bCs/>
          <w:sz w:val="24"/>
        </w:rPr>
      </w:pPr>
      <w:r>
        <w:rPr>
          <w:rFonts w:hint="eastAsia" w:ascii="仿宋" w:hAnsi="仿宋" w:eastAsia="仿宋" w:cs="仿宋"/>
          <w:b/>
          <w:bCs/>
          <w:sz w:val="24"/>
        </w:rPr>
        <w:t>基于招募公告的相关约定，我方的报价为：</w:t>
      </w:r>
    </w:p>
    <w:p>
      <w:pPr>
        <w:widowControl/>
        <w:adjustRightInd w:val="0"/>
        <w:snapToGrid w:val="0"/>
        <w:spacing w:line="480" w:lineRule="exact"/>
        <w:ind w:right="120" w:firstLine="480"/>
        <w:rPr>
          <w:rFonts w:ascii="仿宋" w:hAnsi="仿宋" w:eastAsia="仿宋" w:cs="仿宋"/>
          <w:b/>
          <w:bCs/>
          <w:sz w:val="24"/>
        </w:rPr>
      </w:pPr>
      <w:r>
        <w:rPr>
          <w:rFonts w:hint="eastAsia" w:ascii="仿宋" w:hAnsi="仿宋" w:eastAsia="仿宋" w:cs="仿宋"/>
          <w:b/>
          <w:bCs/>
          <w:sz w:val="24"/>
        </w:rPr>
        <w:t>人民币：</w:t>
      </w:r>
      <w:r>
        <w:rPr>
          <w:rFonts w:hint="eastAsia" w:ascii="仿宋" w:hAnsi="仿宋" w:eastAsia="仿宋" w:cs="仿宋"/>
          <w:b/>
          <w:bCs/>
          <w:sz w:val="24"/>
          <w:u w:val="single"/>
        </w:rPr>
        <w:t xml:space="preserve">                  </w:t>
      </w:r>
      <w:r>
        <w:rPr>
          <w:rFonts w:hint="eastAsia" w:ascii="仿宋" w:hAnsi="仿宋" w:eastAsia="仿宋" w:cs="仿宋"/>
          <w:b/>
          <w:bCs/>
          <w:sz w:val="24"/>
        </w:rPr>
        <w:t>元（大写人民币</w:t>
      </w:r>
      <w:r>
        <w:rPr>
          <w:rFonts w:hint="eastAsia" w:ascii="仿宋" w:hAnsi="仿宋" w:eastAsia="仿宋" w:cs="仿宋"/>
          <w:b/>
          <w:bCs/>
          <w:sz w:val="24"/>
          <w:u w:val="single"/>
        </w:rPr>
        <w:t xml:space="preserve">                  万元</w:t>
      </w:r>
      <w:r>
        <w:rPr>
          <w:rFonts w:hint="eastAsia" w:ascii="仿宋" w:hAnsi="仿宋" w:eastAsia="仿宋" w:cs="仿宋"/>
          <w:b/>
          <w:bCs/>
          <w:sz w:val="24"/>
        </w:rPr>
        <w:t>整），支付期限为</w:t>
      </w:r>
      <w:r>
        <w:rPr>
          <w:rFonts w:hint="eastAsia" w:ascii="仿宋" w:hAnsi="仿宋" w:eastAsia="仿宋" w:cs="仿宋"/>
          <w:b/>
          <w:bCs/>
          <w:sz w:val="24"/>
          <w:u w:val="single"/>
        </w:rPr>
        <w:t xml:space="preserve">         </w:t>
      </w:r>
      <w:r>
        <w:rPr>
          <w:rFonts w:hint="eastAsia" w:ascii="仿宋" w:hAnsi="仿宋" w:eastAsia="仿宋" w:cs="仿宋"/>
          <w:b/>
          <w:bCs/>
          <w:sz w:val="24"/>
        </w:rPr>
        <w:t xml:space="preserve">。 </w:t>
      </w:r>
    </w:p>
    <w:p>
      <w:pPr>
        <w:widowControl/>
        <w:tabs>
          <w:tab w:val="left" w:pos="5980"/>
          <w:tab w:val="left" w:pos="7060"/>
          <w:tab w:val="left" w:pos="8020"/>
        </w:tabs>
        <w:adjustRightInd w:val="0"/>
        <w:snapToGrid w:val="0"/>
        <w:spacing w:line="480" w:lineRule="exact"/>
        <w:jc w:val="left"/>
        <w:rPr>
          <w:rFonts w:ascii="仿宋" w:hAnsi="仿宋" w:eastAsia="仿宋" w:cs="仿宋"/>
          <w:sz w:val="24"/>
        </w:rPr>
      </w:pPr>
      <w:r>
        <w:rPr>
          <w:rFonts w:hint="eastAsia" w:ascii="仿宋" w:hAnsi="仿宋" w:eastAsia="仿宋" w:cs="仿宋"/>
          <w:sz w:val="24"/>
        </w:rPr>
        <w:t xml:space="preserve">                                           </w:t>
      </w:r>
    </w:p>
    <w:p>
      <w:pPr>
        <w:widowControl/>
        <w:tabs>
          <w:tab w:val="left" w:pos="5980"/>
          <w:tab w:val="left" w:pos="7060"/>
          <w:tab w:val="left" w:pos="8020"/>
        </w:tabs>
        <w:adjustRightInd w:val="0"/>
        <w:snapToGrid w:val="0"/>
        <w:spacing w:line="480" w:lineRule="exact"/>
        <w:jc w:val="center"/>
        <w:rPr>
          <w:rFonts w:ascii="仿宋" w:hAnsi="仿宋" w:eastAsia="仿宋" w:cs="仿宋"/>
          <w:sz w:val="24"/>
        </w:rPr>
      </w:pPr>
      <w:r>
        <w:rPr>
          <w:rFonts w:hint="eastAsia" w:ascii="仿宋" w:hAnsi="仿宋" w:eastAsia="仿宋" w:cs="仿宋"/>
          <w:sz w:val="24"/>
        </w:rPr>
        <w:t xml:space="preserve">                       意向投资人：</w:t>
      </w:r>
    </w:p>
    <w:p>
      <w:pPr>
        <w:pStyle w:val="4"/>
        <w:widowControl/>
        <w:adjustRightInd w:val="0"/>
        <w:spacing w:line="480" w:lineRule="exact"/>
        <w:rPr>
          <w:rFonts w:ascii="仿宋" w:hAnsi="仿宋" w:eastAsia="仿宋" w:cs="仿宋"/>
        </w:rPr>
      </w:pPr>
    </w:p>
    <w:p>
      <w:pPr>
        <w:widowControl/>
        <w:adjustRightInd w:val="0"/>
        <w:snapToGrid w:val="0"/>
        <w:spacing w:line="480" w:lineRule="exact"/>
        <w:jc w:val="right"/>
        <w:rPr>
          <w:rFonts w:ascii="仿宋" w:hAnsi="仿宋" w:eastAsia="仿宋" w:cs="仿宋"/>
          <w:sz w:val="24"/>
        </w:rPr>
      </w:pPr>
      <w:r>
        <w:rPr>
          <w:rFonts w:hint="eastAsia" w:ascii="仿宋" w:hAnsi="仿宋" w:eastAsia="仿宋" w:cs="仿宋"/>
          <w:sz w:val="24"/>
        </w:rPr>
        <w:t>年   月   日</w:t>
      </w:r>
    </w:p>
    <w:p>
      <w:pPr>
        <w:widowControl/>
        <w:adjustRightInd w:val="0"/>
        <w:snapToGrid w:val="0"/>
        <w:spacing w:line="480" w:lineRule="exact"/>
        <w:ind w:firstLine="480" w:firstLineChars="200"/>
        <w:rPr>
          <w:rFonts w:ascii="仿宋" w:hAnsi="仿宋" w:eastAsia="仿宋" w:cs="仿宋"/>
          <w:sz w:val="24"/>
        </w:rPr>
      </w:pPr>
    </w:p>
    <w:p>
      <w:pPr>
        <w:pStyle w:val="8"/>
        <w:ind w:firstLine="0" w:firstLineChars="0"/>
        <w:rPr>
          <w:rFonts w:ascii="仿宋" w:hAnsi="仿宋" w:eastAsia="仿宋" w:cs="仿宋"/>
        </w:rPr>
      </w:pPr>
    </w:p>
    <w:p>
      <w:pPr>
        <w:widowControl/>
        <w:adjustRightInd w:val="0"/>
        <w:snapToGrid w:val="0"/>
        <w:spacing w:line="480" w:lineRule="exact"/>
        <w:ind w:firstLine="482" w:firstLineChars="200"/>
        <w:rPr>
          <w:rFonts w:ascii="仿宋" w:hAnsi="仿宋" w:eastAsia="仿宋" w:cs="仿宋"/>
          <w:b/>
          <w:bCs/>
          <w:sz w:val="24"/>
        </w:rPr>
      </w:pPr>
      <w:r>
        <w:rPr>
          <w:rFonts w:hint="eastAsia" w:ascii="仿宋" w:hAnsi="仿宋" w:eastAsia="仿宋" w:cs="仿宋"/>
          <w:b/>
          <w:bCs/>
          <w:sz w:val="24"/>
        </w:rPr>
        <w:t>说明：</w:t>
      </w:r>
    </w:p>
    <w:p>
      <w:pPr>
        <w:widowControl/>
        <w:adjustRightInd w:val="0"/>
        <w:snapToGrid w:val="0"/>
        <w:spacing w:line="480" w:lineRule="exact"/>
        <w:ind w:firstLine="482" w:firstLineChars="200"/>
        <w:rPr>
          <w:rFonts w:ascii="仿宋" w:hAnsi="仿宋" w:eastAsia="仿宋" w:cs="仿宋"/>
          <w:b/>
          <w:bCs/>
          <w:sz w:val="24"/>
        </w:rPr>
      </w:pPr>
      <w:r>
        <w:rPr>
          <w:rFonts w:hint="eastAsia" w:ascii="仿宋" w:hAnsi="仿宋" w:eastAsia="仿宋" w:cs="仿宋"/>
          <w:b/>
          <w:bCs/>
          <w:sz w:val="24"/>
        </w:rPr>
        <w:t>一、该报价一经向管理人提交，即不得撤回亦不得变更。</w:t>
      </w:r>
    </w:p>
    <w:p>
      <w:pPr>
        <w:pStyle w:val="7"/>
        <w:pageBreakBefore/>
        <w:widowControl/>
        <w:spacing w:before="312" w:beforeLines="100" w:beforeAutospacing="0" w:afterAutospacing="0" w:line="380" w:lineRule="exact"/>
        <w:rPr>
          <w:rFonts w:ascii="仿宋" w:hAnsi="仿宋" w:eastAsia="仿宋" w:cs="仿宋"/>
          <w:b/>
          <w:bCs/>
          <w:color w:val="232222"/>
        </w:rPr>
      </w:pPr>
      <w:r>
        <w:rPr>
          <w:rFonts w:hint="eastAsia" w:ascii="仿宋" w:hAnsi="仿宋" w:eastAsia="仿宋" w:cs="仿宋"/>
          <w:b/>
          <w:bCs/>
          <w:color w:val="232222"/>
          <w:spacing w:val="8"/>
        </w:rPr>
        <w:t>附件4：招募投资人评审办法</w:t>
      </w:r>
    </w:p>
    <w:p>
      <w:pPr>
        <w:spacing w:before="156" w:beforeLines="50" w:after="156" w:afterLines="50" w:line="400" w:lineRule="exact"/>
        <w:jc w:val="center"/>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四川海珊建设工程有限公司公开招募投资人评审办法</w:t>
      </w:r>
    </w:p>
    <w:p>
      <w:pPr>
        <w:spacing w:before="156" w:beforeLines="50" w:after="156" w:afterLines="50" w:line="400" w:lineRule="exact"/>
        <w:ind w:firstLine="482" w:firstLineChars="20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一、公开招募四川海珊建设工程有限公司项目投资人评审办法</w:t>
      </w:r>
    </w:p>
    <w:p>
      <w:pPr>
        <w:spacing w:before="156" w:beforeLines="50" w:after="156" w:afterLines="50" w:line="400" w:lineRule="exact"/>
        <w:ind w:firstLine="482" w:firstLineChars="200"/>
        <w:rPr>
          <w:rFonts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1.符合性审查</w:t>
      </w:r>
    </w:p>
    <w:tbl>
      <w:tblPr>
        <w:tblStyle w:val="10"/>
        <w:tblW w:w="98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9"/>
        <w:gridCol w:w="1951"/>
        <w:gridCol w:w="2316"/>
        <w:gridCol w:w="4562"/>
      </w:tblGrid>
      <w:tr>
        <w:trPr>
          <w:trHeight w:val="709" w:hRule="exact"/>
          <w:jc w:val="center"/>
        </w:trPr>
        <w:tc>
          <w:tcPr>
            <w:tcW w:w="1049" w:type="dxa"/>
            <w:vAlign w:val="center"/>
          </w:tcPr>
          <w:p>
            <w:pPr>
              <w:jc w:val="center"/>
              <w:rPr>
                <w:rFonts w:ascii="仿宋" w:hAnsi="仿宋" w:eastAsia="仿宋" w:cs="仿宋"/>
                <w:b/>
                <w:bCs/>
                <w:sz w:val="22"/>
                <w:szCs w:val="22"/>
              </w:rPr>
            </w:pPr>
            <w:r>
              <w:rPr>
                <w:rFonts w:hint="eastAsia" w:ascii="仿宋" w:hAnsi="仿宋" w:eastAsia="仿宋" w:cs="仿宋"/>
                <w:b/>
                <w:bCs/>
                <w:sz w:val="22"/>
                <w:szCs w:val="22"/>
              </w:rPr>
              <w:t>序号</w:t>
            </w:r>
          </w:p>
        </w:tc>
        <w:tc>
          <w:tcPr>
            <w:tcW w:w="1951" w:type="dxa"/>
            <w:vAlign w:val="center"/>
          </w:tcPr>
          <w:p>
            <w:pPr>
              <w:jc w:val="center"/>
              <w:rPr>
                <w:rFonts w:ascii="仿宋" w:hAnsi="仿宋" w:eastAsia="仿宋" w:cs="仿宋"/>
                <w:b/>
                <w:bCs/>
                <w:sz w:val="22"/>
                <w:szCs w:val="22"/>
              </w:rPr>
            </w:pPr>
            <w:r>
              <w:rPr>
                <w:rFonts w:hint="eastAsia" w:ascii="仿宋" w:hAnsi="仿宋" w:eastAsia="仿宋" w:cs="仿宋"/>
                <w:b/>
                <w:bCs/>
                <w:sz w:val="22"/>
                <w:szCs w:val="22"/>
              </w:rPr>
              <w:t>评审内容</w:t>
            </w:r>
          </w:p>
        </w:tc>
        <w:tc>
          <w:tcPr>
            <w:tcW w:w="2316" w:type="dxa"/>
            <w:vAlign w:val="center"/>
          </w:tcPr>
          <w:p>
            <w:pPr>
              <w:jc w:val="center"/>
              <w:rPr>
                <w:rFonts w:ascii="仿宋" w:hAnsi="仿宋" w:eastAsia="仿宋" w:cs="仿宋"/>
                <w:b/>
                <w:bCs/>
                <w:sz w:val="22"/>
                <w:szCs w:val="22"/>
              </w:rPr>
            </w:pPr>
            <w:r>
              <w:rPr>
                <w:rFonts w:hint="eastAsia" w:ascii="仿宋" w:hAnsi="仿宋" w:eastAsia="仿宋" w:cs="仿宋"/>
                <w:b/>
                <w:bCs/>
                <w:sz w:val="22"/>
                <w:szCs w:val="22"/>
              </w:rPr>
              <w:t>评审内容</w:t>
            </w:r>
          </w:p>
        </w:tc>
        <w:tc>
          <w:tcPr>
            <w:tcW w:w="4562" w:type="dxa"/>
            <w:vAlign w:val="center"/>
          </w:tcPr>
          <w:p>
            <w:pPr>
              <w:jc w:val="center"/>
              <w:rPr>
                <w:rFonts w:ascii="仿宋" w:hAnsi="仿宋" w:eastAsia="仿宋" w:cs="仿宋"/>
                <w:b/>
                <w:bCs/>
                <w:sz w:val="22"/>
                <w:szCs w:val="22"/>
              </w:rPr>
            </w:pPr>
            <w:r>
              <w:rPr>
                <w:rFonts w:hint="eastAsia" w:ascii="仿宋" w:hAnsi="仿宋" w:eastAsia="仿宋" w:cs="仿宋"/>
                <w:b/>
                <w:bCs/>
                <w:sz w:val="22"/>
                <w:szCs w:val="22"/>
              </w:rPr>
              <w:t>评审标准</w:t>
            </w:r>
          </w:p>
        </w:tc>
      </w:tr>
      <w:tr>
        <w:trPr>
          <w:trHeight w:val="709" w:hRule="exact"/>
          <w:jc w:val="center"/>
        </w:trPr>
        <w:tc>
          <w:tcPr>
            <w:tcW w:w="1049" w:type="dxa"/>
            <w:vMerge w:val="restart"/>
            <w:vAlign w:val="center"/>
          </w:tcPr>
          <w:p>
            <w:pPr>
              <w:jc w:val="center"/>
              <w:rPr>
                <w:rFonts w:ascii="仿宋" w:hAnsi="仿宋" w:eastAsia="仿宋" w:cs="仿宋"/>
                <w:sz w:val="22"/>
                <w:szCs w:val="22"/>
              </w:rPr>
            </w:pPr>
            <w:r>
              <w:rPr>
                <w:rFonts w:hint="eastAsia" w:ascii="仿宋" w:hAnsi="仿宋" w:eastAsia="仿宋" w:cs="仿宋"/>
                <w:sz w:val="22"/>
                <w:szCs w:val="22"/>
              </w:rPr>
              <w:t>1</w:t>
            </w:r>
          </w:p>
        </w:tc>
        <w:tc>
          <w:tcPr>
            <w:tcW w:w="1951" w:type="dxa"/>
            <w:vMerge w:val="restart"/>
            <w:vAlign w:val="center"/>
          </w:tcPr>
          <w:p>
            <w:pPr>
              <w:jc w:val="center"/>
              <w:rPr>
                <w:rFonts w:ascii="仿宋" w:hAnsi="仿宋" w:eastAsia="仿宋" w:cs="仿宋"/>
                <w:sz w:val="22"/>
                <w:szCs w:val="22"/>
              </w:rPr>
            </w:pPr>
            <w:r>
              <w:rPr>
                <w:rFonts w:hint="eastAsia" w:ascii="仿宋" w:hAnsi="仿宋" w:eastAsia="仿宋" w:cs="仿宋"/>
                <w:sz w:val="22"/>
                <w:szCs w:val="22"/>
              </w:rPr>
              <w:t>符合性审查</w:t>
            </w:r>
          </w:p>
        </w:tc>
        <w:tc>
          <w:tcPr>
            <w:tcW w:w="2316" w:type="dxa"/>
            <w:vAlign w:val="center"/>
          </w:tcPr>
          <w:p>
            <w:pPr>
              <w:jc w:val="center"/>
              <w:rPr>
                <w:rFonts w:ascii="仿宋" w:hAnsi="仿宋" w:eastAsia="仿宋" w:cs="仿宋"/>
                <w:sz w:val="22"/>
                <w:szCs w:val="22"/>
              </w:rPr>
            </w:pPr>
            <w:r>
              <w:rPr>
                <w:rFonts w:hint="eastAsia" w:ascii="仿宋" w:hAnsi="仿宋" w:eastAsia="仿宋" w:cs="仿宋"/>
                <w:sz w:val="22"/>
                <w:szCs w:val="22"/>
              </w:rPr>
              <w:t>基本情况</w:t>
            </w:r>
          </w:p>
        </w:tc>
        <w:tc>
          <w:tcPr>
            <w:tcW w:w="4562" w:type="dxa"/>
            <w:vAlign w:val="center"/>
          </w:tcPr>
          <w:p>
            <w:pPr>
              <w:jc w:val="center"/>
              <w:rPr>
                <w:rFonts w:ascii="仿宋" w:hAnsi="仿宋" w:eastAsia="仿宋" w:cs="仿宋"/>
                <w:sz w:val="22"/>
                <w:szCs w:val="22"/>
              </w:rPr>
            </w:pPr>
            <w:r>
              <w:rPr>
                <w:rFonts w:hint="eastAsia" w:ascii="仿宋" w:hAnsi="仿宋" w:eastAsia="仿宋" w:cs="仿宋"/>
                <w:sz w:val="22"/>
                <w:szCs w:val="22"/>
              </w:rPr>
              <w:t>满足招募公告要求</w:t>
            </w:r>
          </w:p>
        </w:tc>
      </w:tr>
      <w:tr>
        <w:trPr>
          <w:trHeight w:val="1099" w:hRule="exact"/>
          <w:jc w:val="center"/>
        </w:trPr>
        <w:tc>
          <w:tcPr>
            <w:tcW w:w="1049" w:type="dxa"/>
            <w:vMerge w:val="continue"/>
            <w:vAlign w:val="center"/>
          </w:tcPr>
          <w:p>
            <w:pPr>
              <w:jc w:val="center"/>
              <w:rPr>
                <w:rFonts w:ascii="仿宋" w:hAnsi="仿宋" w:eastAsia="仿宋" w:cs="仿宋"/>
                <w:sz w:val="22"/>
                <w:szCs w:val="22"/>
              </w:rPr>
            </w:pPr>
          </w:p>
        </w:tc>
        <w:tc>
          <w:tcPr>
            <w:tcW w:w="1951" w:type="dxa"/>
            <w:vMerge w:val="continue"/>
            <w:vAlign w:val="center"/>
          </w:tcPr>
          <w:p>
            <w:pPr>
              <w:jc w:val="center"/>
              <w:rPr>
                <w:rFonts w:ascii="仿宋" w:hAnsi="仿宋" w:eastAsia="仿宋" w:cs="仿宋"/>
                <w:sz w:val="22"/>
                <w:szCs w:val="22"/>
              </w:rPr>
            </w:pPr>
          </w:p>
        </w:tc>
        <w:tc>
          <w:tcPr>
            <w:tcW w:w="2316" w:type="dxa"/>
            <w:vAlign w:val="center"/>
          </w:tcPr>
          <w:p>
            <w:pPr>
              <w:jc w:val="center"/>
              <w:rPr>
                <w:rFonts w:ascii="仿宋" w:hAnsi="仿宋" w:eastAsia="仿宋" w:cs="仿宋"/>
                <w:sz w:val="22"/>
                <w:szCs w:val="22"/>
              </w:rPr>
            </w:pPr>
            <w:r>
              <w:rPr>
                <w:rFonts w:hint="eastAsia" w:ascii="仿宋" w:hAnsi="仿宋" w:eastAsia="仿宋" w:cs="仿宋"/>
                <w:sz w:val="22"/>
                <w:szCs w:val="22"/>
              </w:rPr>
              <w:t>报名文件的签字盖章</w:t>
            </w:r>
          </w:p>
        </w:tc>
        <w:tc>
          <w:tcPr>
            <w:tcW w:w="4562" w:type="dxa"/>
            <w:vAlign w:val="center"/>
          </w:tcPr>
          <w:p>
            <w:pPr>
              <w:jc w:val="center"/>
              <w:rPr>
                <w:rFonts w:ascii="仿宋" w:hAnsi="仿宋" w:eastAsia="仿宋" w:cs="仿宋"/>
                <w:sz w:val="22"/>
                <w:szCs w:val="22"/>
              </w:rPr>
            </w:pPr>
            <w:r>
              <w:rPr>
                <w:rFonts w:hint="eastAsia" w:ascii="仿宋" w:hAnsi="仿宋" w:eastAsia="仿宋" w:cs="仿宋"/>
                <w:sz w:val="22"/>
                <w:szCs w:val="22"/>
              </w:rPr>
              <w:t>自然人有本人或者委托代理人签字并捺印；法人有法定代表人或者委托代理人签字或者盖章并加盖投标人公章</w:t>
            </w:r>
          </w:p>
        </w:tc>
      </w:tr>
      <w:tr>
        <w:trPr>
          <w:trHeight w:val="709" w:hRule="exact"/>
          <w:jc w:val="center"/>
        </w:trPr>
        <w:tc>
          <w:tcPr>
            <w:tcW w:w="1049" w:type="dxa"/>
            <w:vMerge w:val="continue"/>
            <w:vAlign w:val="center"/>
          </w:tcPr>
          <w:p>
            <w:pPr>
              <w:jc w:val="center"/>
              <w:rPr>
                <w:rFonts w:ascii="仿宋" w:hAnsi="仿宋" w:eastAsia="仿宋" w:cs="仿宋"/>
                <w:sz w:val="22"/>
                <w:szCs w:val="22"/>
              </w:rPr>
            </w:pPr>
          </w:p>
        </w:tc>
        <w:tc>
          <w:tcPr>
            <w:tcW w:w="1951" w:type="dxa"/>
            <w:vMerge w:val="continue"/>
            <w:vAlign w:val="center"/>
          </w:tcPr>
          <w:p>
            <w:pPr>
              <w:jc w:val="center"/>
              <w:rPr>
                <w:rFonts w:ascii="仿宋" w:hAnsi="仿宋" w:eastAsia="仿宋" w:cs="仿宋"/>
                <w:sz w:val="22"/>
                <w:szCs w:val="22"/>
              </w:rPr>
            </w:pPr>
          </w:p>
        </w:tc>
        <w:tc>
          <w:tcPr>
            <w:tcW w:w="2316" w:type="dxa"/>
            <w:vAlign w:val="center"/>
          </w:tcPr>
          <w:p>
            <w:pPr>
              <w:jc w:val="center"/>
              <w:rPr>
                <w:rFonts w:ascii="仿宋" w:hAnsi="仿宋" w:eastAsia="仿宋" w:cs="仿宋"/>
                <w:sz w:val="22"/>
                <w:szCs w:val="22"/>
              </w:rPr>
            </w:pPr>
            <w:r>
              <w:rPr>
                <w:rFonts w:hint="eastAsia" w:ascii="仿宋" w:hAnsi="仿宋" w:eastAsia="仿宋" w:cs="仿宋"/>
                <w:sz w:val="22"/>
                <w:szCs w:val="22"/>
              </w:rPr>
              <w:t>投标保证金</w:t>
            </w:r>
          </w:p>
        </w:tc>
        <w:tc>
          <w:tcPr>
            <w:tcW w:w="4562" w:type="dxa"/>
            <w:vAlign w:val="center"/>
          </w:tcPr>
          <w:p>
            <w:pPr>
              <w:jc w:val="center"/>
              <w:rPr>
                <w:rFonts w:ascii="仿宋" w:hAnsi="仿宋" w:eastAsia="仿宋" w:cs="仿宋"/>
                <w:sz w:val="22"/>
                <w:szCs w:val="22"/>
              </w:rPr>
            </w:pPr>
            <w:r>
              <w:rPr>
                <w:rFonts w:hint="eastAsia" w:ascii="仿宋" w:hAnsi="仿宋" w:eastAsia="仿宋" w:cs="仿宋"/>
                <w:sz w:val="22"/>
                <w:szCs w:val="22"/>
              </w:rPr>
              <w:t>符合招募公告要求</w:t>
            </w:r>
          </w:p>
        </w:tc>
      </w:tr>
      <w:tr>
        <w:trPr>
          <w:trHeight w:val="709" w:hRule="exact"/>
          <w:jc w:val="center"/>
        </w:trPr>
        <w:tc>
          <w:tcPr>
            <w:tcW w:w="1049" w:type="dxa"/>
            <w:vMerge w:val="continue"/>
            <w:vAlign w:val="center"/>
          </w:tcPr>
          <w:p>
            <w:pPr>
              <w:jc w:val="center"/>
              <w:rPr>
                <w:rFonts w:ascii="仿宋" w:hAnsi="仿宋" w:eastAsia="仿宋" w:cs="仿宋"/>
                <w:sz w:val="22"/>
                <w:szCs w:val="22"/>
              </w:rPr>
            </w:pPr>
          </w:p>
        </w:tc>
        <w:tc>
          <w:tcPr>
            <w:tcW w:w="1951" w:type="dxa"/>
            <w:vMerge w:val="continue"/>
            <w:vAlign w:val="center"/>
          </w:tcPr>
          <w:p>
            <w:pPr>
              <w:jc w:val="center"/>
              <w:rPr>
                <w:rFonts w:ascii="仿宋" w:hAnsi="仿宋" w:eastAsia="仿宋" w:cs="仿宋"/>
                <w:sz w:val="22"/>
                <w:szCs w:val="22"/>
              </w:rPr>
            </w:pPr>
          </w:p>
        </w:tc>
        <w:tc>
          <w:tcPr>
            <w:tcW w:w="2316" w:type="dxa"/>
            <w:vAlign w:val="center"/>
          </w:tcPr>
          <w:p>
            <w:pPr>
              <w:jc w:val="center"/>
              <w:rPr>
                <w:rFonts w:ascii="仿宋" w:hAnsi="仿宋" w:eastAsia="仿宋" w:cs="仿宋"/>
                <w:sz w:val="22"/>
                <w:szCs w:val="22"/>
              </w:rPr>
            </w:pPr>
            <w:r>
              <w:rPr>
                <w:rFonts w:hint="eastAsia" w:ascii="仿宋" w:hAnsi="仿宋" w:eastAsia="仿宋" w:cs="仿宋"/>
                <w:sz w:val="22"/>
                <w:szCs w:val="22"/>
              </w:rPr>
              <w:t>报名文件封存情况</w:t>
            </w:r>
          </w:p>
        </w:tc>
        <w:tc>
          <w:tcPr>
            <w:tcW w:w="4562" w:type="dxa"/>
            <w:vAlign w:val="center"/>
          </w:tcPr>
          <w:p>
            <w:pPr>
              <w:jc w:val="center"/>
              <w:rPr>
                <w:rFonts w:ascii="仿宋" w:hAnsi="仿宋" w:eastAsia="仿宋" w:cs="仿宋"/>
                <w:sz w:val="22"/>
                <w:szCs w:val="22"/>
              </w:rPr>
            </w:pPr>
            <w:r>
              <w:rPr>
                <w:rFonts w:hint="eastAsia" w:ascii="仿宋" w:hAnsi="仿宋" w:eastAsia="仿宋" w:cs="仿宋"/>
                <w:sz w:val="22"/>
                <w:szCs w:val="22"/>
              </w:rPr>
              <w:t>要求密封（若投标人为自然人的，应捺印；若投标人为法人的，应加盖公章）</w:t>
            </w:r>
          </w:p>
        </w:tc>
      </w:tr>
      <w:tr>
        <w:trPr>
          <w:trHeight w:val="709" w:hRule="exact"/>
          <w:jc w:val="center"/>
        </w:trPr>
        <w:tc>
          <w:tcPr>
            <w:tcW w:w="1049" w:type="dxa"/>
            <w:vMerge w:val="continue"/>
            <w:vAlign w:val="center"/>
          </w:tcPr>
          <w:p>
            <w:pPr>
              <w:jc w:val="center"/>
              <w:rPr>
                <w:rFonts w:ascii="仿宋" w:hAnsi="仿宋" w:eastAsia="仿宋" w:cs="仿宋"/>
                <w:sz w:val="22"/>
                <w:szCs w:val="22"/>
              </w:rPr>
            </w:pPr>
          </w:p>
        </w:tc>
        <w:tc>
          <w:tcPr>
            <w:tcW w:w="1951" w:type="dxa"/>
            <w:vMerge w:val="continue"/>
            <w:vAlign w:val="center"/>
          </w:tcPr>
          <w:p>
            <w:pPr>
              <w:jc w:val="center"/>
              <w:rPr>
                <w:rFonts w:ascii="仿宋" w:hAnsi="仿宋" w:eastAsia="仿宋" w:cs="仿宋"/>
                <w:sz w:val="22"/>
                <w:szCs w:val="22"/>
              </w:rPr>
            </w:pPr>
          </w:p>
        </w:tc>
        <w:tc>
          <w:tcPr>
            <w:tcW w:w="2316" w:type="dxa"/>
            <w:vAlign w:val="center"/>
          </w:tcPr>
          <w:p>
            <w:pPr>
              <w:jc w:val="center"/>
              <w:rPr>
                <w:rFonts w:ascii="仿宋" w:hAnsi="仿宋" w:eastAsia="仿宋" w:cs="仿宋"/>
                <w:sz w:val="22"/>
                <w:szCs w:val="22"/>
              </w:rPr>
            </w:pPr>
            <w:r>
              <w:rPr>
                <w:rFonts w:hint="eastAsia" w:ascii="仿宋" w:hAnsi="仿宋" w:eastAsia="仿宋" w:cs="仿宋"/>
                <w:sz w:val="22"/>
                <w:szCs w:val="22"/>
              </w:rPr>
              <w:t>信用情况</w:t>
            </w:r>
          </w:p>
        </w:tc>
        <w:tc>
          <w:tcPr>
            <w:tcW w:w="4562" w:type="dxa"/>
            <w:vAlign w:val="center"/>
          </w:tcPr>
          <w:p>
            <w:pPr>
              <w:jc w:val="center"/>
              <w:rPr>
                <w:rFonts w:ascii="仿宋" w:hAnsi="仿宋" w:eastAsia="仿宋" w:cs="仿宋"/>
                <w:sz w:val="22"/>
                <w:szCs w:val="22"/>
              </w:rPr>
            </w:pPr>
            <w:r>
              <w:rPr>
                <w:rFonts w:hint="eastAsia" w:ascii="仿宋" w:hAnsi="仿宋" w:eastAsia="仿宋" w:cs="仿宋"/>
                <w:sz w:val="22"/>
                <w:szCs w:val="22"/>
              </w:rPr>
              <w:t>符合招募公告要求</w:t>
            </w:r>
          </w:p>
        </w:tc>
      </w:tr>
      <w:tr>
        <w:trPr>
          <w:trHeight w:val="709" w:hRule="exact"/>
          <w:jc w:val="center"/>
        </w:trPr>
        <w:tc>
          <w:tcPr>
            <w:tcW w:w="1049" w:type="dxa"/>
            <w:vMerge w:val="continue"/>
            <w:vAlign w:val="center"/>
          </w:tcPr>
          <w:p>
            <w:pPr>
              <w:jc w:val="center"/>
              <w:rPr>
                <w:rFonts w:ascii="仿宋" w:hAnsi="仿宋" w:eastAsia="仿宋" w:cs="仿宋"/>
                <w:sz w:val="22"/>
                <w:szCs w:val="22"/>
              </w:rPr>
            </w:pPr>
          </w:p>
        </w:tc>
        <w:tc>
          <w:tcPr>
            <w:tcW w:w="1951" w:type="dxa"/>
            <w:vMerge w:val="continue"/>
            <w:vAlign w:val="center"/>
          </w:tcPr>
          <w:p>
            <w:pPr>
              <w:jc w:val="center"/>
              <w:rPr>
                <w:rFonts w:ascii="仿宋" w:hAnsi="仿宋" w:eastAsia="仿宋" w:cs="仿宋"/>
                <w:sz w:val="22"/>
                <w:szCs w:val="22"/>
              </w:rPr>
            </w:pPr>
          </w:p>
        </w:tc>
        <w:tc>
          <w:tcPr>
            <w:tcW w:w="2316" w:type="dxa"/>
            <w:vAlign w:val="center"/>
          </w:tcPr>
          <w:p>
            <w:pPr>
              <w:jc w:val="center"/>
              <w:rPr>
                <w:rFonts w:ascii="仿宋" w:hAnsi="仿宋" w:eastAsia="仿宋" w:cs="仿宋"/>
                <w:sz w:val="22"/>
                <w:szCs w:val="22"/>
              </w:rPr>
            </w:pPr>
            <w:r>
              <w:rPr>
                <w:rFonts w:hint="eastAsia" w:ascii="仿宋" w:hAnsi="仿宋" w:eastAsia="仿宋" w:cs="仿宋"/>
                <w:sz w:val="22"/>
                <w:szCs w:val="22"/>
              </w:rPr>
              <w:t>报价唯一</w:t>
            </w:r>
          </w:p>
        </w:tc>
        <w:tc>
          <w:tcPr>
            <w:tcW w:w="4562" w:type="dxa"/>
            <w:vAlign w:val="center"/>
          </w:tcPr>
          <w:p>
            <w:pPr>
              <w:jc w:val="center"/>
              <w:rPr>
                <w:rFonts w:ascii="仿宋" w:hAnsi="仿宋" w:eastAsia="仿宋" w:cs="仿宋"/>
                <w:sz w:val="22"/>
                <w:szCs w:val="22"/>
              </w:rPr>
            </w:pPr>
            <w:r>
              <w:rPr>
                <w:rFonts w:hint="eastAsia" w:ascii="仿宋" w:hAnsi="仿宋" w:eastAsia="仿宋" w:cs="仿宋"/>
                <w:sz w:val="22"/>
                <w:szCs w:val="22"/>
              </w:rPr>
              <w:t>以最终报价函为准，符合招募公告要求且只能有一个有效报价</w:t>
            </w:r>
          </w:p>
        </w:tc>
      </w:tr>
      <w:tr>
        <w:trPr>
          <w:trHeight w:val="709" w:hRule="exact"/>
          <w:jc w:val="center"/>
        </w:trPr>
        <w:tc>
          <w:tcPr>
            <w:tcW w:w="9878" w:type="dxa"/>
            <w:gridSpan w:val="4"/>
            <w:vAlign w:val="center"/>
          </w:tcPr>
          <w:p>
            <w:pPr>
              <w:jc w:val="center"/>
              <w:rPr>
                <w:rFonts w:ascii="仿宋" w:hAnsi="仿宋" w:eastAsia="仿宋" w:cs="仿宋"/>
                <w:sz w:val="22"/>
                <w:szCs w:val="22"/>
              </w:rPr>
            </w:pPr>
            <w:r>
              <w:rPr>
                <w:rFonts w:hint="eastAsia" w:ascii="仿宋" w:hAnsi="仿宋" w:eastAsia="仿宋" w:cs="仿宋"/>
                <w:b/>
                <w:bCs/>
                <w:sz w:val="22"/>
                <w:szCs w:val="22"/>
              </w:rPr>
              <w:t>注：如投标文件未通过符合性审查的，作废标处理，不进入后续评审。</w:t>
            </w:r>
          </w:p>
        </w:tc>
      </w:tr>
    </w:tbl>
    <w:p>
      <w:pPr>
        <w:spacing w:before="156" w:beforeLines="50" w:after="156" w:afterLines="50" w:line="400" w:lineRule="exact"/>
        <w:ind w:firstLine="482" w:firstLineChars="200"/>
        <w:rPr>
          <w:rFonts w:ascii="仿宋" w:hAnsi="仿宋" w:eastAsia="仿宋" w:cs="仿宋"/>
          <w:b/>
          <w:bCs/>
          <w:color w:val="000000" w:themeColor="text1"/>
          <w:sz w:val="24"/>
          <w:highlight w:val="none"/>
          <w14:textFill>
            <w14:solidFill>
              <w14:schemeClr w14:val="tx1"/>
            </w14:solidFill>
          </w14:textFill>
        </w:rPr>
      </w:pPr>
      <w:r>
        <w:rPr>
          <w:rFonts w:hint="eastAsia" w:ascii="仿宋" w:hAnsi="仿宋" w:eastAsia="仿宋" w:cs="仿宋"/>
          <w:b/>
          <w:bCs/>
          <w:color w:val="000000" w:themeColor="text1"/>
          <w:sz w:val="24"/>
          <w:highlight w:val="none"/>
          <w14:textFill>
            <w14:solidFill>
              <w14:schemeClr w14:val="tx1"/>
            </w14:solidFill>
          </w14:textFill>
        </w:rPr>
        <w:t>2.实质性审查</w:t>
      </w:r>
    </w:p>
    <w:tbl>
      <w:tblPr>
        <w:tblStyle w:val="10"/>
        <w:tblW w:w="98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1962"/>
        <w:gridCol w:w="6855"/>
      </w:tblGrid>
      <w:tr>
        <w:trPr>
          <w:trHeight w:val="500" w:hRule="exact"/>
          <w:jc w:val="center"/>
        </w:trPr>
        <w:tc>
          <w:tcPr>
            <w:tcW w:w="1044" w:type="dxa"/>
            <w:vAlign w:val="center"/>
          </w:tcPr>
          <w:p>
            <w:pPr>
              <w:jc w:val="center"/>
              <w:rPr>
                <w:rFonts w:ascii="仿宋" w:hAnsi="仿宋" w:eastAsia="仿宋" w:cs="仿宋"/>
                <w:b/>
                <w:bCs/>
                <w:sz w:val="22"/>
                <w:szCs w:val="22"/>
                <w:highlight w:val="none"/>
              </w:rPr>
            </w:pPr>
            <w:r>
              <w:rPr>
                <w:rFonts w:hint="eastAsia" w:ascii="仿宋" w:hAnsi="仿宋" w:eastAsia="仿宋" w:cs="仿宋"/>
                <w:b/>
                <w:bCs/>
                <w:sz w:val="22"/>
                <w:szCs w:val="22"/>
                <w:highlight w:val="none"/>
              </w:rPr>
              <w:t>序号</w:t>
            </w:r>
          </w:p>
        </w:tc>
        <w:tc>
          <w:tcPr>
            <w:tcW w:w="1962" w:type="dxa"/>
            <w:vAlign w:val="center"/>
          </w:tcPr>
          <w:p>
            <w:pPr>
              <w:jc w:val="center"/>
              <w:rPr>
                <w:rFonts w:ascii="仿宋" w:hAnsi="仿宋" w:eastAsia="仿宋" w:cs="仿宋"/>
                <w:b/>
                <w:bCs/>
                <w:sz w:val="22"/>
                <w:szCs w:val="22"/>
                <w:highlight w:val="none"/>
              </w:rPr>
            </w:pPr>
            <w:r>
              <w:rPr>
                <w:rFonts w:hint="eastAsia" w:ascii="仿宋" w:hAnsi="仿宋" w:eastAsia="仿宋" w:cs="仿宋"/>
                <w:b/>
                <w:bCs/>
                <w:sz w:val="22"/>
                <w:szCs w:val="22"/>
                <w:highlight w:val="none"/>
              </w:rPr>
              <w:t>评审内容及分值</w:t>
            </w:r>
          </w:p>
        </w:tc>
        <w:tc>
          <w:tcPr>
            <w:tcW w:w="6855" w:type="dxa"/>
            <w:vAlign w:val="center"/>
          </w:tcPr>
          <w:p>
            <w:pPr>
              <w:jc w:val="center"/>
              <w:rPr>
                <w:rFonts w:ascii="仿宋" w:hAnsi="仿宋" w:eastAsia="仿宋" w:cs="仿宋"/>
                <w:b/>
                <w:bCs/>
                <w:sz w:val="22"/>
                <w:szCs w:val="22"/>
                <w:highlight w:val="none"/>
              </w:rPr>
            </w:pPr>
            <w:r>
              <w:rPr>
                <w:rFonts w:hint="eastAsia" w:ascii="仿宋" w:hAnsi="仿宋" w:eastAsia="仿宋" w:cs="仿宋"/>
                <w:b/>
                <w:bCs/>
                <w:sz w:val="22"/>
                <w:szCs w:val="22"/>
                <w:highlight w:val="none"/>
              </w:rPr>
              <w:t>评分细则</w:t>
            </w:r>
          </w:p>
        </w:tc>
      </w:tr>
      <w:tr>
        <w:trPr>
          <w:trHeight w:val="1066" w:hRule="exact"/>
          <w:jc w:val="center"/>
        </w:trPr>
        <w:tc>
          <w:tcPr>
            <w:tcW w:w="1044"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1</w:t>
            </w:r>
          </w:p>
        </w:tc>
        <w:tc>
          <w:tcPr>
            <w:tcW w:w="1962"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重整投资额度（总分为90分）</w:t>
            </w:r>
          </w:p>
        </w:tc>
        <w:tc>
          <w:tcPr>
            <w:tcW w:w="6855"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报价不设上限，每增加5万元，加1分，总分最高90分。</w:t>
            </w:r>
          </w:p>
        </w:tc>
      </w:tr>
      <w:tr>
        <w:trPr>
          <w:trHeight w:val="2411" w:hRule="exact"/>
          <w:jc w:val="center"/>
        </w:trPr>
        <w:tc>
          <w:tcPr>
            <w:tcW w:w="1044"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2</w:t>
            </w:r>
          </w:p>
        </w:tc>
        <w:tc>
          <w:tcPr>
            <w:tcW w:w="1962"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重整资金支付方式（总分5分）</w:t>
            </w:r>
          </w:p>
        </w:tc>
        <w:tc>
          <w:tcPr>
            <w:tcW w:w="6855"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意向投资人需明确付款方式，付清全部重整投资资金的时间不超过</w:t>
            </w:r>
            <w:r>
              <w:rPr>
                <w:rFonts w:ascii="仿宋" w:hAnsi="仿宋" w:eastAsia="仿宋" w:cs="仿宋"/>
                <w:sz w:val="22"/>
                <w:szCs w:val="22"/>
                <w:highlight w:val="none"/>
              </w:rPr>
              <w:t>3</w:t>
            </w:r>
            <w:r>
              <w:rPr>
                <w:rFonts w:hint="eastAsia" w:ascii="仿宋" w:hAnsi="仿宋" w:eastAsia="仿宋" w:cs="仿宋"/>
                <w:sz w:val="22"/>
                <w:szCs w:val="22"/>
                <w:highlight w:val="none"/>
              </w:rPr>
              <w:t>个月（自投资协议签订之日起算）。第3个月付清的，得2分；第2个月付清，得4分；第1个月以内付清，得5分。无付款期限或者超过公告规定的付款期限的，作废标处理。</w:t>
            </w:r>
          </w:p>
        </w:tc>
      </w:tr>
      <w:tr>
        <w:trPr>
          <w:trHeight w:val="1120" w:hRule="exact"/>
          <w:jc w:val="center"/>
        </w:trPr>
        <w:tc>
          <w:tcPr>
            <w:tcW w:w="1044"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3</w:t>
            </w:r>
          </w:p>
        </w:tc>
        <w:tc>
          <w:tcPr>
            <w:tcW w:w="1962"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重整投资方案（5分）</w:t>
            </w:r>
          </w:p>
        </w:tc>
        <w:tc>
          <w:tcPr>
            <w:tcW w:w="6855" w:type="dxa"/>
            <w:vAlign w:val="center"/>
          </w:tcPr>
          <w:p>
            <w:pPr>
              <w:jc w:val="center"/>
              <w:rPr>
                <w:rFonts w:ascii="仿宋" w:hAnsi="仿宋" w:eastAsia="仿宋" w:cs="仿宋"/>
                <w:sz w:val="22"/>
                <w:szCs w:val="22"/>
                <w:highlight w:val="none"/>
              </w:rPr>
            </w:pPr>
            <w:r>
              <w:rPr>
                <w:rFonts w:hint="eastAsia" w:ascii="仿宋" w:hAnsi="仿宋" w:eastAsia="仿宋" w:cs="仿宋"/>
                <w:sz w:val="22"/>
                <w:szCs w:val="22"/>
                <w:highlight w:val="none"/>
              </w:rPr>
              <w:t>方案可操作性强，符合公告内容，可以在管理人预计的时间内完成重整，0到5分</w:t>
            </w:r>
          </w:p>
        </w:tc>
      </w:tr>
    </w:tbl>
    <w:p>
      <w:pPr>
        <w:spacing w:before="156" w:beforeLines="50" w:after="156" w:afterLines="50" w:line="40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二、报名地址及报名截止时间</w:t>
      </w:r>
    </w:p>
    <w:p>
      <w:pPr>
        <w:spacing w:before="156" w:beforeLines="50" w:after="156" w:afterLines="50" w:line="40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1.报名时间及地址详见《招募公告》；</w:t>
      </w:r>
    </w:p>
    <w:p>
      <w:pPr>
        <w:spacing w:before="156" w:beforeLines="50" w:after="156" w:afterLines="50" w:line="40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2.报名文件要求：按照《四川海珊建设工程有限公司项目投资人招募公告》及本评审办法提供。</w:t>
      </w:r>
    </w:p>
    <w:p>
      <w:pPr>
        <w:spacing w:before="156" w:beforeLines="50" w:after="156" w:afterLines="50" w:line="400" w:lineRule="exact"/>
        <w:ind w:firstLine="481"/>
        <w:rPr>
          <w:rFonts w:ascii="仿宋" w:hAnsi="仿宋" w:eastAsia="仿宋" w:cs="仿宋"/>
          <w:sz w:val="24"/>
          <w:highlight w:val="none"/>
        </w:rPr>
      </w:pPr>
      <w:r>
        <w:rPr>
          <w:rFonts w:hint="eastAsia" w:ascii="仿宋" w:hAnsi="仿宋" w:eastAsia="仿宋" w:cs="仿宋"/>
          <w:sz w:val="24"/>
          <w:highlight w:val="none"/>
        </w:rPr>
        <w:t>3.意向投资人无需参加现场评审，评标成员包括：管理人代表、债务人代表、债权人委员会代表，成员不少于三人。</w:t>
      </w:r>
    </w:p>
    <w:p>
      <w:pPr>
        <w:rPr>
          <w:rFonts w:ascii="仿宋" w:hAnsi="仿宋" w:eastAsia="仿宋" w:cs="仿宋"/>
          <w:sz w:val="24"/>
          <w:highlight w:val="none"/>
        </w:rPr>
      </w:pPr>
      <w:r>
        <w:rPr>
          <w:rFonts w:hint="eastAsia" w:ascii="仿宋" w:hAnsi="仿宋" w:eastAsia="仿宋" w:cs="仿宋"/>
          <w:sz w:val="24"/>
          <w:highlight w:val="none"/>
        </w:rPr>
        <w:t xml:space="preserve">    4.评审时间：2023年11月15日15</w:t>
      </w:r>
      <w:r>
        <w:rPr>
          <w:rFonts w:hint="default" w:ascii="仿宋" w:hAnsi="仿宋" w:eastAsia="仿宋" w:cs="仿宋"/>
          <w:sz w:val="24"/>
          <w:highlight w:val="none"/>
          <w:lang w:val="en-US"/>
        </w:rPr>
        <w:t>:</w:t>
      </w:r>
      <w:r>
        <w:rPr>
          <w:rFonts w:hint="eastAsia" w:ascii="仿宋" w:hAnsi="仿宋" w:eastAsia="仿宋" w:cs="仿宋"/>
          <w:sz w:val="24"/>
          <w:highlight w:val="none"/>
        </w:rPr>
        <w:t>00时开始。</w:t>
      </w:r>
    </w:p>
    <w:p>
      <w:pPr>
        <w:spacing w:before="156" w:beforeLines="50" w:after="156" w:afterLines="50" w:line="40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三、确定评定结果</w:t>
      </w:r>
    </w:p>
    <w:p>
      <w:pPr>
        <w:spacing w:before="156" w:beforeLines="50" w:after="156" w:afterLines="50" w:line="40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1.评审委员会根据综合评分情况，按照评审总得分由高到低顺序确定候选中选人；评审总得分相同的，则有相同分数的意向投资人重新报价，并按照总得分情况排列得分相同的意向投资人候选顺序。</w:t>
      </w:r>
    </w:p>
    <w:p>
      <w:pPr>
        <w:spacing w:before="156" w:beforeLines="50" w:after="156" w:afterLines="50" w:line="40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2.本次拟选出1名重整投资人，2名备选人。</w:t>
      </w:r>
    </w:p>
    <w:p>
      <w:pPr>
        <w:spacing w:before="156" w:beforeLines="50" w:after="156" w:afterLines="50" w:line="40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3.中选人违反报名文件相应的付款义务的（包括不限于付款金额不到位、迟延付款等）或者中选人实质性违反其响应的报名文件内容的，则取消其中选资格，备选人按照备选顺序依次替补。</w:t>
      </w:r>
    </w:p>
    <w:p>
      <w:pPr>
        <w:spacing w:before="156" w:beforeLines="50" w:after="156" w:afterLines="50" w:line="40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四、投资协议主要条款</w:t>
      </w:r>
    </w:p>
    <w:p>
      <w:pPr>
        <w:spacing w:before="156" w:beforeLines="50" w:after="156" w:afterLines="50" w:line="400" w:lineRule="exact"/>
        <w:ind w:firstLine="480" w:firstLineChars="200"/>
        <w:rPr>
          <w:rFonts w:ascii="仿宋" w:hAnsi="仿宋" w:eastAsia="仿宋" w:cs="仿宋"/>
          <w:sz w:val="24"/>
          <w:highlight w:val="none"/>
        </w:rPr>
      </w:pPr>
      <w:r>
        <w:rPr>
          <w:rFonts w:hint="eastAsia" w:ascii="仿宋" w:hAnsi="仿宋" w:eastAsia="仿宋" w:cs="仿宋"/>
          <w:sz w:val="24"/>
          <w:highlight w:val="none"/>
        </w:rPr>
        <w:t>中选人须与四川海珊建设工程有限公司管理人按照招募公告的要求签订投资协议，投资协议条款将由管理人、债务人与中选人结合本项目实际情况，以中选人在报名文件中的响应条件为基础具体协商后签订。</w:t>
      </w:r>
    </w:p>
    <w:p>
      <w:pPr>
        <w:spacing w:before="156" w:beforeLines="50" w:after="156" w:afterLines="50" w:line="400" w:lineRule="exact"/>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五、其他事项说明</w:t>
      </w:r>
    </w:p>
    <w:p>
      <w:pPr>
        <w:spacing w:before="156" w:beforeLines="50" w:after="156" w:afterLines="50" w:line="400" w:lineRule="exact"/>
        <w:ind w:firstLine="480" w:firstLineChars="200"/>
        <w:rPr>
          <w:rFonts w:ascii="仿宋" w:hAnsi="仿宋" w:eastAsia="仿宋" w:cs="仿宋"/>
          <w:highlight w:val="none"/>
        </w:rPr>
      </w:pPr>
      <w:r>
        <w:rPr>
          <w:rFonts w:hint="eastAsia" w:ascii="仿宋" w:hAnsi="仿宋" w:eastAsia="仿宋" w:cs="仿宋"/>
          <w:sz w:val="24"/>
          <w:highlight w:val="none"/>
        </w:rPr>
        <w:t>本评审办法最终解释权归本案管理人。</w:t>
      </w:r>
    </w:p>
    <w:p>
      <w:pPr>
        <w:spacing w:before="156" w:beforeLines="50" w:after="156" w:afterLines="50" w:line="400" w:lineRule="exact"/>
        <w:ind w:firstLine="420" w:firstLineChars="200"/>
        <w:rPr>
          <w:rFonts w:ascii="仿宋" w:hAnsi="仿宋" w:eastAsia="仿宋" w:cs="仿宋"/>
          <w:sz w:val="24"/>
        </w:rPr>
      </w:pPr>
      <w:r>
        <w:rPr>
          <w:rFonts w:hint="eastAsia" w:ascii="仿宋" w:hAnsi="仿宋" w:eastAsia="仿宋" w:cs="仿宋"/>
          <w:highlight w:val="none"/>
        </w:rPr>
        <w:t xml:space="preserve">                          </w:t>
      </w:r>
      <w:r>
        <w:rPr>
          <w:rFonts w:hint="eastAsia" w:ascii="仿宋" w:hAnsi="仿宋" w:eastAsia="仿宋" w:cs="仿宋"/>
          <w:sz w:val="24"/>
          <w:highlight w:val="none"/>
        </w:rPr>
        <w:t xml:space="preserve">           </w:t>
      </w:r>
      <w:r>
        <w:rPr>
          <w:rFonts w:hint="eastAsia" w:ascii="仿宋" w:hAnsi="仿宋" w:eastAsia="仿宋" w:cs="仿宋"/>
          <w:sz w:val="24"/>
        </w:rPr>
        <w:t xml:space="preserve"> 四川海珊建设工程有限公司管理人</w:t>
      </w:r>
    </w:p>
    <w:p>
      <w:pPr>
        <w:spacing w:before="156" w:beforeLines="50" w:after="156" w:afterLines="50" w:line="400" w:lineRule="exact"/>
        <w:ind w:firstLine="480" w:firstLineChars="200"/>
        <w:jc w:val="right"/>
        <w:rPr>
          <w:rFonts w:ascii="仿宋" w:hAnsi="仿宋" w:eastAsia="仿宋" w:cs="仿宋"/>
          <w:sz w:val="24"/>
        </w:rPr>
      </w:pPr>
      <w:r>
        <w:rPr>
          <w:rFonts w:hint="eastAsia" w:ascii="仿宋" w:hAnsi="仿宋" w:eastAsia="仿宋" w:cs="仿宋"/>
          <w:sz w:val="24"/>
        </w:rPr>
        <w:t>二〇二三年十月三十一日</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汉仪楷体简"/>
    <w:panose1 w:val="02010609030101010101"/>
    <w:charset w:val="86"/>
    <w:family w:val="modern"/>
    <w:pitch w:val="default"/>
    <w:sig w:usb0="00000000" w:usb1="00000000" w:usb2="0000001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 w:name="汉仪楷体简">
    <w:panose1 w:val="02010600000101010101"/>
    <w:charset w:val="86"/>
    <w:family w:val="auto"/>
    <w:pitch w:val="default"/>
    <w:sig w:usb0="00000001" w:usb1="080E0800" w:usb2="00000002"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A24187"/>
    <w:multiLevelType w:val="singleLevel"/>
    <w:tmpl w:val="F1A24187"/>
    <w:lvl w:ilvl="0" w:tentative="0">
      <w:start w:val="1"/>
      <w:numFmt w:val="decimal"/>
      <w:lvlText w:val="%1."/>
      <w:lvlJc w:val="left"/>
      <w:pPr>
        <w:ind w:left="425" w:hanging="425"/>
      </w:pPr>
      <w:rPr>
        <w:rFonts w:hint="default"/>
      </w:rPr>
    </w:lvl>
  </w:abstractNum>
  <w:abstractNum w:abstractNumId="1">
    <w:nsid w:val="360C2264"/>
    <w:multiLevelType w:val="singleLevel"/>
    <w:tmpl w:val="360C226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2"/>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Y4MWZiNDBhNGFmZWFlZGFkZTRhYjc0MzJiYTEzY2UifQ=="/>
  </w:docVars>
  <w:rsids>
    <w:rsidRoot w:val="004306CC"/>
    <w:rsid w:val="00204A84"/>
    <w:rsid w:val="004306CC"/>
    <w:rsid w:val="00575DE2"/>
    <w:rsid w:val="00732C37"/>
    <w:rsid w:val="007338C6"/>
    <w:rsid w:val="00816C10"/>
    <w:rsid w:val="008201B3"/>
    <w:rsid w:val="008D5673"/>
    <w:rsid w:val="009175E1"/>
    <w:rsid w:val="00B54A00"/>
    <w:rsid w:val="00B61543"/>
    <w:rsid w:val="00B80D33"/>
    <w:rsid w:val="00EC4A4D"/>
    <w:rsid w:val="00FE2B1F"/>
    <w:rsid w:val="025C54C9"/>
    <w:rsid w:val="081C6FEC"/>
    <w:rsid w:val="0B962E1A"/>
    <w:rsid w:val="0E2A33D8"/>
    <w:rsid w:val="146830D1"/>
    <w:rsid w:val="15A20DF8"/>
    <w:rsid w:val="2BBB7281"/>
    <w:rsid w:val="309073A5"/>
    <w:rsid w:val="39FD25A3"/>
    <w:rsid w:val="3AEFF498"/>
    <w:rsid w:val="3CA163AD"/>
    <w:rsid w:val="3FDD7337"/>
    <w:rsid w:val="41107681"/>
    <w:rsid w:val="4C60149B"/>
    <w:rsid w:val="51FDD594"/>
    <w:rsid w:val="58A20A85"/>
    <w:rsid w:val="5B57ECA1"/>
    <w:rsid w:val="5BBD2629"/>
    <w:rsid w:val="5D39A4CE"/>
    <w:rsid w:val="667C7CF0"/>
    <w:rsid w:val="67F747E4"/>
    <w:rsid w:val="68EF3A43"/>
    <w:rsid w:val="6A224529"/>
    <w:rsid w:val="6D7F8CC3"/>
    <w:rsid w:val="6EDF26DF"/>
    <w:rsid w:val="6FF0E3E1"/>
    <w:rsid w:val="73F504A3"/>
    <w:rsid w:val="7BF15BED"/>
    <w:rsid w:val="7E7A02D9"/>
    <w:rsid w:val="7E8B30DA"/>
    <w:rsid w:val="923FFCB0"/>
    <w:rsid w:val="9FAF0916"/>
    <w:rsid w:val="BDB6A7BE"/>
    <w:rsid w:val="BFBE942B"/>
    <w:rsid w:val="D3776AF4"/>
    <w:rsid w:val="EE5A25D4"/>
    <w:rsid w:val="EFBE8F87"/>
    <w:rsid w:val="EFDE909F"/>
    <w:rsid w:val="F95F4CB8"/>
    <w:rsid w:val="FDF7BD5F"/>
    <w:rsid w:val="FFAE4716"/>
    <w:rsid w:val="FFFA6E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rPr>
      <w:sz w:val="20"/>
      <w:szCs w:val="20"/>
    </w:rPr>
  </w:style>
  <w:style w:type="paragraph" w:styleId="4">
    <w:name w:val="Normal Indent"/>
    <w:basedOn w:val="1"/>
    <w:qFormat/>
    <w:uiPriority w:val="0"/>
    <w:pPr>
      <w:snapToGrid w:val="0"/>
      <w:spacing w:line="300" w:lineRule="auto"/>
      <w:ind w:firstLine="556"/>
    </w:pPr>
    <w:rPr>
      <w:rFonts w:ascii="仿宋_GB2312" w:hAnsi="Times New Roman" w:eastAsia="仿宋_GB2312"/>
      <w:kern w:val="0"/>
      <w:szCs w:val="20"/>
    </w:rPr>
  </w:style>
  <w:style w:type="paragraph" w:styleId="5">
    <w:name w:val="annotation text"/>
    <w:basedOn w:val="1"/>
    <w:qFormat/>
    <w:uiPriority w:val="0"/>
    <w:pPr>
      <w:jc w:val="left"/>
    </w:pPr>
  </w:style>
  <w:style w:type="paragraph" w:styleId="6">
    <w:name w:val="Balloon Text"/>
    <w:basedOn w:val="1"/>
    <w:link w:val="16"/>
    <w:uiPriority w:val="0"/>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Body Text First Indent"/>
    <w:basedOn w:val="2"/>
    <w:unhideWhenUsed/>
    <w:qFormat/>
    <w:uiPriority w:val="99"/>
    <w:pPr>
      <w:ind w:firstLine="420" w:firstLineChars="100"/>
    </w:p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Body text|1"/>
    <w:basedOn w:val="1"/>
    <w:qFormat/>
    <w:uiPriority w:val="0"/>
    <w:pPr>
      <w:spacing w:line="336" w:lineRule="auto"/>
      <w:ind w:firstLine="400"/>
    </w:pPr>
    <w:rPr>
      <w:rFonts w:ascii="宋体" w:hAnsi="宋体" w:eastAsia="宋体" w:cs="宋体"/>
      <w:sz w:val="26"/>
      <w:szCs w:val="26"/>
      <w:lang w:val="zh-TW" w:eastAsia="zh-TW" w:bidi="zh-TW"/>
    </w:rPr>
  </w:style>
  <w:style w:type="paragraph" w:customStyle="1" w:styleId="15">
    <w:name w:val="修订1"/>
    <w:hidden/>
    <w:unhideWhenUsed/>
    <w:uiPriority w:val="99"/>
    <w:rPr>
      <w:rFonts w:asciiTheme="minorHAnsi" w:hAnsiTheme="minorHAnsi" w:eastAsiaTheme="minorEastAsia" w:cstheme="minorBidi"/>
      <w:kern w:val="2"/>
      <w:sz w:val="21"/>
      <w:szCs w:val="24"/>
      <w:lang w:val="en-US" w:eastAsia="zh-CN" w:bidi="ar-SA"/>
    </w:rPr>
  </w:style>
  <w:style w:type="character" w:customStyle="1" w:styleId="16">
    <w:name w:val="批注框文本 Char"/>
    <w:basedOn w:val="11"/>
    <w:link w:val="6"/>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5263</Words>
  <Characters>5787</Characters>
  <Lines>47</Lines>
  <Paragraphs>13</Paragraphs>
  <TotalTime>8</TotalTime>
  <ScaleCrop>false</ScaleCrop>
  <LinksUpToDate>false</LinksUpToDate>
  <CharactersWithSpaces>6001</CharactersWithSpaces>
  <Application>WPS Office_6.2.2.8394_F1E327BC-269C-435d-A152-05C5408002CA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2023-11-02T04:28:00Z</dcterms:created>
  <dc:creator>Administrator</dc:creator>
  <cp:lastModifiedBy>Grandall_Zhong liqun</cp:lastModifiedBy>
  <dcterms:modified xsi:type="dcterms:W3CDTF">2023-11-01T22:15:10Z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2052-6.2.2.8394</vt:lpwstr>
  </property>
  <property fmtid="{D5CDD505-2E9C-101B-9397-08002B2CF9AE}" pid="3" name="ICV">
    <vt:lpwstr>C3BD4078DBFB4FE284D9F1BFFAA91589_13</vt:lpwstr>
  </property>
</Properties>
</file>