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atLeast"/>
        <w:jc w:val="center"/>
        <w:rPr>
          <w:rFonts w:ascii="微软雅黑" w:hAnsi="微软雅黑" w:eastAsia="宋体" w:cs="宋体"/>
          <w:color w:val="666666"/>
          <w:kern w:val="0"/>
          <w:sz w:val="18"/>
          <w:szCs w:val="18"/>
        </w:rPr>
      </w:pPr>
      <w:r>
        <w:rPr>
          <w:rFonts w:hint="eastAsia" w:ascii="宋体" w:hAnsi="宋体" w:eastAsia="宋体" w:cs="宋体"/>
          <w:color w:val="000000"/>
          <w:kern w:val="0"/>
          <w:sz w:val="32"/>
          <w:szCs w:val="32"/>
        </w:rPr>
        <w:t>竞买须知</w:t>
      </w:r>
    </w:p>
    <w:p>
      <w:pPr>
        <w:widowControl/>
        <w:shd w:val="clear" w:color="auto" w:fill="FFFFFF"/>
        <w:spacing w:line="420" w:lineRule="atLeast"/>
        <w:ind w:firstLine="480"/>
        <w:jc w:val="left"/>
        <w:rPr>
          <w:rFonts w:ascii="微软雅黑" w:hAnsi="微软雅黑" w:eastAsia="宋体" w:cs="宋体"/>
          <w:color w:val="666666"/>
          <w:kern w:val="0"/>
          <w:sz w:val="18"/>
          <w:szCs w:val="18"/>
        </w:rPr>
      </w:pPr>
    </w:p>
    <w:p>
      <w:pPr>
        <w:widowControl/>
        <w:shd w:val="clear" w:color="auto" w:fill="FFFFFF"/>
        <w:wordWrap w:val="0"/>
        <w:spacing w:line="420" w:lineRule="atLeast"/>
        <w:ind w:firstLine="482"/>
        <w:jc w:val="lef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新华信托股份有限公司管理人将于2023年</w:t>
      </w:r>
      <w:r>
        <w:rPr>
          <w:rFonts w:hint="eastAsia" w:ascii="Times New Roman" w:hAnsi="Times New Roman" w:eastAsia="仿宋_GB2312" w:cs="宋体"/>
          <w:color w:val="000000"/>
          <w:kern w:val="0"/>
          <w:sz w:val="24"/>
          <w:szCs w:val="24"/>
        </w:rPr>
        <w:t>11</w:t>
      </w:r>
      <w:r>
        <w:rPr>
          <w:rFonts w:ascii="Times New Roman" w:hAnsi="Times New Roman" w:eastAsia="仿宋_GB2312" w:cs="宋体"/>
          <w:color w:val="000000"/>
          <w:kern w:val="0"/>
          <w:sz w:val="24"/>
          <w:szCs w:val="24"/>
        </w:rPr>
        <w:t>月</w:t>
      </w:r>
      <w:r>
        <w:rPr>
          <w:rFonts w:hint="eastAsia" w:ascii="Times New Roman" w:hAnsi="Times New Roman" w:eastAsia="仿宋_GB2312" w:cs="宋体"/>
          <w:color w:val="000000"/>
          <w:kern w:val="0"/>
          <w:sz w:val="24"/>
          <w:szCs w:val="24"/>
          <w:lang w:val="en-US" w:eastAsia="zh-CN"/>
        </w:rPr>
        <w:t>10</w:t>
      </w:r>
      <w:r>
        <w:rPr>
          <w:rFonts w:ascii="Times New Roman" w:hAnsi="Times New Roman" w:eastAsia="仿宋_GB2312" w:cs="宋体"/>
          <w:color w:val="000000"/>
          <w:kern w:val="0"/>
          <w:sz w:val="24"/>
          <w:szCs w:val="24"/>
        </w:rPr>
        <w:t>日10时至2023年</w:t>
      </w:r>
      <w:r>
        <w:rPr>
          <w:rFonts w:hint="eastAsia" w:ascii="Times New Roman" w:hAnsi="Times New Roman" w:eastAsia="仿宋_GB2312" w:cs="宋体"/>
          <w:color w:val="000000"/>
          <w:kern w:val="0"/>
          <w:sz w:val="24"/>
          <w:szCs w:val="24"/>
        </w:rPr>
        <w:t>11</w:t>
      </w:r>
      <w:r>
        <w:rPr>
          <w:rFonts w:ascii="Times New Roman" w:hAnsi="Times New Roman" w:eastAsia="仿宋_GB2312" w:cs="宋体"/>
          <w:color w:val="000000"/>
          <w:kern w:val="0"/>
          <w:sz w:val="24"/>
          <w:szCs w:val="24"/>
        </w:rPr>
        <w:t>月</w:t>
      </w:r>
      <w:r>
        <w:rPr>
          <w:rFonts w:hint="eastAsia" w:ascii="Times New Roman" w:hAnsi="Times New Roman" w:eastAsia="仿宋_GB2312" w:cs="宋体"/>
          <w:color w:val="000000"/>
          <w:kern w:val="0"/>
          <w:sz w:val="24"/>
          <w:szCs w:val="24"/>
          <w:lang w:val="en-US" w:eastAsia="zh-CN"/>
        </w:rPr>
        <w:t>11</w:t>
      </w:r>
      <w:r>
        <w:rPr>
          <w:rFonts w:ascii="Times New Roman" w:hAnsi="Times New Roman" w:eastAsia="仿宋_GB2312" w:cs="宋体"/>
          <w:color w:val="000000"/>
          <w:kern w:val="0"/>
          <w:sz w:val="24"/>
          <w:szCs w:val="24"/>
        </w:rPr>
        <w:t>日10时止（延时除外）在淘宝网阿里</w:t>
      </w:r>
      <w:r>
        <w:rPr>
          <w:rFonts w:hint="eastAsia" w:ascii="Times New Roman" w:hAnsi="Times New Roman" w:eastAsia="仿宋_GB2312" w:cs="宋体"/>
          <w:color w:val="000000"/>
          <w:kern w:val="0"/>
          <w:sz w:val="24"/>
          <w:szCs w:val="24"/>
        </w:rPr>
        <w:t>资产交易</w:t>
      </w:r>
      <w:r>
        <w:rPr>
          <w:rFonts w:ascii="Times New Roman" w:hAnsi="Times New Roman" w:eastAsia="仿宋_GB2312" w:cs="宋体"/>
          <w:color w:val="000000"/>
          <w:kern w:val="0"/>
          <w:sz w:val="24"/>
          <w:szCs w:val="24"/>
        </w:rPr>
        <w:t>平台（处置单位：新华信托股份有限公司管理人，监督单位：重庆市第五中级人民法院，网址https://susong.taobao.com）进行公开拍卖活动</w:t>
      </w:r>
      <w:r>
        <w:rPr>
          <w:rFonts w:hint="eastAsia" w:ascii="Times New Roman" w:hAnsi="Times New Roman" w:eastAsia="仿宋_GB2312" w:cs="宋体"/>
          <w:color w:val="000000"/>
          <w:kern w:val="0"/>
          <w:sz w:val="24"/>
          <w:szCs w:val="24"/>
        </w:rPr>
        <w:t>。现就有关的网上竞价事宜敬告各位竞买人：</w:t>
      </w:r>
    </w:p>
    <w:p>
      <w:pPr>
        <w:widowControl/>
        <w:shd w:val="clear" w:color="auto" w:fill="FFFFFF"/>
        <w:spacing w:line="420" w:lineRule="atLeast"/>
        <w:ind w:firstLine="480"/>
        <w:jc w:val="left"/>
        <w:rPr>
          <w:rFonts w:ascii="Times New Roman" w:hAnsi="Times New Roman" w:eastAsia="仿宋_GB2312" w:cs="宋体"/>
          <w:color w:val="000000"/>
          <w:kern w:val="0"/>
          <w:sz w:val="24"/>
          <w:szCs w:val="24"/>
        </w:rPr>
      </w:pP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一、本《竞买须知》系根据《中华人民共和国企业破产法》《中华人民共和国拍卖法》等相关法律规定所制订，竞买人应认真仔细阅读，了解本须知的全部内容。</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二、本次拍卖活动遵循“公开、公平、公正、诚实守信”的原则，拍卖活动具备法律效力。参加本次拍卖活动的竞买人必须遵守本须知的各项条款，并对相关行为承担法律责任。</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FF0000"/>
          <w:kern w:val="0"/>
          <w:sz w:val="24"/>
          <w:szCs w:val="24"/>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四</w:t>
      </w:r>
      <w:r>
        <w:rPr>
          <w:rFonts w:ascii="Times New Roman" w:hAnsi="Times New Roman" w:eastAsia="仿宋_GB2312"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pPr>
        <w:spacing w:after="156" w:afterLines="50" w:line="420" w:lineRule="exact"/>
        <w:ind w:firstLine="482" w:firstLineChars="200"/>
        <w:rPr>
          <w:rFonts w:ascii="Times New Roman" w:hAnsi="Times New Roman" w:eastAsia="仿宋_GB2312" w:cs="Times New Roman"/>
          <w:b/>
          <w:sz w:val="24"/>
          <w:szCs w:val="32"/>
          <w:u w:val="single"/>
        </w:rPr>
      </w:pPr>
      <w:r>
        <w:rPr>
          <w:rFonts w:ascii="Times New Roman" w:hAnsi="Times New Roman" w:eastAsia="仿宋_GB2312"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highlight w:val="yellow"/>
        </w:rPr>
        <w:t>五</w:t>
      </w:r>
      <w:r>
        <w:rPr>
          <w:rFonts w:ascii="Times New Roman" w:hAnsi="Times New Roman" w:eastAsia="仿宋_GB2312"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highlight w:val="yellow"/>
        </w:rPr>
        <w:t>就</w:t>
      </w:r>
      <w:r>
        <w:rPr>
          <w:rFonts w:ascii="Times New Roman" w:hAnsi="Times New Roman" w:eastAsia="仿宋_GB2312" w:cs="Times New Roman"/>
          <w:b/>
          <w:color w:val="FF0000"/>
          <w:sz w:val="24"/>
          <w:szCs w:val="32"/>
          <w:highlight w:val="yellow"/>
        </w:rPr>
        <w:t>未尽事宜，管理人、债务人、法院不承担任何责任。</w:t>
      </w:r>
    </w:p>
    <w:p>
      <w:pPr>
        <w:spacing w:after="156" w:afterLines="50" w:line="420" w:lineRule="exact"/>
        <w:ind w:firstLine="482" w:firstLineChars="200"/>
        <w:rPr>
          <w:rFonts w:ascii="Times New Roman" w:hAnsi="Times New Roman" w:eastAsia="仿宋_GB2312" w:cs="宋体"/>
          <w:color w:val="000000"/>
          <w:kern w:val="0"/>
          <w:sz w:val="24"/>
          <w:szCs w:val="24"/>
        </w:rPr>
      </w:pPr>
      <w:r>
        <w:rPr>
          <w:rFonts w:ascii="Times New Roman" w:hAnsi="Times New Roman" w:eastAsia="仿宋_GB2312"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Pr>
          <w:rFonts w:ascii="Times New Roman" w:hAnsi="Times New Roman" w:eastAsia="仿宋_GB2312"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六</w:t>
      </w:r>
      <w:r>
        <w:rPr>
          <w:rFonts w:ascii="Times New Roman" w:hAnsi="Times New Roman" w:eastAsia="仿宋_GB2312"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24小时以内自动转为部分成交款，由淘宝平台结算给管理人指定账户。</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九</w:t>
      </w:r>
      <w:r>
        <w:rPr>
          <w:rFonts w:ascii="Times New Roman" w:hAnsi="Times New Roman" w:eastAsia="仿宋_GB2312" w:cs="宋体"/>
          <w:color w:val="000000"/>
          <w:kern w:val="0"/>
          <w:sz w:val="24"/>
          <w:szCs w:val="24"/>
        </w:rPr>
        <w:t>、买受人应在拍卖成交之日起10日内将拍卖成交价余款（即扣除保证金后的余款）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十</w:t>
      </w:r>
      <w:r>
        <w:rPr>
          <w:rFonts w:ascii="Times New Roman" w:hAnsi="Times New Roman" w:eastAsia="仿宋_GB2312" w:cs="宋体"/>
          <w:color w:val="000000"/>
          <w:kern w:val="0"/>
          <w:sz w:val="24"/>
          <w:szCs w:val="24"/>
        </w:rPr>
        <w:t>、买受人应于付清全部拍卖成交款后10个工作日内（遇节假日顺延）凭付款凭证及相关身份材料到新华信托股份有限公司破产管理人（地址：</w:t>
      </w:r>
      <w:r>
        <w:rPr>
          <w:rFonts w:hint="eastAsia" w:ascii="Times New Roman" w:hAnsi="Times New Roman" w:eastAsia="仿宋_GB2312" w:cs="宋体"/>
          <w:color w:val="000000"/>
          <w:kern w:val="0"/>
          <w:sz w:val="24"/>
          <w:szCs w:val="24"/>
        </w:rPr>
        <w:t>重庆市江北区创富路</w:t>
      </w:r>
      <w:r>
        <w:rPr>
          <w:rFonts w:ascii="Times New Roman" w:hAnsi="Times New Roman" w:eastAsia="仿宋_GB2312" w:cs="宋体"/>
          <w:color w:val="000000"/>
          <w:kern w:val="0"/>
          <w:sz w:val="24"/>
          <w:szCs w:val="24"/>
        </w:rPr>
        <w:t>3号1幢新华金融大厦1307办公室）签署拍卖成交确认文件，确认</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转让事宜。拍卖成交确认书一经签署，由买受人承继标的</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后续的全部权利、义务，与此同时，标的</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szCs w:val="32"/>
          <w:highlight w:val="yellow"/>
        </w:rPr>
      </w:pPr>
      <w:r>
        <w:rPr>
          <w:rFonts w:hint="eastAsia" w:ascii="Times New Roman" w:hAnsi="Times New Roman" w:eastAsia="仿宋_GB2312" w:cs="Times New Roman"/>
          <w:b/>
          <w:color w:val="FF0000"/>
          <w:sz w:val="24"/>
          <w:szCs w:val="32"/>
          <w:highlight w:val="yellow"/>
        </w:rPr>
        <w:t>十一</w:t>
      </w:r>
      <w:r>
        <w:rPr>
          <w:rFonts w:ascii="Times New Roman" w:hAnsi="Times New Roman" w:eastAsia="仿宋_GB2312" w:cs="Times New Roman"/>
          <w:b/>
          <w:color w:val="FF0000"/>
          <w:sz w:val="24"/>
          <w:szCs w:val="32"/>
          <w:highlight w:val="yellow"/>
        </w:rPr>
        <w:t>、拍卖成交后，由买受人自行到相关主管部门办理过户手续，管理人及新华信托予以必要的配合。如本拍卖标的存在本公告载明的情况外的担保物权、冻结等法定权利限制，经协调后竞价标的仍不能完成交割的，管理人、债务人、法院概不承担相关责任。</w:t>
      </w:r>
      <w:r>
        <w:rPr>
          <w:rFonts w:hint="eastAsia" w:ascii="Times New Roman" w:hAnsi="Times New Roman" w:eastAsia="仿宋_GB2312" w:cs="Times New Roman"/>
          <w:b/>
          <w:color w:val="FF0000"/>
          <w:sz w:val="24"/>
          <w:szCs w:val="32"/>
          <w:highlight w:val="yellow"/>
        </w:rPr>
        <w:t>竞价成交后，买受人自行承担相关标的资产无法收回、无法过户或无法转让等相关风险。</w:t>
      </w:r>
    </w:p>
    <w:p>
      <w:pPr>
        <w:spacing w:after="156" w:afterLines="50" w:line="420" w:lineRule="exact"/>
        <w:ind w:firstLine="482" w:firstLineChars="200"/>
        <w:rPr>
          <w:rFonts w:ascii="Times New Roman" w:hAnsi="Times New Roman" w:eastAsia="仿宋_GB2312" w:cs="Times New Roman"/>
          <w:b/>
          <w:sz w:val="24"/>
          <w:szCs w:val="32"/>
          <w:u w:val="single"/>
        </w:rPr>
      </w:pPr>
      <w:r>
        <w:rPr>
          <w:rFonts w:ascii="Times New Roman" w:hAnsi="Times New Roman" w:eastAsia="仿宋_GB2312" w:cs="Times New Roman"/>
          <w:b/>
          <w:sz w:val="24"/>
          <w:szCs w:val="32"/>
          <w:u w:val="single"/>
        </w:rPr>
        <w:t>竞买人竞价前应向工商、税务</w:t>
      </w:r>
      <w:r>
        <w:rPr>
          <w:rFonts w:hint="eastAsia" w:ascii="Times New Roman" w:hAnsi="Times New Roman" w:eastAsia="仿宋_GB2312" w:cs="Times New Roman"/>
          <w:b/>
          <w:sz w:val="24"/>
          <w:szCs w:val="32"/>
          <w:u w:val="single"/>
        </w:rPr>
        <w:t>、车管所</w:t>
      </w:r>
      <w:r>
        <w:rPr>
          <w:rFonts w:ascii="Times New Roman" w:hAnsi="Times New Roman" w:eastAsia="仿宋_GB2312" w:cs="Times New Roman"/>
          <w:b/>
          <w:sz w:val="24"/>
          <w:szCs w:val="32"/>
          <w:u w:val="single"/>
        </w:rPr>
        <w:t>等相关部门，对标的物的权属、能否过户、过户要求和流程、税费缴付的标准及起止时间，以及其他需注意的事项进行咨询。因政策原因或其他原因导致不能过户的风险由竞买人自行承担。</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pPr>
        <w:numPr>
          <w:ilvl w:val="0"/>
          <w:numId w:val="1"/>
        </w:num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rPr>
        <w:t>本次拍卖标的拍卖过程中可能产生的一切税款和费用（包括但不限于增值税及附加、印花税、交易手续费、权证工本费、个人</w:t>
      </w:r>
      <w:r>
        <w:rPr>
          <w:rFonts w:ascii="Times New Roman" w:hAnsi="Times New Roman" w:eastAsia="仿宋_GB2312" w:cs="Times New Roman"/>
          <w:b/>
          <w:color w:val="FF0000"/>
          <w:sz w:val="24"/>
          <w:szCs w:val="32"/>
        </w:rPr>
        <w:t>/企业所得税和其它相关税款和费用，以相关部门最终核定为准），均由买受人承担。</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ascii="Times New Roman" w:hAnsi="Times New Roman" w:eastAsia="仿宋_GB2312" w:cs="Times New Roman"/>
          <w:b/>
          <w:color w:val="FF0000"/>
          <w:sz w:val="24"/>
          <w:szCs w:val="32"/>
        </w:rPr>
        <w:t>标的物项下涉及违法、违章部分以及相应的罚款等其他费用均由买受人承担，请买受人按照相关行政主管部门的要求自行处理。因车辆可能存在未知的情况，故管理人在交付车辆后，涉及保险补缴、违章处理及拖车、维修等所有费用均由买受人自行承担。</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highlight w:val="yellow"/>
        </w:rPr>
        <w:t>竞买人在竞买前应对拍卖标的作详细了解，并充分估算拍卖所产生的各种税、费，竞买人应向所涉税务局部门确认成交后应缴纳的税费标准。如果拍卖后发生任一风险，管理人不承担任何经济及法律责任。买受人在承担后不得据此主张竞价无效或向管理人索偿。</w:t>
      </w:r>
    </w:p>
    <w:p>
      <w:pPr>
        <w:spacing w:after="156" w:afterLines="50" w:line="420" w:lineRule="exact"/>
        <w:ind w:firstLine="482" w:firstLineChars="200"/>
        <w:rPr>
          <w:rFonts w:ascii="Times New Roman" w:hAnsi="Times New Roman" w:eastAsia="仿宋_GB2312" w:cs="Times New Roman"/>
          <w:color w:val="000000" w:themeColor="text1"/>
          <w:sz w:val="24"/>
          <w:szCs w:val="32"/>
          <w14:textFill>
            <w14:solidFill>
              <w14:schemeClr w14:val="tx1"/>
            </w14:solidFill>
          </w14:textFill>
        </w:rPr>
      </w:pPr>
      <w:r>
        <w:rPr>
          <w:rFonts w:hint="eastAsia" w:ascii="Times New Roman" w:hAnsi="Times New Roman" w:eastAsia="仿宋_GB2312" w:cs="Times New Roman"/>
          <w:b/>
          <w:color w:val="FF0000"/>
          <w:sz w:val="24"/>
          <w:szCs w:val="32"/>
        </w:rPr>
        <w:t>拍卖成交后，买受人应于成交之日起</w:t>
      </w:r>
      <w:r>
        <w:rPr>
          <w:rFonts w:ascii="Times New Roman" w:hAnsi="Times New Roman" w:eastAsia="仿宋_GB2312" w:cs="Times New Roman"/>
          <w:b/>
          <w:color w:val="FF0000"/>
          <w:sz w:val="24"/>
          <w:szCs w:val="32"/>
        </w:rPr>
        <w:t>10个工作日内签署《税、费承担承诺书》（详见附件模板），确定一切税、费及其他关联费用的承担事宜</w:t>
      </w:r>
      <w:r>
        <w:rPr>
          <w:rFonts w:ascii="Times New Roman" w:hAnsi="Times New Roman" w:eastAsia="仿宋_GB2312" w:cs="Times New Roman"/>
          <w:sz w:val="24"/>
          <w:szCs w:val="32"/>
        </w:rPr>
        <w:t>。</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三</w:t>
      </w:r>
      <w:r>
        <w:rPr>
          <w:rFonts w:ascii="Times New Roman" w:hAnsi="Times New Roman" w:eastAsia="仿宋_GB2312" w:cs="宋体"/>
          <w:color w:val="000000"/>
          <w:kern w:val="0"/>
          <w:sz w:val="24"/>
          <w:szCs w:val="24"/>
        </w:rPr>
        <w:t>、本次拍卖活动计价货币为人民币。</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四</w:t>
      </w:r>
      <w:r>
        <w:rPr>
          <w:rFonts w:ascii="Times New Roman" w:hAnsi="Times New Roman" w:eastAsia="仿宋_GB2312"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五</w:t>
      </w:r>
      <w:r>
        <w:rPr>
          <w:rFonts w:ascii="Times New Roman" w:hAnsi="Times New Roman" w:eastAsia="仿宋_GB2312" w:cs="宋体"/>
          <w:color w:val="000000"/>
          <w:kern w:val="0"/>
          <w:sz w:val="24"/>
          <w:szCs w:val="24"/>
        </w:rPr>
        <w:t>、管理人根据法律规定有权在拍卖开始前中止拍卖或撤回拍卖。管理人撤回拍卖的，竞买人已缴纳的保证金原路无息退回。</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六</w:t>
      </w:r>
      <w:r>
        <w:rPr>
          <w:rFonts w:ascii="Times New Roman" w:hAnsi="Times New Roman" w:eastAsia="仿宋_GB2312" w:cs="宋体"/>
          <w:color w:val="000000"/>
          <w:kern w:val="0"/>
          <w:sz w:val="24"/>
          <w:szCs w:val="24"/>
        </w:rPr>
        <w:t>、凡发现拍卖中有违规行为，可如实举报。</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七</w:t>
      </w:r>
      <w:r>
        <w:rPr>
          <w:rFonts w:ascii="Times New Roman" w:hAnsi="Times New Roman" w:eastAsia="仿宋_GB2312" w:cs="宋体"/>
          <w:color w:val="000000"/>
          <w:kern w:val="0"/>
          <w:sz w:val="24"/>
          <w:szCs w:val="24"/>
        </w:rPr>
        <w:t>、自公告日起（双休日、节假日除外）</w:t>
      </w:r>
      <w:r>
        <w:rPr>
          <w:rFonts w:hint="eastAsia" w:ascii="Times New Roman" w:hAnsi="Times New Roman" w:eastAsia="仿宋_GB2312" w:cs="宋体"/>
          <w:color w:val="000000"/>
          <w:kern w:val="0"/>
          <w:sz w:val="24"/>
          <w:szCs w:val="24"/>
        </w:rPr>
        <w:t>至</w:t>
      </w:r>
      <w:r>
        <w:rPr>
          <w:rFonts w:ascii="Times New Roman" w:hAnsi="Times New Roman" w:eastAsia="仿宋_GB2312" w:cs="宋体"/>
          <w:color w:val="000000"/>
          <w:kern w:val="0"/>
          <w:sz w:val="24"/>
          <w:szCs w:val="24"/>
        </w:rPr>
        <w:t>2023年</w:t>
      </w:r>
      <w:r>
        <w:rPr>
          <w:rFonts w:hint="eastAsia" w:ascii="Times New Roman" w:hAnsi="Times New Roman" w:eastAsia="仿宋_GB2312" w:cs="宋体"/>
          <w:color w:val="000000"/>
          <w:kern w:val="0"/>
          <w:sz w:val="24"/>
          <w:szCs w:val="24"/>
        </w:rPr>
        <w:t>1</w:t>
      </w:r>
      <w:r>
        <w:rPr>
          <w:rFonts w:ascii="Times New Roman" w:hAnsi="Times New Roman" w:eastAsia="仿宋_GB2312" w:cs="宋体"/>
          <w:color w:val="000000"/>
          <w:kern w:val="0"/>
          <w:sz w:val="24"/>
          <w:szCs w:val="24"/>
        </w:rPr>
        <w:t>1月</w:t>
      </w:r>
      <w:r>
        <w:rPr>
          <w:rFonts w:hint="eastAsia" w:ascii="Times New Roman" w:hAnsi="Times New Roman" w:eastAsia="仿宋_GB2312" w:cs="宋体"/>
          <w:color w:val="000000"/>
          <w:kern w:val="0"/>
          <w:sz w:val="24"/>
          <w:szCs w:val="24"/>
          <w:lang w:val="en-US" w:eastAsia="zh-CN"/>
        </w:rPr>
        <w:t>7</w:t>
      </w:r>
      <w:r>
        <w:rPr>
          <w:rFonts w:ascii="Times New Roman" w:hAnsi="Times New Roman" w:eastAsia="仿宋_GB2312" w:cs="宋体"/>
          <w:color w:val="000000"/>
          <w:kern w:val="0"/>
          <w:sz w:val="24"/>
          <w:szCs w:val="24"/>
        </w:rPr>
        <w:t>日</w:t>
      </w:r>
      <w:bookmarkStart w:id="3" w:name="_GoBack"/>
      <w:bookmarkEnd w:id="3"/>
      <w:r>
        <w:rPr>
          <w:rFonts w:ascii="Times New Roman" w:hAnsi="Times New Roman" w:eastAsia="仿宋_GB2312" w:cs="宋体"/>
          <w:color w:val="000000"/>
          <w:kern w:val="0"/>
          <w:sz w:val="24"/>
          <w:szCs w:val="24"/>
        </w:rPr>
        <w:t>9时止接受咨询，联系人：吴律师、林律师。联系电话：</w:t>
      </w:r>
      <w:r>
        <w:rPr>
          <w:rFonts w:hint="eastAsia" w:ascii="Times New Roman" w:hAnsi="Times New Roman" w:eastAsia="仿宋_GB2312" w:cs="宋体"/>
          <w:color w:val="000000"/>
          <w:kern w:val="0"/>
          <w:sz w:val="24"/>
          <w:szCs w:val="24"/>
        </w:rPr>
        <w:t>1</w:t>
      </w:r>
      <w:r>
        <w:rPr>
          <w:rFonts w:ascii="Times New Roman" w:hAnsi="Times New Roman" w:eastAsia="仿宋_GB2312" w:cs="宋体"/>
          <w:color w:val="000000"/>
          <w:kern w:val="0"/>
          <w:sz w:val="24"/>
          <w:szCs w:val="24"/>
        </w:rPr>
        <w:t>3667611656</w:t>
      </w:r>
      <w:r>
        <w:rPr>
          <w:rFonts w:hint="eastAsia" w:ascii="Times New Roman" w:hAnsi="Times New Roman" w:eastAsia="仿宋_GB2312" w:cs="宋体"/>
          <w:color w:val="000000"/>
          <w:kern w:val="0"/>
          <w:sz w:val="24"/>
          <w:szCs w:val="24"/>
        </w:rPr>
        <w:t>、1</w:t>
      </w:r>
      <w:r>
        <w:rPr>
          <w:rFonts w:ascii="Times New Roman" w:hAnsi="Times New Roman" w:eastAsia="仿宋_GB2312" w:cs="宋体"/>
          <w:color w:val="000000"/>
          <w:kern w:val="0"/>
          <w:sz w:val="24"/>
          <w:szCs w:val="24"/>
        </w:rPr>
        <w:t>8696675499</w:t>
      </w:r>
      <w:r>
        <w:rPr>
          <w:rFonts w:hint="eastAsia" w:ascii="Times New Roman" w:hAnsi="Times New Roman" w:eastAsia="仿宋_GB2312" w:cs="宋体"/>
          <w:color w:val="000000"/>
          <w:kern w:val="0"/>
          <w:sz w:val="24"/>
          <w:szCs w:val="24"/>
        </w:rPr>
        <w:t>、</w:t>
      </w:r>
      <w:r>
        <w:rPr>
          <w:rFonts w:ascii="Times New Roman" w:hAnsi="Times New Roman" w:eastAsia="仿宋_GB2312" w:cs="宋体"/>
          <w:color w:val="000000"/>
          <w:kern w:val="0"/>
          <w:sz w:val="24"/>
          <w:szCs w:val="24"/>
        </w:rPr>
        <w:t>18983943140。本规则其他未尽事宜，请向管理人咨询。</w:t>
      </w:r>
    </w:p>
    <w:p>
      <w:pPr>
        <w:spacing w:after="156" w:afterLines="50" w:line="420" w:lineRule="exact"/>
        <w:ind w:firstLine="480" w:firstLineChars="200"/>
        <w:rPr>
          <w:rFonts w:ascii="Times New Roman" w:hAnsi="Times New Roman" w:eastAsia="仿宋_GB2312" w:cs="宋体"/>
          <w:color w:val="000000"/>
          <w:kern w:val="0"/>
          <w:sz w:val="24"/>
          <w:szCs w:val="24"/>
        </w:rPr>
      </w:pPr>
      <w:bookmarkStart w:id="0" w:name="OLE_LINK17"/>
      <w:bookmarkStart w:id="1" w:name="OLE_LINK18"/>
      <w:bookmarkStart w:id="2" w:name="OLE_LINK16"/>
      <w:r>
        <w:rPr>
          <w:rFonts w:ascii="Times New Roman" w:hAnsi="Times New Roman" w:eastAsia="仿宋_GB2312" w:cs="宋体"/>
          <w:color w:val="000000"/>
          <w:kern w:val="0"/>
          <w:sz w:val="24"/>
          <w:szCs w:val="24"/>
        </w:rPr>
        <w:t>以上竞买须知，敬请竞买人知悉。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bookmarkEnd w:id="0"/>
      <w:bookmarkEnd w:id="1"/>
      <w:bookmarkEnd w:id="2"/>
    </w:p>
    <w:p>
      <w:pPr>
        <w:spacing w:line="420" w:lineRule="exact"/>
        <w:rPr>
          <w:rFonts w:ascii="Times New Roman" w:hAnsi="Times New Roman" w:eastAsia="仿宋_GB2312" w:cs="宋体"/>
          <w:color w:val="000000"/>
          <w:kern w:val="0"/>
          <w:sz w:val="24"/>
          <w:szCs w:val="24"/>
        </w:rPr>
      </w:pPr>
    </w:p>
    <w:p>
      <w:pPr>
        <w:spacing w:line="420" w:lineRule="exact"/>
        <w:jc w:val="righ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新华信托股份有限公司管理人</w:t>
      </w:r>
    </w:p>
    <w:p>
      <w:pPr>
        <w:spacing w:line="420" w:lineRule="exact"/>
        <w:jc w:val="righ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2023年11月2日</w:t>
      </w:r>
    </w:p>
    <w:p>
      <w:pPr>
        <w:rPr>
          <w:rFonts w:ascii="Times New Roman" w:hAnsi="Times New Roman" w:eastAsia="仿宋_GB2312"/>
        </w:rPr>
      </w:pPr>
    </w:p>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15AFA"/>
    <w:multiLevelType w:val="singleLevel"/>
    <w:tmpl w:val="90515AFA"/>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1894"/>
    <w:rsid w:val="00052CF2"/>
    <w:rsid w:val="0005649B"/>
    <w:rsid w:val="000606C8"/>
    <w:rsid w:val="00061E3F"/>
    <w:rsid w:val="00063947"/>
    <w:rsid w:val="00065CB2"/>
    <w:rsid w:val="00071067"/>
    <w:rsid w:val="00073767"/>
    <w:rsid w:val="00076CB1"/>
    <w:rsid w:val="00077492"/>
    <w:rsid w:val="0009065B"/>
    <w:rsid w:val="000934C1"/>
    <w:rsid w:val="00093A8F"/>
    <w:rsid w:val="0009410A"/>
    <w:rsid w:val="000944CE"/>
    <w:rsid w:val="0009535E"/>
    <w:rsid w:val="000960BD"/>
    <w:rsid w:val="000A3633"/>
    <w:rsid w:val="000A6700"/>
    <w:rsid w:val="000A687A"/>
    <w:rsid w:val="000B3A63"/>
    <w:rsid w:val="000D091B"/>
    <w:rsid w:val="000D1D3A"/>
    <w:rsid w:val="000D33B3"/>
    <w:rsid w:val="000D358B"/>
    <w:rsid w:val="000D3E57"/>
    <w:rsid w:val="000D4246"/>
    <w:rsid w:val="000D6695"/>
    <w:rsid w:val="000D7FD8"/>
    <w:rsid w:val="000E12CD"/>
    <w:rsid w:val="000E2314"/>
    <w:rsid w:val="000E7EEC"/>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60DE0"/>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21221"/>
    <w:rsid w:val="00227960"/>
    <w:rsid w:val="00236F40"/>
    <w:rsid w:val="0023724D"/>
    <w:rsid w:val="00240EAF"/>
    <w:rsid w:val="002502F1"/>
    <w:rsid w:val="00250ABC"/>
    <w:rsid w:val="0025141B"/>
    <w:rsid w:val="00257926"/>
    <w:rsid w:val="00263FFB"/>
    <w:rsid w:val="0026409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50DA8"/>
    <w:rsid w:val="00450DE0"/>
    <w:rsid w:val="004534B1"/>
    <w:rsid w:val="00457879"/>
    <w:rsid w:val="00457FC3"/>
    <w:rsid w:val="004608BE"/>
    <w:rsid w:val="00465468"/>
    <w:rsid w:val="00470156"/>
    <w:rsid w:val="00471186"/>
    <w:rsid w:val="00472236"/>
    <w:rsid w:val="00474EAF"/>
    <w:rsid w:val="004820D2"/>
    <w:rsid w:val="00482D05"/>
    <w:rsid w:val="00485B5C"/>
    <w:rsid w:val="00490989"/>
    <w:rsid w:val="00493452"/>
    <w:rsid w:val="004A2E20"/>
    <w:rsid w:val="004A5A6C"/>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15D98"/>
    <w:rsid w:val="00623475"/>
    <w:rsid w:val="006236EC"/>
    <w:rsid w:val="00627B72"/>
    <w:rsid w:val="0063361C"/>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303A1"/>
    <w:rsid w:val="00732F99"/>
    <w:rsid w:val="00733419"/>
    <w:rsid w:val="00736E4B"/>
    <w:rsid w:val="00754B73"/>
    <w:rsid w:val="00784B3C"/>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68C3"/>
    <w:rsid w:val="00A06EF7"/>
    <w:rsid w:val="00A07D25"/>
    <w:rsid w:val="00A13500"/>
    <w:rsid w:val="00A14027"/>
    <w:rsid w:val="00A15959"/>
    <w:rsid w:val="00A15BAB"/>
    <w:rsid w:val="00A1760F"/>
    <w:rsid w:val="00A23709"/>
    <w:rsid w:val="00A24EDD"/>
    <w:rsid w:val="00A253CB"/>
    <w:rsid w:val="00A25D55"/>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3539E"/>
    <w:rsid w:val="00D43116"/>
    <w:rsid w:val="00D47D7A"/>
    <w:rsid w:val="00D539AA"/>
    <w:rsid w:val="00D54AE1"/>
    <w:rsid w:val="00D63E40"/>
    <w:rsid w:val="00D64FF1"/>
    <w:rsid w:val="00D76FDE"/>
    <w:rsid w:val="00D80226"/>
    <w:rsid w:val="00D81CFA"/>
    <w:rsid w:val="00D82341"/>
    <w:rsid w:val="00D84A87"/>
    <w:rsid w:val="00D927D7"/>
    <w:rsid w:val="00DA2A5B"/>
    <w:rsid w:val="00DA664D"/>
    <w:rsid w:val="00DB16BA"/>
    <w:rsid w:val="00DB2B6C"/>
    <w:rsid w:val="00DB48A5"/>
    <w:rsid w:val="00DC331A"/>
    <w:rsid w:val="00DC3E3F"/>
    <w:rsid w:val="00DC7075"/>
    <w:rsid w:val="00DD07A3"/>
    <w:rsid w:val="00DD282F"/>
    <w:rsid w:val="00DD2C40"/>
    <w:rsid w:val="00DE23EF"/>
    <w:rsid w:val="00DF5350"/>
    <w:rsid w:val="00DF7755"/>
    <w:rsid w:val="00E006EB"/>
    <w:rsid w:val="00E00FF6"/>
    <w:rsid w:val="00E0351F"/>
    <w:rsid w:val="00E11055"/>
    <w:rsid w:val="00E110A7"/>
    <w:rsid w:val="00E1407E"/>
    <w:rsid w:val="00E17713"/>
    <w:rsid w:val="00E227B5"/>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D3914"/>
    <w:rsid w:val="00ED7730"/>
    <w:rsid w:val="00EE6C8E"/>
    <w:rsid w:val="00EE722C"/>
    <w:rsid w:val="00EF1A95"/>
    <w:rsid w:val="00EF1BBC"/>
    <w:rsid w:val="00EF2D5D"/>
    <w:rsid w:val="00EF37EF"/>
    <w:rsid w:val="00EF3986"/>
    <w:rsid w:val="00EF4EA0"/>
    <w:rsid w:val="00F01BDA"/>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5C7"/>
    <w:rsid w:val="00FF09A6"/>
    <w:rsid w:val="00FF3BCE"/>
    <w:rsid w:val="00FF607F"/>
    <w:rsid w:val="00FF6D05"/>
    <w:rsid w:val="09DE16AA"/>
    <w:rsid w:val="3249748F"/>
    <w:rsid w:val="7E7B7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KWM</Company>
  <Pages>4</Pages>
  <Words>466</Words>
  <Characters>2658</Characters>
  <Lines>22</Lines>
  <Paragraphs>6</Paragraphs>
  <TotalTime>7</TotalTime>
  <ScaleCrop>false</ScaleCrop>
  <LinksUpToDate>false</LinksUpToDate>
  <CharactersWithSpaces>3118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2023-10-15T10:42:00Z</dcterms:created>
  <dc:creator>Wu, Jianya</dc:creator>
  <cp:lastModifiedBy>李俊霖</cp:lastModifiedBy>
  <dcterms:modified xsi:type="dcterms:W3CDTF">2023-11-01T08:25:10Z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E7EB47D09EBE44739176C552FB3CE2AC_13</vt:lpwstr>
  </property>
</Properties>
</file>