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20" w:lineRule="atLeast"/>
        <w:jc w:val="center"/>
        <w:rPr>
          <w:rFonts w:ascii="微软雅黑" w:hAnsi="微软雅黑" w:eastAsia="宋体" w:cs="宋体"/>
          <w:color w:val="666666"/>
          <w:kern w:val="0"/>
          <w:sz w:val="18"/>
          <w:szCs w:val="18"/>
        </w:rPr>
      </w:pPr>
      <w:r>
        <w:rPr>
          <w:rFonts w:hint="eastAsia" w:ascii="宋体" w:hAnsi="宋体" w:eastAsia="宋体" w:cs="宋体"/>
          <w:color w:val="000000"/>
          <w:kern w:val="0"/>
          <w:sz w:val="32"/>
          <w:szCs w:val="32"/>
        </w:rPr>
        <w:t>竞买须知</w:t>
      </w:r>
    </w:p>
    <w:p>
      <w:pPr>
        <w:widowControl/>
        <w:shd w:val="clear" w:color="auto" w:fill="FFFFFF"/>
        <w:spacing w:line="420" w:lineRule="atLeast"/>
        <w:ind w:firstLine="480"/>
        <w:jc w:val="left"/>
        <w:rPr>
          <w:rFonts w:ascii="微软雅黑" w:hAnsi="微软雅黑" w:eastAsia="宋体" w:cs="宋体"/>
          <w:color w:val="666666"/>
          <w:kern w:val="0"/>
          <w:sz w:val="18"/>
          <w:szCs w:val="18"/>
        </w:rPr>
      </w:pPr>
    </w:p>
    <w:p>
      <w:pPr>
        <w:widowControl/>
        <w:shd w:val="clear" w:color="auto" w:fill="FFFFFF"/>
        <w:wordWrap w:val="0"/>
        <w:spacing w:line="420" w:lineRule="atLeast"/>
        <w:ind w:firstLine="482"/>
        <w:jc w:val="left"/>
        <w:rPr>
          <w:rFonts w:ascii="Times New Roman" w:hAnsi="Times New Roman" w:eastAsia="仿宋_GB2312" w:cs="宋体"/>
          <w:color w:val="666666"/>
          <w:kern w:val="0"/>
          <w:sz w:val="18"/>
          <w:szCs w:val="18"/>
        </w:rPr>
      </w:pPr>
      <w:r>
        <w:rPr>
          <w:rFonts w:ascii="Times New Roman" w:hAnsi="Times New Roman" w:eastAsia="仿宋_GB2312" w:cs="宋体"/>
          <w:color w:val="000000"/>
          <w:kern w:val="0"/>
          <w:sz w:val="24"/>
          <w:szCs w:val="24"/>
        </w:rPr>
        <w:t>新华信托股份有限公司管理人将于2023年</w:t>
      </w:r>
      <w:r>
        <w:rPr>
          <w:rFonts w:hint="eastAsia" w:ascii="Times New Roman" w:hAnsi="Times New Roman" w:eastAsia="仿宋_GB2312" w:cs="宋体"/>
          <w:color w:val="000000"/>
          <w:kern w:val="0"/>
          <w:sz w:val="24"/>
          <w:szCs w:val="24"/>
        </w:rPr>
        <w:t>11</w:t>
      </w:r>
      <w:r>
        <w:rPr>
          <w:rFonts w:ascii="Times New Roman" w:hAnsi="Times New Roman" w:eastAsia="仿宋_GB2312" w:cs="宋体"/>
          <w:color w:val="000000"/>
          <w:kern w:val="0"/>
          <w:sz w:val="24"/>
          <w:szCs w:val="24"/>
        </w:rPr>
        <w:t>月</w:t>
      </w:r>
      <w:r>
        <w:rPr>
          <w:rFonts w:hint="eastAsia" w:ascii="Times New Roman" w:hAnsi="Times New Roman" w:eastAsia="仿宋_GB2312" w:cs="宋体"/>
          <w:color w:val="000000"/>
          <w:kern w:val="0"/>
          <w:sz w:val="24"/>
          <w:szCs w:val="24"/>
          <w:lang w:val="en-US" w:eastAsia="zh-CN"/>
        </w:rPr>
        <w:t>10</w:t>
      </w:r>
      <w:r>
        <w:rPr>
          <w:rFonts w:ascii="Times New Roman" w:hAnsi="Times New Roman" w:eastAsia="仿宋_GB2312" w:cs="宋体"/>
          <w:color w:val="000000"/>
          <w:kern w:val="0"/>
          <w:sz w:val="24"/>
          <w:szCs w:val="24"/>
        </w:rPr>
        <w:t>日10时至2023年</w:t>
      </w:r>
      <w:r>
        <w:rPr>
          <w:rFonts w:hint="eastAsia" w:ascii="Times New Roman" w:hAnsi="Times New Roman" w:eastAsia="仿宋_GB2312" w:cs="宋体"/>
          <w:color w:val="000000"/>
          <w:kern w:val="0"/>
          <w:sz w:val="24"/>
          <w:szCs w:val="24"/>
        </w:rPr>
        <w:t>11</w:t>
      </w:r>
      <w:r>
        <w:rPr>
          <w:rFonts w:ascii="Times New Roman" w:hAnsi="Times New Roman" w:eastAsia="仿宋_GB2312" w:cs="宋体"/>
          <w:color w:val="000000"/>
          <w:kern w:val="0"/>
          <w:sz w:val="24"/>
          <w:szCs w:val="24"/>
        </w:rPr>
        <w:t>月</w:t>
      </w:r>
      <w:r>
        <w:rPr>
          <w:rFonts w:hint="eastAsia" w:ascii="Times New Roman" w:hAnsi="Times New Roman" w:eastAsia="仿宋_GB2312" w:cs="宋体"/>
          <w:color w:val="000000"/>
          <w:kern w:val="0"/>
          <w:sz w:val="24"/>
          <w:szCs w:val="24"/>
          <w:lang w:val="en-US" w:eastAsia="zh-CN"/>
        </w:rPr>
        <w:t>11</w:t>
      </w:r>
      <w:r>
        <w:rPr>
          <w:rFonts w:ascii="Times New Roman" w:hAnsi="Times New Roman" w:eastAsia="仿宋_GB2312" w:cs="宋体"/>
          <w:color w:val="000000"/>
          <w:kern w:val="0"/>
          <w:sz w:val="24"/>
          <w:szCs w:val="24"/>
        </w:rPr>
        <w:t>日10时止（延时除外）在淘宝网阿里</w:t>
      </w:r>
      <w:r>
        <w:rPr>
          <w:rFonts w:hint="eastAsia" w:ascii="Times New Roman" w:hAnsi="Times New Roman" w:eastAsia="仿宋_GB2312" w:cs="宋体"/>
          <w:color w:val="000000"/>
          <w:kern w:val="0"/>
          <w:sz w:val="24"/>
          <w:szCs w:val="24"/>
        </w:rPr>
        <w:t>资产交易</w:t>
      </w:r>
      <w:r>
        <w:rPr>
          <w:rFonts w:ascii="Times New Roman" w:hAnsi="Times New Roman" w:eastAsia="仿宋_GB2312" w:cs="宋体"/>
          <w:color w:val="000000"/>
          <w:kern w:val="0"/>
          <w:sz w:val="24"/>
          <w:szCs w:val="24"/>
        </w:rPr>
        <w:t>平台（处置单位：新华信托股份有限公司管理人，监督单位：重庆市第五中级人民法院，网址https://susong.taobao.com）进行公开拍卖活动</w:t>
      </w:r>
      <w:r>
        <w:rPr>
          <w:rFonts w:hint="eastAsia" w:ascii="Times New Roman" w:hAnsi="Times New Roman" w:eastAsia="仿宋_GB2312" w:cs="宋体"/>
          <w:color w:val="000000"/>
          <w:kern w:val="0"/>
          <w:sz w:val="24"/>
          <w:szCs w:val="24"/>
        </w:rPr>
        <w:t>。现就有关的网上竞价事宜敬告各位竞买人：</w:t>
      </w:r>
    </w:p>
    <w:p>
      <w:pPr>
        <w:widowControl/>
        <w:shd w:val="clear" w:color="auto" w:fill="FFFFFF"/>
        <w:spacing w:line="420" w:lineRule="atLeast"/>
        <w:ind w:firstLine="480"/>
        <w:jc w:val="left"/>
        <w:rPr>
          <w:rFonts w:ascii="Times New Roman" w:hAnsi="Times New Roman" w:eastAsia="仿宋_GB2312" w:cs="宋体"/>
          <w:color w:val="000000"/>
          <w:kern w:val="0"/>
          <w:sz w:val="24"/>
          <w:szCs w:val="24"/>
        </w:rPr>
      </w:pPr>
    </w:p>
    <w:p>
      <w:pPr>
        <w:spacing w:after="156" w:afterLines="50" w:line="420" w:lineRule="exact"/>
        <w:ind w:firstLine="480" w:firstLineChars="200"/>
        <w:rPr>
          <w:rFonts w:ascii="Times New Roman" w:hAnsi="Times New Roman" w:eastAsia="仿宋_GB2312" w:cs="宋体"/>
          <w:color w:val="000000"/>
          <w:kern w:val="0"/>
          <w:sz w:val="24"/>
          <w:szCs w:val="24"/>
        </w:rPr>
      </w:pPr>
      <w:r>
        <w:rPr>
          <w:rFonts w:ascii="Times New Roman" w:hAnsi="Times New Roman" w:eastAsia="仿宋_GB2312" w:cs="宋体"/>
          <w:color w:val="000000"/>
          <w:kern w:val="0"/>
          <w:sz w:val="24"/>
          <w:szCs w:val="24"/>
        </w:rPr>
        <w:t>一、本《竞买须知》系根据《中华人民共和国企业破产法》《中华人民共和国拍卖法》等相关法律规定所制订，竞买人应认真仔细阅读，了解本须知的全部内容。</w:t>
      </w:r>
    </w:p>
    <w:p>
      <w:pPr>
        <w:spacing w:after="156" w:afterLines="50" w:line="420" w:lineRule="exact"/>
        <w:ind w:firstLine="480" w:firstLineChars="200"/>
        <w:rPr>
          <w:rFonts w:ascii="Times New Roman" w:hAnsi="Times New Roman" w:eastAsia="仿宋_GB2312" w:cs="宋体"/>
          <w:color w:val="000000"/>
          <w:kern w:val="0"/>
          <w:sz w:val="24"/>
          <w:szCs w:val="24"/>
        </w:rPr>
      </w:pPr>
      <w:r>
        <w:rPr>
          <w:rFonts w:ascii="Times New Roman" w:hAnsi="Times New Roman" w:eastAsia="仿宋_GB2312" w:cs="宋体"/>
          <w:color w:val="000000"/>
          <w:kern w:val="0"/>
          <w:sz w:val="24"/>
          <w:szCs w:val="24"/>
        </w:rPr>
        <w:t>二、本次拍卖活动遵循“公开、公平、公正、诚实守信”的原则，拍卖活动具备法律效力。参加本次拍卖活动的竞买人必须遵守本须知的各项条款，并对相关行为承担法律责任。</w:t>
      </w:r>
    </w:p>
    <w:p>
      <w:pPr>
        <w:spacing w:after="156" w:afterLines="50" w:line="420" w:lineRule="exact"/>
        <w:ind w:firstLine="480" w:firstLineChars="200"/>
        <w:rPr>
          <w:rFonts w:ascii="Times New Roman" w:hAnsi="Times New Roman" w:eastAsia="仿宋_GB2312" w:cs="宋体"/>
          <w:color w:val="FF0000"/>
          <w:kern w:val="0"/>
          <w:sz w:val="24"/>
          <w:szCs w:val="24"/>
        </w:rPr>
      </w:pPr>
      <w:r>
        <w:rPr>
          <w:rFonts w:ascii="Times New Roman" w:hAnsi="Times New Roman" w:eastAsia="仿宋_GB2312" w:cs="宋体"/>
          <w:color w:val="FF0000"/>
          <w:kern w:val="0"/>
          <w:sz w:val="24"/>
          <w:szCs w:val="24"/>
        </w:rPr>
        <w:t>三、财产拍卖风险提示。竞买人应当自行在竞买前全面了解标的可能存在的查封、抵押等权利限制情况，及可能存在权利限制情况对标的过户的影响。《竞买公告》披露的标的查封、抵押等权利限制情况仅供竞买人参考，具体以登记部门登记情况为准。</w:t>
      </w:r>
    </w:p>
    <w:p>
      <w:pPr>
        <w:spacing w:after="156" w:afterLines="50" w:line="420" w:lineRule="exact"/>
        <w:ind w:firstLine="480" w:firstLineChars="200"/>
        <w:rPr>
          <w:rFonts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四</w:t>
      </w:r>
      <w:r>
        <w:rPr>
          <w:rFonts w:ascii="Times New Roman" w:hAnsi="Times New Roman" w:eastAsia="仿宋_GB2312" w:cs="宋体"/>
          <w:color w:val="000000"/>
          <w:kern w:val="0"/>
          <w:sz w:val="24"/>
          <w:szCs w:val="24"/>
        </w:rPr>
        <w:t>、竞买人条件。竞买人应当具备完全民事行为能力。法律、行政法规、司法解释和当地政府政策对本标的竞买人资格或者条件有特殊规定的，竞买人应当具备规定的资格或条件。因不符合条件参加竞买的，由竞买人自行承担相应的法律责任。</w:t>
      </w:r>
    </w:p>
    <w:p>
      <w:pPr>
        <w:spacing w:after="156" w:afterLines="50" w:line="420" w:lineRule="exact"/>
        <w:ind w:firstLine="482" w:firstLineChars="200"/>
        <w:rPr>
          <w:rFonts w:ascii="Times New Roman" w:hAnsi="Times New Roman" w:eastAsia="仿宋_GB2312" w:cs="Times New Roman"/>
          <w:b/>
          <w:sz w:val="24"/>
          <w:szCs w:val="32"/>
          <w:u w:val="single"/>
        </w:rPr>
      </w:pPr>
      <w:r>
        <w:rPr>
          <w:rFonts w:ascii="Times New Roman" w:hAnsi="Times New Roman" w:eastAsia="仿宋_GB2312" w:cs="Times New Roman"/>
          <w:b/>
          <w:sz w:val="24"/>
          <w:szCs w:val="32"/>
          <w:u w:val="single"/>
        </w:rPr>
        <w:t>如未满足前述竞买人资格而参与竞拍的，则视为竞买行为无效，视为竞买人违约，竞买人交纳的保证金不予退还，计入债务人财产。保证金依次用于支付拍卖产生的费用损失、弥补重新拍卖价款低于原拍卖价款的差价。保证金数额不足以弥补前述费用损失以及差价的，管理人可向竞买人追索。</w:t>
      </w:r>
    </w:p>
    <w:p>
      <w:pPr>
        <w:spacing w:after="156" w:afterLines="50" w:line="420" w:lineRule="exact"/>
        <w:ind w:firstLine="482" w:firstLineChars="200"/>
        <w:rPr>
          <w:rFonts w:ascii="Times New Roman" w:hAnsi="Times New Roman" w:eastAsia="仿宋_GB2312" w:cs="Times New Roman"/>
          <w:b/>
          <w:color w:val="FF0000"/>
          <w:sz w:val="24"/>
          <w:szCs w:val="32"/>
        </w:rPr>
      </w:pPr>
      <w:r>
        <w:rPr>
          <w:rFonts w:hint="eastAsia" w:ascii="Times New Roman" w:hAnsi="Times New Roman" w:eastAsia="仿宋_GB2312" w:cs="Times New Roman"/>
          <w:b/>
          <w:color w:val="FF0000"/>
          <w:sz w:val="24"/>
          <w:szCs w:val="32"/>
          <w:highlight w:val="yellow"/>
        </w:rPr>
        <w:t>五</w:t>
      </w:r>
      <w:r>
        <w:rPr>
          <w:rFonts w:ascii="Times New Roman" w:hAnsi="Times New Roman" w:eastAsia="仿宋_GB2312" w:cs="Times New Roman"/>
          <w:b/>
          <w:color w:val="FF0000"/>
          <w:sz w:val="24"/>
          <w:szCs w:val="32"/>
          <w:highlight w:val="yellow"/>
        </w:rPr>
        <w:t>、管理人对此次竞价标的物所作的说明和提供的图片、文字资料等，仅为竞买人参与竞买提供参考，不能作为竞买人判断、权衡价值的最终依据，竞买人根据自身需求可自行调查、了解、核实。</w:t>
      </w:r>
      <w:r>
        <w:rPr>
          <w:rFonts w:hint="eastAsia" w:ascii="Times New Roman" w:hAnsi="Times New Roman" w:eastAsia="仿宋_GB2312" w:cs="Times New Roman"/>
          <w:b/>
          <w:color w:val="FF0000"/>
          <w:sz w:val="24"/>
          <w:szCs w:val="32"/>
          <w:highlight w:val="yellow"/>
        </w:rPr>
        <w:t>就</w:t>
      </w:r>
      <w:r>
        <w:rPr>
          <w:rFonts w:ascii="Times New Roman" w:hAnsi="Times New Roman" w:eastAsia="仿宋_GB2312" w:cs="Times New Roman"/>
          <w:b/>
          <w:color w:val="FF0000"/>
          <w:sz w:val="24"/>
          <w:szCs w:val="32"/>
          <w:highlight w:val="yellow"/>
        </w:rPr>
        <w:t>未尽事宜，管理人、债务人、法院不承担任何责任。</w:t>
      </w:r>
    </w:p>
    <w:p>
      <w:pPr>
        <w:spacing w:after="156" w:afterLines="50" w:line="420" w:lineRule="exact"/>
        <w:ind w:firstLine="482" w:firstLineChars="200"/>
        <w:rPr>
          <w:rFonts w:ascii="Times New Roman" w:hAnsi="Times New Roman" w:eastAsia="仿宋_GB2312" w:cs="宋体"/>
          <w:color w:val="000000"/>
          <w:kern w:val="0"/>
          <w:sz w:val="24"/>
          <w:szCs w:val="24"/>
        </w:rPr>
      </w:pPr>
      <w:r>
        <w:rPr>
          <w:rFonts w:ascii="Times New Roman" w:hAnsi="Times New Roman" w:eastAsia="仿宋_GB2312" w:cs="Times New Roman"/>
          <w:b/>
          <w:sz w:val="24"/>
          <w:szCs w:val="32"/>
          <w:u w:val="single"/>
        </w:rPr>
        <w:t>本次拍卖标的物以其现状为准，竞买人应对拍卖标的实际状况以及瑕疵（含显性、隐性瑕疵）等自行调查核实、承担投资风险，管理人、债务人、法院不承担标的物的瑕疵担保责任。</w:t>
      </w:r>
      <w:r>
        <w:rPr>
          <w:rFonts w:ascii="Times New Roman" w:hAnsi="Times New Roman" w:eastAsia="仿宋_GB2312" w:cs="宋体"/>
          <w:color w:val="000000"/>
          <w:kern w:val="0"/>
          <w:sz w:val="24"/>
          <w:szCs w:val="24"/>
        </w:rPr>
        <w:t>有意者请自行咨询并进行尽职调查，可向相关机构咨询。竞买人一旦缴纳保证金参与竞价，无论是否咨询或尽职调查，均视为已完全了解，并接受标的物的现状和一切已知及未知的瑕疵，竞买人应当自行承担可能存在的一切责任、风险和费用。如有纠纷，竞买人应当自循法律途径解决，管理人概不负责，竞买人不得因此向管理人提出任何异议或任何索赔等权利主张，由此产生的问题不影响拍卖成交结果及成交价格。请欲报名参与竞价的竞买人充分考虑标的显性和隐性的瑕疵风险以及市场价格的波动，谨慎选择，慎重决定。</w:t>
      </w:r>
    </w:p>
    <w:p>
      <w:pPr>
        <w:spacing w:after="156" w:afterLines="50" w:line="420" w:lineRule="exact"/>
        <w:ind w:firstLine="480" w:firstLineChars="200"/>
        <w:rPr>
          <w:rFonts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六</w:t>
      </w:r>
      <w:r>
        <w:rPr>
          <w:rFonts w:ascii="Times New Roman" w:hAnsi="Times New Roman" w:eastAsia="仿宋_GB2312" w:cs="宋体"/>
          <w:color w:val="000000"/>
          <w:kern w:val="0"/>
          <w:sz w:val="24"/>
          <w:szCs w:val="24"/>
        </w:rPr>
        <w:t>、竞买人在对拍卖标的第一次确认出价竞拍前，须在淘宝注册账号并通过实名认证（已注册淘宝账号需通过实名认证），并完成在线支付竞买保证金，支付后系统自动冻结该笔保证金。拍卖结束后未能竞得者锁定的保证金自动解锁，锁定期间不计利息。拍卖成交的，买受人交纳的保证金可以充抵价款，本标的物买受人原锁定的保证金将在买受人支付软件服务费以后的24小时以内自动转为部分成交款，由淘宝平台结算给管理人指定账户。</w:t>
      </w:r>
    </w:p>
    <w:p>
      <w:pPr>
        <w:spacing w:after="156" w:afterLines="50" w:line="420" w:lineRule="exact"/>
        <w:ind w:firstLine="480" w:firstLineChars="200"/>
        <w:rPr>
          <w:rFonts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七、如参与竞买人未在淘宝开设账户，可委托代理人（具备完全民事行为能力的自然人）进行，但须在竞买开始前一同到管理人处办理委托手续；竞买成功后，买受人（委托人）（法定代表人、其他组织的负责人）须与委托代理人一同到管理人处办理交接手续。如委托手续不全，竞买活动认定为委托代理人的个人行为。</w:t>
      </w:r>
    </w:p>
    <w:p>
      <w:pPr>
        <w:spacing w:after="156" w:afterLines="50" w:line="420" w:lineRule="exact"/>
        <w:ind w:firstLine="480" w:firstLineChars="200"/>
        <w:rPr>
          <w:rFonts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八、本次竞价活动如若存在优先竞买人的，优先购买权人参与竞买的，可以与其他竞买人以相同的价格出价，没有更高出价的，竞价财产由优先购买权人竞得。顺序不同的优先购买权人以相同价格出价的，竞价财产由顺序在先的优先购买权人竞得。顺序相同的优先购买权人以相同价格出价的，竞价财产由出价在先的优先购买权人竞得。</w:t>
      </w:r>
    </w:p>
    <w:p>
      <w:pPr>
        <w:spacing w:after="156" w:afterLines="50" w:line="420" w:lineRule="exact"/>
        <w:ind w:firstLine="480" w:firstLineChars="200"/>
        <w:rPr>
          <w:rFonts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九</w:t>
      </w:r>
      <w:r>
        <w:rPr>
          <w:rFonts w:ascii="Times New Roman" w:hAnsi="Times New Roman" w:eastAsia="仿宋_GB2312" w:cs="宋体"/>
          <w:color w:val="000000"/>
          <w:kern w:val="0"/>
          <w:sz w:val="24"/>
          <w:szCs w:val="24"/>
        </w:rPr>
        <w:t>、买受人应在拍卖成交之日起10日内将拍卖成交价余款（即扣除保证金后的余款）缴入管理人指定账户，注明破产案号及款项性质。</w:t>
      </w:r>
    </w:p>
    <w:p>
      <w:pPr>
        <w:spacing w:after="156" w:afterLines="50" w:line="420" w:lineRule="exact"/>
        <w:ind w:firstLine="480" w:firstLineChars="200"/>
        <w:rPr>
          <w:rFonts w:ascii="Times New Roman" w:hAnsi="Times New Roman" w:eastAsia="仿宋_GB2312" w:cs="宋体"/>
          <w:color w:val="000000"/>
          <w:kern w:val="0"/>
          <w:sz w:val="24"/>
          <w:szCs w:val="24"/>
        </w:rPr>
      </w:pPr>
      <w:r>
        <w:rPr>
          <w:rFonts w:ascii="Times New Roman" w:hAnsi="Times New Roman" w:eastAsia="仿宋_GB2312" w:cs="宋体"/>
          <w:color w:val="000000"/>
          <w:kern w:val="0"/>
          <w:sz w:val="24"/>
          <w:szCs w:val="24"/>
        </w:rPr>
        <w:t>逾期未支付成交价余款的，视为买受人违约，买受人交纳的保证金不予退还，计入债务人财产。保证金依次用于支付拍卖产生的费用损失、弥补重新拍卖价款低于原拍卖价款的差价。保证金数额不足以弥补前述费用损失以及差价的，管理人可向悔拍人追索。悔拍后重新拍卖的，原买受人不得参加竞买。</w:t>
      </w:r>
    </w:p>
    <w:p>
      <w:pPr>
        <w:spacing w:after="156" w:afterLines="50" w:line="420" w:lineRule="exact"/>
        <w:ind w:firstLine="480" w:firstLineChars="200"/>
        <w:rPr>
          <w:rFonts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十</w:t>
      </w:r>
      <w:r>
        <w:rPr>
          <w:rFonts w:ascii="Times New Roman" w:hAnsi="Times New Roman" w:eastAsia="仿宋_GB2312" w:cs="宋体"/>
          <w:color w:val="000000"/>
          <w:kern w:val="0"/>
          <w:sz w:val="24"/>
          <w:szCs w:val="24"/>
        </w:rPr>
        <w:t>、本次拍卖标的上存在抵押权。买受人在交齐所有成交款后，债务人、管理人将配合买受人，与抵押权人协商推进解除抵押。</w:t>
      </w:r>
    </w:p>
    <w:p>
      <w:pPr>
        <w:spacing w:after="156" w:afterLines="50" w:line="420" w:lineRule="exact"/>
        <w:ind w:firstLine="480" w:firstLineChars="200"/>
        <w:rPr>
          <w:rFonts w:ascii="Times New Roman" w:hAnsi="Times New Roman" w:eastAsia="仿宋_GB2312" w:cs="宋体"/>
          <w:color w:val="000000"/>
          <w:kern w:val="0"/>
          <w:sz w:val="24"/>
          <w:szCs w:val="24"/>
        </w:rPr>
      </w:pPr>
      <w:r>
        <w:rPr>
          <w:rFonts w:ascii="Times New Roman" w:hAnsi="Times New Roman" w:eastAsia="仿宋_GB2312" w:cs="宋体"/>
          <w:color w:val="000000"/>
          <w:kern w:val="0"/>
          <w:sz w:val="24"/>
          <w:szCs w:val="24"/>
        </w:rPr>
        <w:t>拍卖成交后，由买受人自行到相关主管部门办理过户手续，管理人及新华信托予以必要的配合。买受人应于拍卖标的解除抵押后10个工作日内（遇节假日顺延）凭付款凭证及相关身份材料到新华信托股份有限公司破产管理人（地址：重庆市江北区创富路3号1幢新华金融大厦1307办公室）签署拍卖成交确认文件、《房屋销售协议（重庆市江北不动产登记中心制式文本）》，确认资产交易事宜。</w:t>
      </w:r>
    </w:p>
    <w:p>
      <w:pPr>
        <w:spacing w:after="156" w:afterLines="50" w:line="420" w:lineRule="exact"/>
        <w:ind w:firstLine="480" w:firstLineChars="200"/>
        <w:rPr>
          <w:rFonts w:ascii="Times New Roman" w:hAnsi="Times New Roman" w:eastAsia="仿宋_GB2312" w:cs="宋体"/>
          <w:color w:val="000000"/>
          <w:kern w:val="0"/>
          <w:sz w:val="24"/>
          <w:szCs w:val="24"/>
        </w:rPr>
      </w:pPr>
      <w:r>
        <w:rPr>
          <w:rFonts w:ascii="Times New Roman" w:hAnsi="Times New Roman" w:eastAsia="仿宋_GB2312" w:cs="宋体"/>
          <w:color w:val="000000"/>
          <w:kern w:val="0"/>
          <w:sz w:val="24"/>
          <w:szCs w:val="24"/>
        </w:rPr>
        <w:t>买受人在拍卖标的完成解除抵押后10个工作日内签署《房屋销售协议（重庆市江北不动产登记中心制式文本）》的，协议签订当日为拍卖标的交割日；买受人在拍卖标的完成解除抵押后10个工作日内未签署《房屋销售协议（重庆市江北不动产登记中心制式文本）》的，拍卖标的完成解除抵押后第11个工作日为交割日。自交割日起（含交割日）由买受人承继拍卖标的后续的全部权利、义务，与此同时，拍卖标的存在的任一风险与未来可能发生的成本（包括但不限于拍卖标的的水、电、气、物业等费用），均由买受人承担。</w:t>
      </w:r>
    </w:p>
    <w:p>
      <w:pPr>
        <w:spacing w:after="156" w:afterLines="50" w:line="420" w:lineRule="exact"/>
        <w:ind w:firstLine="482" w:firstLineChars="200"/>
        <w:rPr>
          <w:rFonts w:ascii="Times New Roman" w:hAnsi="Times New Roman" w:eastAsia="仿宋_GB2312" w:cs="Times New Roman"/>
          <w:b/>
          <w:color w:val="FF0000"/>
          <w:sz w:val="24"/>
          <w:szCs w:val="32"/>
        </w:rPr>
      </w:pPr>
      <w:r>
        <w:rPr>
          <w:rFonts w:hint="eastAsia" w:ascii="Times New Roman" w:hAnsi="Times New Roman" w:eastAsia="仿宋_GB2312" w:cs="Times New Roman"/>
          <w:b/>
          <w:color w:val="FF0000"/>
          <w:sz w:val="24"/>
          <w:szCs w:val="32"/>
          <w:highlight w:val="yellow"/>
        </w:rPr>
        <w:t>十一</w:t>
      </w:r>
      <w:r>
        <w:rPr>
          <w:rFonts w:ascii="Times New Roman" w:hAnsi="Times New Roman" w:eastAsia="仿宋_GB2312" w:cs="Times New Roman"/>
          <w:b/>
          <w:color w:val="FF0000"/>
          <w:sz w:val="24"/>
          <w:szCs w:val="32"/>
          <w:highlight w:val="yellow"/>
        </w:rPr>
        <w:t>、拍卖成交后，由买受人自行到相关主管部门办理过户手续，管理人及新华信托予以必要的配合。如本拍卖标的存在本公告载明的情况外的担保物权、冻结等法定权利限制，经协调后竞价标的仍不能完成交割的，管理人、债务人、法院概不承担相关责任。</w:t>
      </w:r>
      <w:r>
        <w:rPr>
          <w:rFonts w:hint="eastAsia" w:ascii="Times New Roman" w:hAnsi="Times New Roman" w:eastAsia="仿宋_GB2312" w:cs="Times New Roman"/>
          <w:b/>
          <w:color w:val="FF0000"/>
          <w:sz w:val="24"/>
          <w:szCs w:val="32"/>
          <w:highlight w:val="yellow"/>
        </w:rPr>
        <w:t>竞价成交后，买受人自行承担相关标的资产无法收回、无法过户或无法转让等相关风险。</w:t>
      </w:r>
    </w:p>
    <w:p>
      <w:pPr>
        <w:spacing w:after="156" w:afterLines="50" w:line="420" w:lineRule="exact"/>
        <w:ind w:firstLine="482" w:firstLineChars="200"/>
        <w:rPr>
          <w:rFonts w:ascii="Times New Roman" w:hAnsi="Times New Roman" w:eastAsia="仿宋_GB2312" w:cs="Times New Roman"/>
          <w:b/>
          <w:sz w:val="24"/>
          <w:szCs w:val="32"/>
          <w:u w:val="single"/>
        </w:rPr>
      </w:pPr>
      <w:r>
        <w:rPr>
          <w:rFonts w:ascii="Times New Roman" w:hAnsi="Times New Roman" w:eastAsia="仿宋_GB2312" w:cs="Times New Roman"/>
          <w:b/>
          <w:sz w:val="24"/>
          <w:szCs w:val="32"/>
          <w:u w:val="single"/>
        </w:rPr>
        <w:t>竞买人竞价前应向工商、税务等相关部门，对标的物的权属、能否过户、过户要求和流程、税费缴付的标准及起止时间，以及其他需注意的事项进行咨询。因政策原因或其他原因导致不能过户的风险由竞买人自行承担。</w:t>
      </w:r>
    </w:p>
    <w:p>
      <w:pPr>
        <w:spacing w:after="156" w:afterLines="50" w:line="420" w:lineRule="exact"/>
        <w:ind w:firstLine="480" w:firstLineChars="200"/>
        <w:rPr>
          <w:rFonts w:ascii="Times New Roman" w:hAnsi="Times New Roman" w:eastAsia="仿宋_GB2312" w:cs="宋体"/>
          <w:color w:val="000000"/>
          <w:kern w:val="0"/>
          <w:sz w:val="24"/>
          <w:szCs w:val="24"/>
        </w:rPr>
      </w:pPr>
      <w:r>
        <w:rPr>
          <w:rFonts w:ascii="Times New Roman" w:hAnsi="Times New Roman" w:eastAsia="仿宋_GB2312" w:cs="宋体"/>
          <w:color w:val="000000"/>
          <w:kern w:val="0"/>
          <w:sz w:val="24"/>
          <w:szCs w:val="24"/>
        </w:rPr>
        <w:t>如本次竞价标的由于不确定因素、自然灾害及新型冠状病毒疫情等不可抗力或政策原因等其他任一情形致使竞价标的不能如期交割的，管理人、债务人、法院概不承担相关责任。</w:t>
      </w:r>
    </w:p>
    <w:p>
      <w:pPr>
        <w:spacing w:after="156" w:afterLines="50" w:line="420" w:lineRule="exact"/>
        <w:ind w:firstLine="482" w:firstLineChars="200"/>
        <w:rPr>
          <w:rFonts w:ascii="Times New Roman" w:hAnsi="Times New Roman" w:eastAsia="仿宋_GB2312" w:cs="Times New Roman"/>
          <w:b/>
          <w:color w:val="FF0000"/>
          <w:sz w:val="24"/>
          <w:szCs w:val="32"/>
        </w:rPr>
      </w:pPr>
      <w:r>
        <w:rPr>
          <w:rFonts w:ascii="Times New Roman" w:hAnsi="Times New Roman" w:eastAsia="仿宋_GB2312" w:cs="Times New Roman"/>
          <w:b/>
          <w:color w:val="FF0000"/>
          <w:sz w:val="24"/>
          <w:szCs w:val="32"/>
        </w:rPr>
        <w:t>十</w:t>
      </w:r>
      <w:r>
        <w:rPr>
          <w:rFonts w:hint="eastAsia" w:ascii="Times New Roman" w:hAnsi="Times New Roman" w:eastAsia="仿宋_GB2312" w:cs="Times New Roman"/>
          <w:b/>
          <w:color w:val="FF0000"/>
          <w:sz w:val="24"/>
          <w:szCs w:val="32"/>
        </w:rPr>
        <w:t>二</w:t>
      </w:r>
      <w:r>
        <w:rPr>
          <w:rFonts w:ascii="Times New Roman" w:hAnsi="Times New Roman" w:eastAsia="仿宋_GB2312" w:cs="Times New Roman"/>
          <w:b/>
          <w:color w:val="FF0000"/>
          <w:sz w:val="24"/>
          <w:szCs w:val="32"/>
        </w:rPr>
        <w:t>、</w:t>
      </w:r>
      <w:r>
        <w:rPr>
          <w:rFonts w:hint="eastAsia" w:ascii="Times New Roman" w:hAnsi="Times New Roman" w:eastAsia="仿宋_GB2312" w:cs="Times New Roman"/>
          <w:b/>
          <w:color w:val="FF0000"/>
          <w:sz w:val="24"/>
          <w:szCs w:val="32"/>
        </w:rPr>
        <w:t>本次拍卖标的拍卖过程中可能产生的一切税款（包括但不限于增值税及附加、印花税、交易手续费、权证工本费、个人</w:t>
      </w:r>
      <w:r>
        <w:rPr>
          <w:rFonts w:ascii="Times New Roman" w:hAnsi="Times New Roman" w:eastAsia="仿宋_GB2312" w:cs="Times New Roman"/>
          <w:b/>
          <w:color w:val="FF0000"/>
          <w:sz w:val="24"/>
          <w:szCs w:val="32"/>
        </w:rPr>
        <w:t>/企业所得税和其它相关税款以相关部门最终核定为准）和大修基金、应补地价、土地出让金等土地和房产转让过程中转让涉及费用，均由买受人承担。</w:t>
      </w:r>
    </w:p>
    <w:p>
      <w:pPr>
        <w:spacing w:after="156" w:afterLines="50" w:line="420" w:lineRule="exact"/>
        <w:ind w:firstLine="482" w:firstLineChars="200"/>
        <w:rPr>
          <w:rFonts w:ascii="Times New Roman" w:hAnsi="Times New Roman" w:eastAsia="仿宋_GB2312" w:cs="Times New Roman"/>
          <w:b/>
          <w:color w:val="FF0000"/>
          <w:sz w:val="24"/>
          <w:szCs w:val="32"/>
        </w:rPr>
      </w:pPr>
      <w:r>
        <w:rPr>
          <w:rFonts w:hint="eastAsia" w:ascii="Times New Roman" w:hAnsi="Times New Roman" w:eastAsia="仿宋_GB2312" w:cs="Times New Roman"/>
          <w:b/>
          <w:color w:val="FF0000"/>
          <w:sz w:val="24"/>
          <w:szCs w:val="32"/>
        </w:rPr>
        <w:t>本次拍卖标的的其他历史欠税、费，在交割日前未结清且受法律保护的债务均由债务人继续承担。但交割完成后，新发生的费用均由买受人自行承担，买受人应自行办理水、电、气、物业等户名变更手续，户名变更相关费用自理。</w:t>
      </w:r>
    </w:p>
    <w:p>
      <w:pPr>
        <w:spacing w:after="156" w:afterLines="50" w:line="420" w:lineRule="exact"/>
        <w:ind w:firstLine="482" w:firstLineChars="200"/>
        <w:rPr>
          <w:rFonts w:ascii="Times New Roman" w:hAnsi="Times New Roman" w:eastAsia="仿宋_GB2312" w:cs="Times New Roman"/>
          <w:b/>
          <w:color w:val="FF0000"/>
          <w:sz w:val="24"/>
          <w:szCs w:val="32"/>
        </w:rPr>
      </w:pPr>
      <w:r>
        <w:rPr>
          <w:rFonts w:hint="eastAsia" w:ascii="Times New Roman" w:hAnsi="Times New Roman" w:eastAsia="仿宋_GB2312" w:cs="Times New Roman"/>
          <w:b/>
          <w:color w:val="FF0000"/>
          <w:sz w:val="24"/>
          <w:szCs w:val="32"/>
        </w:rPr>
        <w:t>竞买人在竞买前应对拍卖标的作详细了解，并充分估算拍卖所产生的各种税、费，竞买人应向所涉税务局部门确认成交后应缴纳的税费标准。如果拍卖后发生任一风险，管理人不承担任何经济及法律责任。买受人在承担后不得据此主张竞价无效或向管理人索偿。</w:t>
      </w:r>
    </w:p>
    <w:p>
      <w:pPr>
        <w:spacing w:after="156" w:afterLines="50" w:line="420" w:lineRule="exact"/>
        <w:ind w:firstLine="482" w:firstLineChars="200"/>
        <w:rPr>
          <w:rFonts w:ascii="Times New Roman" w:hAnsi="Times New Roman" w:eastAsia="仿宋_GB2312" w:cs="Times New Roman"/>
          <w:b/>
          <w:color w:val="FF0000"/>
          <w:sz w:val="24"/>
          <w:szCs w:val="32"/>
        </w:rPr>
      </w:pPr>
      <w:r>
        <w:rPr>
          <w:rFonts w:hint="eastAsia" w:ascii="Times New Roman" w:hAnsi="Times New Roman" w:eastAsia="仿宋_GB2312" w:cs="Times New Roman"/>
          <w:b/>
          <w:color w:val="FF0000"/>
          <w:sz w:val="24"/>
          <w:szCs w:val="32"/>
        </w:rPr>
        <w:t>拍卖成交后，买受人应于成交之日起</w:t>
      </w:r>
      <w:r>
        <w:rPr>
          <w:rFonts w:ascii="Times New Roman" w:hAnsi="Times New Roman" w:eastAsia="仿宋_GB2312" w:cs="Times New Roman"/>
          <w:b/>
          <w:color w:val="FF0000"/>
          <w:sz w:val="24"/>
          <w:szCs w:val="32"/>
        </w:rPr>
        <w:t>10个工作日内签署《税、费承担承诺书》（详见附件模板），确定一切税、费及其他关联费用的承担事宜。</w:t>
      </w:r>
    </w:p>
    <w:p>
      <w:pPr>
        <w:spacing w:after="156" w:afterLines="50" w:line="420" w:lineRule="exact"/>
        <w:ind w:firstLine="480" w:firstLineChars="200"/>
        <w:rPr>
          <w:rFonts w:ascii="Times New Roman" w:hAnsi="Times New Roman" w:eastAsia="仿宋_GB2312" w:cs="宋体"/>
          <w:color w:val="000000"/>
          <w:kern w:val="0"/>
          <w:sz w:val="24"/>
          <w:szCs w:val="24"/>
        </w:rPr>
      </w:pPr>
      <w:r>
        <w:rPr>
          <w:rFonts w:ascii="Times New Roman" w:hAnsi="Times New Roman" w:eastAsia="仿宋_GB2312" w:cs="宋体"/>
          <w:color w:val="000000"/>
          <w:kern w:val="0"/>
          <w:sz w:val="24"/>
          <w:szCs w:val="24"/>
        </w:rPr>
        <w:t>十</w:t>
      </w:r>
      <w:r>
        <w:rPr>
          <w:rFonts w:hint="eastAsia" w:ascii="Times New Roman" w:hAnsi="Times New Roman" w:eastAsia="仿宋_GB2312" w:cs="宋体"/>
          <w:color w:val="000000"/>
          <w:kern w:val="0"/>
          <w:sz w:val="24"/>
          <w:szCs w:val="24"/>
        </w:rPr>
        <w:t>三</w:t>
      </w:r>
      <w:r>
        <w:rPr>
          <w:rFonts w:ascii="Times New Roman" w:hAnsi="Times New Roman" w:eastAsia="仿宋_GB2312" w:cs="宋体"/>
          <w:color w:val="000000"/>
          <w:kern w:val="0"/>
          <w:sz w:val="24"/>
          <w:szCs w:val="24"/>
        </w:rPr>
        <w:t>、本次拍卖活动计价货币为人民币。</w:t>
      </w:r>
    </w:p>
    <w:p>
      <w:pPr>
        <w:spacing w:after="156" w:afterLines="50" w:line="420" w:lineRule="exact"/>
        <w:ind w:firstLine="480" w:firstLineChars="200"/>
        <w:rPr>
          <w:rFonts w:ascii="Times New Roman" w:hAnsi="Times New Roman" w:eastAsia="仿宋_GB2312" w:cs="宋体"/>
          <w:color w:val="000000"/>
          <w:kern w:val="0"/>
          <w:sz w:val="24"/>
          <w:szCs w:val="24"/>
        </w:rPr>
      </w:pPr>
      <w:r>
        <w:rPr>
          <w:rFonts w:ascii="Times New Roman" w:hAnsi="Times New Roman" w:eastAsia="仿宋_GB2312" w:cs="宋体"/>
          <w:color w:val="000000"/>
          <w:kern w:val="0"/>
          <w:sz w:val="24"/>
          <w:szCs w:val="24"/>
        </w:rPr>
        <w:t>十</w:t>
      </w:r>
      <w:r>
        <w:rPr>
          <w:rFonts w:hint="eastAsia" w:ascii="Times New Roman" w:hAnsi="Times New Roman" w:eastAsia="仿宋_GB2312" w:cs="宋体"/>
          <w:color w:val="000000"/>
          <w:kern w:val="0"/>
          <w:sz w:val="24"/>
          <w:szCs w:val="24"/>
        </w:rPr>
        <w:t>四</w:t>
      </w:r>
      <w:r>
        <w:rPr>
          <w:rFonts w:ascii="Times New Roman" w:hAnsi="Times New Roman" w:eastAsia="仿宋_GB2312" w:cs="宋体"/>
          <w:color w:val="000000"/>
          <w:kern w:val="0"/>
          <w:sz w:val="24"/>
          <w:szCs w:val="24"/>
        </w:rPr>
        <w:t>、参加竞买的人应当遵守竞买须知的规定，不得阻挠其他竞买人竞拍，不得操纵、垄断竞拍价格，严禁竞买人恶意串标，上述行为一经发现，将取消其竞买资格，并追究相关的法律责任。</w:t>
      </w:r>
    </w:p>
    <w:p>
      <w:pPr>
        <w:spacing w:after="156" w:afterLines="50" w:line="420" w:lineRule="exact"/>
        <w:ind w:firstLine="480" w:firstLineChars="200"/>
        <w:rPr>
          <w:rFonts w:ascii="Times New Roman" w:hAnsi="Times New Roman" w:eastAsia="仿宋_GB2312" w:cs="宋体"/>
          <w:color w:val="000000"/>
          <w:kern w:val="0"/>
          <w:sz w:val="24"/>
          <w:szCs w:val="24"/>
        </w:rPr>
      </w:pPr>
      <w:r>
        <w:rPr>
          <w:rFonts w:ascii="Times New Roman" w:hAnsi="Times New Roman" w:eastAsia="仿宋_GB2312" w:cs="宋体"/>
          <w:color w:val="000000"/>
          <w:kern w:val="0"/>
          <w:sz w:val="24"/>
          <w:szCs w:val="24"/>
        </w:rPr>
        <w:t>十</w:t>
      </w:r>
      <w:r>
        <w:rPr>
          <w:rFonts w:hint="eastAsia" w:ascii="Times New Roman" w:hAnsi="Times New Roman" w:eastAsia="仿宋_GB2312" w:cs="宋体"/>
          <w:color w:val="000000"/>
          <w:kern w:val="0"/>
          <w:sz w:val="24"/>
          <w:szCs w:val="24"/>
        </w:rPr>
        <w:t>五</w:t>
      </w:r>
      <w:r>
        <w:rPr>
          <w:rFonts w:ascii="Times New Roman" w:hAnsi="Times New Roman" w:eastAsia="仿宋_GB2312" w:cs="宋体"/>
          <w:color w:val="000000"/>
          <w:kern w:val="0"/>
          <w:sz w:val="24"/>
          <w:szCs w:val="24"/>
        </w:rPr>
        <w:t>、管理人根据法律规定有权在拍卖开始前中止拍卖或撤回拍卖。管理人撤回拍卖的，竞买人已缴纳的保证金原路无息退回。</w:t>
      </w:r>
    </w:p>
    <w:p>
      <w:pPr>
        <w:spacing w:after="156" w:afterLines="50" w:line="420" w:lineRule="exact"/>
        <w:ind w:firstLine="480" w:firstLineChars="200"/>
        <w:rPr>
          <w:rFonts w:ascii="Times New Roman" w:hAnsi="Times New Roman" w:eastAsia="仿宋_GB2312" w:cs="宋体"/>
          <w:color w:val="000000"/>
          <w:kern w:val="0"/>
          <w:sz w:val="24"/>
          <w:szCs w:val="24"/>
        </w:rPr>
      </w:pPr>
      <w:r>
        <w:rPr>
          <w:rFonts w:ascii="Times New Roman" w:hAnsi="Times New Roman" w:eastAsia="仿宋_GB2312" w:cs="宋体"/>
          <w:color w:val="000000"/>
          <w:kern w:val="0"/>
          <w:sz w:val="24"/>
          <w:szCs w:val="24"/>
        </w:rPr>
        <w:t>十</w:t>
      </w:r>
      <w:r>
        <w:rPr>
          <w:rFonts w:hint="eastAsia" w:ascii="Times New Roman" w:hAnsi="Times New Roman" w:eastAsia="仿宋_GB2312" w:cs="宋体"/>
          <w:color w:val="000000"/>
          <w:kern w:val="0"/>
          <w:sz w:val="24"/>
          <w:szCs w:val="24"/>
        </w:rPr>
        <w:t>六</w:t>
      </w:r>
      <w:r>
        <w:rPr>
          <w:rFonts w:ascii="Times New Roman" w:hAnsi="Times New Roman" w:eastAsia="仿宋_GB2312" w:cs="宋体"/>
          <w:color w:val="000000"/>
          <w:kern w:val="0"/>
          <w:sz w:val="24"/>
          <w:szCs w:val="24"/>
        </w:rPr>
        <w:t>、凡发现拍卖中有违规行为，可如实举报。</w:t>
      </w:r>
    </w:p>
    <w:p>
      <w:pPr>
        <w:spacing w:after="156" w:afterLines="50" w:line="420" w:lineRule="exact"/>
        <w:ind w:firstLine="480" w:firstLineChars="200"/>
        <w:rPr>
          <w:rFonts w:ascii="Times New Roman" w:hAnsi="Times New Roman" w:eastAsia="仿宋_GB2312" w:cs="Times New Roman"/>
          <w:color w:val="000000" w:themeColor="text1"/>
          <w:sz w:val="24"/>
          <w:szCs w:val="32"/>
          <w14:textFill>
            <w14:solidFill>
              <w14:schemeClr w14:val="tx1"/>
            </w14:solidFill>
          </w14:textFill>
        </w:rPr>
      </w:pPr>
      <w:r>
        <w:rPr>
          <w:rFonts w:ascii="Times New Roman" w:hAnsi="Times New Roman" w:eastAsia="仿宋_GB2312" w:cs="宋体"/>
          <w:color w:val="000000"/>
          <w:kern w:val="0"/>
          <w:sz w:val="24"/>
          <w:szCs w:val="24"/>
        </w:rPr>
        <w:t>十</w:t>
      </w:r>
      <w:r>
        <w:rPr>
          <w:rFonts w:hint="eastAsia" w:ascii="Times New Roman" w:hAnsi="Times New Roman" w:eastAsia="仿宋_GB2312" w:cs="宋体"/>
          <w:color w:val="000000"/>
          <w:kern w:val="0"/>
          <w:sz w:val="24"/>
          <w:szCs w:val="24"/>
        </w:rPr>
        <w:t>七</w:t>
      </w:r>
      <w:r>
        <w:rPr>
          <w:rFonts w:ascii="Times New Roman" w:hAnsi="Times New Roman" w:eastAsia="仿宋_GB2312" w:cs="宋体"/>
          <w:color w:val="000000"/>
          <w:kern w:val="0"/>
          <w:sz w:val="24"/>
          <w:szCs w:val="24"/>
        </w:rPr>
        <w:t>、自公告日起（双休日、节假日除外）</w:t>
      </w:r>
      <w:r>
        <w:rPr>
          <w:rFonts w:hint="eastAsia" w:ascii="Times New Roman" w:hAnsi="Times New Roman" w:eastAsia="仿宋_GB2312" w:cs="宋体"/>
          <w:color w:val="000000"/>
          <w:kern w:val="0"/>
          <w:sz w:val="24"/>
          <w:szCs w:val="24"/>
        </w:rPr>
        <w:t>至</w:t>
      </w:r>
      <w:r>
        <w:rPr>
          <w:rFonts w:ascii="Times New Roman" w:hAnsi="Times New Roman" w:eastAsia="仿宋_GB2312" w:cs="Times New Roman"/>
          <w:sz w:val="24"/>
          <w:szCs w:val="32"/>
        </w:rPr>
        <w:t>2023</w:t>
      </w:r>
      <w:r>
        <w:rPr>
          <w:rFonts w:ascii="Times New Roman" w:hAnsi="Times New Roman" w:eastAsia="仿宋_GB2312" w:cs="宋体"/>
          <w:color w:val="000000"/>
          <w:kern w:val="0"/>
          <w:sz w:val="24"/>
          <w:szCs w:val="24"/>
        </w:rPr>
        <w:t>年</w:t>
      </w:r>
      <w:r>
        <w:rPr>
          <w:rFonts w:ascii="Times New Roman" w:hAnsi="Times New Roman" w:eastAsia="仿宋_GB2312" w:cs="Times New Roman"/>
          <w:sz w:val="24"/>
          <w:szCs w:val="32"/>
        </w:rPr>
        <w:t>11</w:t>
      </w:r>
      <w:r>
        <w:rPr>
          <w:rFonts w:ascii="Times New Roman" w:hAnsi="Times New Roman" w:eastAsia="仿宋_GB2312" w:cs="宋体"/>
          <w:color w:val="000000"/>
          <w:kern w:val="0"/>
          <w:sz w:val="24"/>
          <w:szCs w:val="24"/>
        </w:rPr>
        <w:t>月</w:t>
      </w:r>
      <w:r>
        <w:rPr>
          <w:rFonts w:hint="eastAsia" w:ascii="Times New Roman" w:hAnsi="Times New Roman" w:eastAsia="仿宋_GB2312" w:cs="Times New Roman"/>
          <w:sz w:val="24"/>
          <w:szCs w:val="32"/>
          <w:lang w:val="en-US" w:eastAsia="zh-CN"/>
        </w:rPr>
        <w:t>7</w:t>
      </w:r>
      <w:r>
        <w:rPr>
          <w:rFonts w:ascii="Times New Roman" w:hAnsi="Times New Roman" w:eastAsia="仿宋_GB2312" w:cs="宋体"/>
          <w:color w:val="000000"/>
          <w:kern w:val="0"/>
          <w:sz w:val="24"/>
          <w:szCs w:val="24"/>
        </w:rPr>
        <w:t>日</w:t>
      </w:r>
      <w:r>
        <w:rPr>
          <w:rFonts w:ascii="Times New Roman" w:hAnsi="Times New Roman" w:eastAsia="仿宋_GB2312" w:cs="Times New Roman"/>
          <w:sz w:val="24"/>
          <w:szCs w:val="32"/>
        </w:rPr>
        <w:t>9</w:t>
      </w:r>
      <w:r>
        <w:rPr>
          <w:rFonts w:ascii="Times New Roman" w:hAnsi="Times New Roman" w:eastAsia="仿宋_GB2312" w:cs="宋体"/>
          <w:color w:val="000000"/>
          <w:kern w:val="0"/>
          <w:sz w:val="24"/>
          <w:szCs w:val="24"/>
        </w:rPr>
        <w:t>时止接受咨询，联系人：吴律师、林律师。联系电话：</w:t>
      </w:r>
      <w:r>
        <w:rPr>
          <w:rFonts w:ascii="Times New Roman" w:hAnsi="Times New Roman" w:eastAsia="仿宋_GB2312" w:cs="Times New Roman"/>
          <w:sz w:val="24"/>
          <w:szCs w:val="32"/>
        </w:rPr>
        <w:t>18983943140、023-6849 8563、023-6849 8593。</w:t>
      </w:r>
      <w:r>
        <w:rPr>
          <w:rFonts w:ascii="Times New Roman" w:hAnsi="Times New Roman" w:eastAsia="仿宋_GB2312" w:cs="宋体"/>
          <w:color w:val="000000"/>
          <w:kern w:val="0"/>
          <w:sz w:val="24"/>
          <w:szCs w:val="24"/>
        </w:rPr>
        <w:t>本规则其他未尽事宜，请向管理人咨询。</w:t>
      </w:r>
    </w:p>
    <w:p>
      <w:pPr>
        <w:spacing w:after="156" w:afterLines="50" w:line="420" w:lineRule="exact"/>
        <w:ind w:firstLine="480" w:firstLineChars="200"/>
        <w:rPr>
          <w:rFonts w:ascii="Times New Roman" w:hAnsi="Times New Roman" w:eastAsia="仿宋_GB2312" w:cs="宋体"/>
          <w:color w:val="000000"/>
          <w:kern w:val="0"/>
          <w:sz w:val="24"/>
          <w:szCs w:val="24"/>
        </w:rPr>
      </w:pPr>
      <w:bookmarkStart w:id="0" w:name="OLE_LINK18"/>
      <w:bookmarkStart w:id="1" w:name="OLE_LINK16"/>
      <w:bookmarkStart w:id="2" w:name="OLE_LINK17"/>
      <w:r>
        <w:rPr>
          <w:rFonts w:ascii="Times New Roman" w:hAnsi="Times New Roman" w:eastAsia="仿宋_GB2312" w:cs="宋体"/>
          <w:color w:val="000000"/>
          <w:kern w:val="0"/>
          <w:sz w:val="24"/>
          <w:szCs w:val="24"/>
        </w:rPr>
        <w:t>以上竞买须知，敬请竞买人知悉。在拍卖活动正式开始前，管理人有权对《竞买公</w:t>
      </w:r>
      <w:bookmarkStart w:id="3" w:name="_GoBack"/>
      <w:bookmarkEnd w:id="3"/>
      <w:r>
        <w:rPr>
          <w:rFonts w:ascii="Times New Roman" w:hAnsi="Times New Roman" w:eastAsia="仿宋_GB2312" w:cs="宋体"/>
          <w:color w:val="000000"/>
          <w:kern w:val="0"/>
          <w:sz w:val="24"/>
          <w:szCs w:val="24"/>
        </w:rPr>
        <w:t>告》《竞买须知》进行调整，并在淘宝网阿里资产交易平台再次进行公告，相关拍卖规则以最新发布的《竞买公告》《竞买须知》为准，《竞买公告》《竞买须知》之最终解释权归新华信托股份有限公司管理人所有。</w:t>
      </w:r>
      <w:bookmarkEnd w:id="0"/>
      <w:bookmarkEnd w:id="1"/>
      <w:bookmarkEnd w:id="2"/>
    </w:p>
    <w:p>
      <w:pPr>
        <w:spacing w:line="420" w:lineRule="exact"/>
        <w:rPr>
          <w:rFonts w:ascii="Times New Roman" w:hAnsi="Times New Roman" w:eastAsia="仿宋_GB2312" w:cs="Times New Roman"/>
          <w:color w:val="000000" w:themeColor="text1"/>
          <w:sz w:val="24"/>
          <w:szCs w:val="32"/>
          <w14:textFill>
            <w14:solidFill>
              <w14:schemeClr w14:val="tx1"/>
            </w14:solidFill>
          </w14:textFill>
        </w:rPr>
      </w:pPr>
    </w:p>
    <w:p>
      <w:pPr>
        <w:spacing w:line="420" w:lineRule="exact"/>
        <w:jc w:val="right"/>
        <w:rPr>
          <w:rFonts w:ascii="Times New Roman" w:hAnsi="Times New Roman" w:eastAsia="仿宋_GB2312" w:cs="宋体"/>
          <w:color w:val="000000"/>
          <w:kern w:val="0"/>
          <w:sz w:val="24"/>
          <w:szCs w:val="24"/>
        </w:rPr>
      </w:pPr>
      <w:r>
        <w:rPr>
          <w:rFonts w:ascii="Times New Roman" w:hAnsi="Times New Roman" w:eastAsia="仿宋_GB2312" w:cs="宋体"/>
          <w:color w:val="000000"/>
          <w:kern w:val="0"/>
          <w:sz w:val="24"/>
          <w:szCs w:val="24"/>
        </w:rPr>
        <w:t>新华信托股份有限公司管理人</w:t>
      </w:r>
    </w:p>
    <w:p>
      <w:pPr>
        <w:spacing w:line="420" w:lineRule="exact"/>
        <w:jc w:val="right"/>
        <w:rPr>
          <w:rFonts w:ascii="Times New Roman" w:hAnsi="Times New Roman" w:eastAsia="仿宋_GB2312" w:cs="Times New Roman"/>
          <w:color w:val="000000" w:themeColor="text1"/>
          <w:sz w:val="24"/>
          <w:szCs w:val="32"/>
          <w14:textFill>
            <w14:solidFill>
              <w14:schemeClr w14:val="tx1"/>
            </w14:solidFill>
          </w14:textFill>
        </w:rPr>
      </w:pPr>
      <w:r>
        <w:rPr>
          <w:rFonts w:ascii="Times New Roman" w:hAnsi="Times New Roman" w:eastAsia="仿宋_GB2312" w:cs="Times New Roman"/>
          <w:color w:val="000000" w:themeColor="text1"/>
          <w:sz w:val="24"/>
          <w:szCs w:val="32"/>
          <w14:textFill>
            <w14:solidFill>
              <w14:schemeClr w14:val="tx1"/>
            </w14:solidFill>
          </w14:textFill>
        </w:rPr>
        <w:t>2023</w:t>
      </w:r>
      <w:r>
        <w:rPr>
          <w:rFonts w:ascii="Times New Roman" w:hAnsi="Times New Roman" w:eastAsia="仿宋_GB2312" w:cs="宋体"/>
          <w:color w:val="000000"/>
          <w:kern w:val="0"/>
          <w:sz w:val="24"/>
          <w:szCs w:val="24"/>
        </w:rPr>
        <w:t>年</w:t>
      </w:r>
      <w:r>
        <w:rPr>
          <w:rFonts w:ascii="Times New Roman" w:hAnsi="Times New Roman" w:eastAsia="仿宋_GB2312" w:cs="Times New Roman"/>
          <w:color w:val="000000" w:themeColor="text1"/>
          <w:sz w:val="24"/>
          <w:szCs w:val="32"/>
          <w14:textFill>
            <w14:solidFill>
              <w14:schemeClr w14:val="tx1"/>
            </w14:solidFill>
          </w14:textFill>
        </w:rPr>
        <w:t>11</w:t>
      </w:r>
      <w:r>
        <w:rPr>
          <w:rFonts w:ascii="Times New Roman" w:hAnsi="Times New Roman" w:eastAsia="仿宋_GB2312" w:cs="宋体"/>
          <w:color w:val="000000"/>
          <w:kern w:val="0"/>
          <w:sz w:val="24"/>
          <w:szCs w:val="24"/>
        </w:rPr>
        <w:t>月</w:t>
      </w:r>
      <w:r>
        <w:rPr>
          <w:rFonts w:ascii="Times New Roman" w:hAnsi="Times New Roman" w:eastAsia="仿宋_GB2312" w:cs="Times New Roman"/>
          <w:color w:val="000000" w:themeColor="text1"/>
          <w:sz w:val="24"/>
          <w:szCs w:val="32"/>
          <w14:textFill>
            <w14:solidFill>
              <w14:schemeClr w14:val="tx1"/>
            </w14:solidFill>
          </w14:textFill>
        </w:rPr>
        <w:t>2</w:t>
      </w:r>
      <w:r>
        <w:rPr>
          <w:rFonts w:ascii="Times New Roman" w:hAnsi="Times New Roman" w:eastAsia="仿宋_GB2312" w:cs="宋体"/>
          <w:color w:val="000000"/>
          <w:kern w:val="0"/>
          <w:sz w:val="24"/>
          <w:szCs w:val="24"/>
        </w:rPr>
        <w:t>日</w:t>
      </w:r>
    </w:p>
    <w:p>
      <w:pPr>
        <w:rPr>
          <w:rFonts w:ascii="Times New Roman" w:hAnsi="Times New Roman" w:eastAsia="仿宋_GB2312"/>
        </w:rPr>
      </w:pPr>
    </w:p>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355EC1"/>
    <w:rsid w:val="0000128B"/>
    <w:rsid w:val="000029E8"/>
    <w:rsid w:val="00002EC6"/>
    <w:rsid w:val="00003107"/>
    <w:rsid w:val="00003F21"/>
    <w:rsid w:val="00004F0D"/>
    <w:rsid w:val="00014B03"/>
    <w:rsid w:val="000167E6"/>
    <w:rsid w:val="00026760"/>
    <w:rsid w:val="000354B2"/>
    <w:rsid w:val="000436FE"/>
    <w:rsid w:val="00045BC0"/>
    <w:rsid w:val="00045BF2"/>
    <w:rsid w:val="00052CF2"/>
    <w:rsid w:val="0005649B"/>
    <w:rsid w:val="000606C8"/>
    <w:rsid w:val="00063947"/>
    <w:rsid w:val="00065CB2"/>
    <w:rsid w:val="00071067"/>
    <w:rsid w:val="00073767"/>
    <w:rsid w:val="00076CB1"/>
    <w:rsid w:val="00077492"/>
    <w:rsid w:val="0009065B"/>
    <w:rsid w:val="000934C1"/>
    <w:rsid w:val="00093A8F"/>
    <w:rsid w:val="0009410A"/>
    <w:rsid w:val="000944CE"/>
    <w:rsid w:val="0009535E"/>
    <w:rsid w:val="000A3633"/>
    <w:rsid w:val="000A6700"/>
    <w:rsid w:val="000A687A"/>
    <w:rsid w:val="000B3A63"/>
    <w:rsid w:val="000D091B"/>
    <w:rsid w:val="000D1D3A"/>
    <w:rsid w:val="000D33B3"/>
    <w:rsid w:val="000D358B"/>
    <w:rsid w:val="000D3E57"/>
    <w:rsid w:val="000D4246"/>
    <w:rsid w:val="000D6695"/>
    <w:rsid w:val="000D7FD8"/>
    <w:rsid w:val="000E12CD"/>
    <w:rsid w:val="000E2314"/>
    <w:rsid w:val="000E7EEC"/>
    <w:rsid w:val="000F4B37"/>
    <w:rsid w:val="000F61DC"/>
    <w:rsid w:val="000F66CE"/>
    <w:rsid w:val="00103C39"/>
    <w:rsid w:val="001053C6"/>
    <w:rsid w:val="0010597C"/>
    <w:rsid w:val="001063FB"/>
    <w:rsid w:val="00106D11"/>
    <w:rsid w:val="00110EC0"/>
    <w:rsid w:val="0012116F"/>
    <w:rsid w:val="001239DF"/>
    <w:rsid w:val="00127912"/>
    <w:rsid w:val="001305A8"/>
    <w:rsid w:val="00132CD2"/>
    <w:rsid w:val="0013315C"/>
    <w:rsid w:val="0013705C"/>
    <w:rsid w:val="00141B37"/>
    <w:rsid w:val="00144064"/>
    <w:rsid w:val="0014569A"/>
    <w:rsid w:val="001465D3"/>
    <w:rsid w:val="00150B5C"/>
    <w:rsid w:val="0017393D"/>
    <w:rsid w:val="00176744"/>
    <w:rsid w:val="0018657E"/>
    <w:rsid w:val="00195B67"/>
    <w:rsid w:val="00197344"/>
    <w:rsid w:val="001A1661"/>
    <w:rsid w:val="001A599D"/>
    <w:rsid w:val="001A6834"/>
    <w:rsid w:val="001A767D"/>
    <w:rsid w:val="001B0C54"/>
    <w:rsid w:val="001C5118"/>
    <w:rsid w:val="001C58EF"/>
    <w:rsid w:val="001C6D83"/>
    <w:rsid w:val="001C7656"/>
    <w:rsid w:val="001D41AA"/>
    <w:rsid w:val="001E4770"/>
    <w:rsid w:val="001E7016"/>
    <w:rsid w:val="001F1B9B"/>
    <w:rsid w:val="001F3301"/>
    <w:rsid w:val="001F6963"/>
    <w:rsid w:val="00206D86"/>
    <w:rsid w:val="00215C3B"/>
    <w:rsid w:val="00216004"/>
    <w:rsid w:val="00221221"/>
    <w:rsid w:val="00227960"/>
    <w:rsid w:val="00236F40"/>
    <w:rsid w:val="00240EAF"/>
    <w:rsid w:val="002502F1"/>
    <w:rsid w:val="00250ABC"/>
    <w:rsid w:val="0025141B"/>
    <w:rsid w:val="00257926"/>
    <w:rsid w:val="00263FFB"/>
    <w:rsid w:val="0026409A"/>
    <w:rsid w:val="00273878"/>
    <w:rsid w:val="00273CC6"/>
    <w:rsid w:val="00275323"/>
    <w:rsid w:val="0027586E"/>
    <w:rsid w:val="00276E35"/>
    <w:rsid w:val="002773AA"/>
    <w:rsid w:val="002844B2"/>
    <w:rsid w:val="00285C9B"/>
    <w:rsid w:val="002A6C7D"/>
    <w:rsid w:val="002B0FEA"/>
    <w:rsid w:val="002B30E8"/>
    <w:rsid w:val="002C03F7"/>
    <w:rsid w:val="002C33BB"/>
    <w:rsid w:val="002C383A"/>
    <w:rsid w:val="002D0CC4"/>
    <w:rsid w:val="002D1761"/>
    <w:rsid w:val="002D1F8C"/>
    <w:rsid w:val="002D303E"/>
    <w:rsid w:val="002E0E00"/>
    <w:rsid w:val="002E678C"/>
    <w:rsid w:val="002E6F90"/>
    <w:rsid w:val="002F0F49"/>
    <w:rsid w:val="002F1822"/>
    <w:rsid w:val="002F2855"/>
    <w:rsid w:val="002F3306"/>
    <w:rsid w:val="002F4936"/>
    <w:rsid w:val="002F6FBA"/>
    <w:rsid w:val="00307E30"/>
    <w:rsid w:val="00310D0C"/>
    <w:rsid w:val="0031464A"/>
    <w:rsid w:val="00320600"/>
    <w:rsid w:val="00320CED"/>
    <w:rsid w:val="00321E2E"/>
    <w:rsid w:val="003239A8"/>
    <w:rsid w:val="00327D7F"/>
    <w:rsid w:val="003309C6"/>
    <w:rsid w:val="00332983"/>
    <w:rsid w:val="00341358"/>
    <w:rsid w:val="00346689"/>
    <w:rsid w:val="00347766"/>
    <w:rsid w:val="00350D79"/>
    <w:rsid w:val="00350F71"/>
    <w:rsid w:val="00355EC1"/>
    <w:rsid w:val="0036602A"/>
    <w:rsid w:val="0036630C"/>
    <w:rsid w:val="00370E88"/>
    <w:rsid w:val="00376C03"/>
    <w:rsid w:val="003828C3"/>
    <w:rsid w:val="003837D2"/>
    <w:rsid w:val="00385ABA"/>
    <w:rsid w:val="0038616F"/>
    <w:rsid w:val="00390A75"/>
    <w:rsid w:val="00391704"/>
    <w:rsid w:val="0039285D"/>
    <w:rsid w:val="0039389F"/>
    <w:rsid w:val="003A426F"/>
    <w:rsid w:val="003B662F"/>
    <w:rsid w:val="003B7B37"/>
    <w:rsid w:val="003C025B"/>
    <w:rsid w:val="003C2520"/>
    <w:rsid w:val="003C2CBF"/>
    <w:rsid w:val="003C40F7"/>
    <w:rsid w:val="003D28CB"/>
    <w:rsid w:val="003D3260"/>
    <w:rsid w:val="003E0572"/>
    <w:rsid w:val="003E71A2"/>
    <w:rsid w:val="003F0D37"/>
    <w:rsid w:val="003F385E"/>
    <w:rsid w:val="004003E5"/>
    <w:rsid w:val="00402CF1"/>
    <w:rsid w:val="00404746"/>
    <w:rsid w:val="004048D5"/>
    <w:rsid w:val="00411EB5"/>
    <w:rsid w:val="00415534"/>
    <w:rsid w:val="004165F7"/>
    <w:rsid w:val="004233F6"/>
    <w:rsid w:val="00424BC0"/>
    <w:rsid w:val="00426812"/>
    <w:rsid w:val="00433E38"/>
    <w:rsid w:val="004365A5"/>
    <w:rsid w:val="00450DA8"/>
    <w:rsid w:val="00450DE0"/>
    <w:rsid w:val="004534B1"/>
    <w:rsid w:val="00457879"/>
    <w:rsid w:val="00457FC3"/>
    <w:rsid w:val="004608BE"/>
    <w:rsid w:val="00465468"/>
    <w:rsid w:val="00470156"/>
    <w:rsid w:val="00471186"/>
    <w:rsid w:val="00472236"/>
    <w:rsid w:val="00474EAF"/>
    <w:rsid w:val="004820D2"/>
    <w:rsid w:val="00482D05"/>
    <w:rsid w:val="00485B5C"/>
    <w:rsid w:val="00490989"/>
    <w:rsid w:val="00493452"/>
    <w:rsid w:val="004A2E20"/>
    <w:rsid w:val="004A5A6C"/>
    <w:rsid w:val="004C1D74"/>
    <w:rsid w:val="004C45BA"/>
    <w:rsid w:val="004D674C"/>
    <w:rsid w:val="004E198E"/>
    <w:rsid w:val="004E655F"/>
    <w:rsid w:val="004E6C0C"/>
    <w:rsid w:val="004F1378"/>
    <w:rsid w:val="004F4DD9"/>
    <w:rsid w:val="004F5458"/>
    <w:rsid w:val="005012E4"/>
    <w:rsid w:val="00504633"/>
    <w:rsid w:val="005128B0"/>
    <w:rsid w:val="0052211C"/>
    <w:rsid w:val="005251C3"/>
    <w:rsid w:val="00525BDB"/>
    <w:rsid w:val="005274A7"/>
    <w:rsid w:val="00534868"/>
    <w:rsid w:val="00540EBF"/>
    <w:rsid w:val="005422B5"/>
    <w:rsid w:val="00545888"/>
    <w:rsid w:val="0055349C"/>
    <w:rsid w:val="005545FB"/>
    <w:rsid w:val="005567FE"/>
    <w:rsid w:val="005573EB"/>
    <w:rsid w:val="005616A7"/>
    <w:rsid w:val="00561EA0"/>
    <w:rsid w:val="0056770D"/>
    <w:rsid w:val="00570131"/>
    <w:rsid w:val="005733E2"/>
    <w:rsid w:val="005812CD"/>
    <w:rsid w:val="005818CB"/>
    <w:rsid w:val="00586830"/>
    <w:rsid w:val="00586DCC"/>
    <w:rsid w:val="00596135"/>
    <w:rsid w:val="0059649A"/>
    <w:rsid w:val="005A0381"/>
    <w:rsid w:val="005A3333"/>
    <w:rsid w:val="005A39C6"/>
    <w:rsid w:val="005A4D1A"/>
    <w:rsid w:val="005B2840"/>
    <w:rsid w:val="005B2853"/>
    <w:rsid w:val="005C39E9"/>
    <w:rsid w:val="005D0C12"/>
    <w:rsid w:val="005D0E72"/>
    <w:rsid w:val="005D1218"/>
    <w:rsid w:val="005D1C71"/>
    <w:rsid w:val="005D6A1E"/>
    <w:rsid w:val="005D6BFA"/>
    <w:rsid w:val="005E0FF3"/>
    <w:rsid w:val="005E1A96"/>
    <w:rsid w:val="005E30C3"/>
    <w:rsid w:val="005E5498"/>
    <w:rsid w:val="005F26BE"/>
    <w:rsid w:val="005F276C"/>
    <w:rsid w:val="005F665A"/>
    <w:rsid w:val="005F67C3"/>
    <w:rsid w:val="005F7246"/>
    <w:rsid w:val="00615D98"/>
    <w:rsid w:val="00623475"/>
    <w:rsid w:val="006236EC"/>
    <w:rsid w:val="00627B72"/>
    <w:rsid w:val="0063361C"/>
    <w:rsid w:val="006541F3"/>
    <w:rsid w:val="00654D99"/>
    <w:rsid w:val="0066149D"/>
    <w:rsid w:val="00662BC6"/>
    <w:rsid w:val="00667793"/>
    <w:rsid w:val="00672542"/>
    <w:rsid w:val="006738A2"/>
    <w:rsid w:val="0067432A"/>
    <w:rsid w:val="006764A9"/>
    <w:rsid w:val="00677F8C"/>
    <w:rsid w:val="00680A59"/>
    <w:rsid w:val="00684769"/>
    <w:rsid w:val="006847D8"/>
    <w:rsid w:val="0069015F"/>
    <w:rsid w:val="00692C0B"/>
    <w:rsid w:val="006934C9"/>
    <w:rsid w:val="0069424D"/>
    <w:rsid w:val="00697334"/>
    <w:rsid w:val="006A16B7"/>
    <w:rsid w:val="006A37AC"/>
    <w:rsid w:val="006B0158"/>
    <w:rsid w:val="006B4F44"/>
    <w:rsid w:val="006B60C9"/>
    <w:rsid w:val="006C3994"/>
    <w:rsid w:val="006C7026"/>
    <w:rsid w:val="006D3AB5"/>
    <w:rsid w:val="006E012A"/>
    <w:rsid w:val="006E35B3"/>
    <w:rsid w:val="006F025A"/>
    <w:rsid w:val="006F09C4"/>
    <w:rsid w:val="006F45C5"/>
    <w:rsid w:val="006F57AE"/>
    <w:rsid w:val="007015C3"/>
    <w:rsid w:val="0070296A"/>
    <w:rsid w:val="007042CD"/>
    <w:rsid w:val="00707856"/>
    <w:rsid w:val="00707A48"/>
    <w:rsid w:val="0071058B"/>
    <w:rsid w:val="00711554"/>
    <w:rsid w:val="007122ED"/>
    <w:rsid w:val="0071477E"/>
    <w:rsid w:val="00714C64"/>
    <w:rsid w:val="00716544"/>
    <w:rsid w:val="00717419"/>
    <w:rsid w:val="007303A1"/>
    <w:rsid w:val="00732F99"/>
    <w:rsid w:val="00733419"/>
    <w:rsid w:val="007356CC"/>
    <w:rsid w:val="00736E4B"/>
    <w:rsid w:val="00754B73"/>
    <w:rsid w:val="0076417D"/>
    <w:rsid w:val="0078654F"/>
    <w:rsid w:val="00792947"/>
    <w:rsid w:val="007962D2"/>
    <w:rsid w:val="007963AC"/>
    <w:rsid w:val="00796EB9"/>
    <w:rsid w:val="007A055B"/>
    <w:rsid w:val="007A660A"/>
    <w:rsid w:val="007A6B86"/>
    <w:rsid w:val="007B7D63"/>
    <w:rsid w:val="007C4FEA"/>
    <w:rsid w:val="007D0F21"/>
    <w:rsid w:val="007D26B0"/>
    <w:rsid w:val="007E159F"/>
    <w:rsid w:val="007E1922"/>
    <w:rsid w:val="007E2663"/>
    <w:rsid w:val="007E392F"/>
    <w:rsid w:val="007E475D"/>
    <w:rsid w:val="007E4D04"/>
    <w:rsid w:val="007E5E2C"/>
    <w:rsid w:val="007E6ADA"/>
    <w:rsid w:val="007F0675"/>
    <w:rsid w:val="007F1349"/>
    <w:rsid w:val="007F20E9"/>
    <w:rsid w:val="00801418"/>
    <w:rsid w:val="00801923"/>
    <w:rsid w:val="008033CF"/>
    <w:rsid w:val="00810029"/>
    <w:rsid w:val="00810357"/>
    <w:rsid w:val="00816F1B"/>
    <w:rsid w:val="008170AC"/>
    <w:rsid w:val="00817E85"/>
    <w:rsid w:val="00820B5C"/>
    <w:rsid w:val="008237F5"/>
    <w:rsid w:val="00825A12"/>
    <w:rsid w:val="00825FC3"/>
    <w:rsid w:val="00826452"/>
    <w:rsid w:val="00827299"/>
    <w:rsid w:val="00833FD1"/>
    <w:rsid w:val="0084671E"/>
    <w:rsid w:val="0085004B"/>
    <w:rsid w:val="00854AAA"/>
    <w:rsid w:val="00860BB1"/>
    <w:rsid w:val="00861F7E"/>
    <w:rsid w:val="00862371"/>
    <w:rsid w:val="00871602"/>
    <w:rsid w:val="00875368"/>
    <w:rsid w:val="008754FD"/>
    <w:rsid w:val="0088033A"/>
    <w:rsid w:val="00885B4A"/>
    <w:rsid w:val="008929DE"/>
    <w:rsid w:val="00893E27"/>
    <w:rsid w:val="008A2544"/>
    <w:rsid w:val="008A4316"/>
    <w:rsid w:val="008A53A5"/>
    <w:rsid w:val="008A5603"/>
    <w:rsid w:val="008B2905"/>
    <w:rsid w:val="008B45E9"/>
    <w:rsid w:val="008B6623"/>
    <w:rsid w:val="008C133B"/>
    <w:rsid w:val="008C1A2F"/>
    <w:rsid w:val="008C6EDB"/>
    <w:rsid w:val="008D397B"/>
    <w:rsid w:val="008D65A9"/>
    <w:rsid w:val="008E3EF7"/>
    <w:rsid w:val="008F35C0"/>
    <w:rsid w:val="008F7581"/>
    <w:rsid w:val="008F77C6"/>
    <w:rsid w:val="00901DCA"/>
    <w:rsid w:val="009038B8"/>
    <w:rsid w:val="009045D3"/>
    <w:rsid w:val="00914175"/>
    <w:rsid w:val="0091467B"/>
    <w:rsid w:val="009153CE"/>
    <w:rsid w:val="00915F4D"/>
    <w:rsid w:val="009216D4"/>
    <w:rsid w:val="00921C4B"/>
    <w:rsid w:val="009252FF"/>
    <w:rsid w:val="00925F69"/>
    <w:rsid w:val="00932A02"/>
    <w:rsid w:val="009356F7"/>
    <w:rsid w:val="00940A35"/>
    <w:rsid w:val="0094146B"/>
    <w:rsid w:val="00941F26"/>
    <w:rsid w:val="00942FCD"/>
    <w:rsid w:val="00943C63"/>
    <w:rsid w:val="00951A43"/>
    <w:rsid w:val="00956040"/>
    <w:rsid w:val="00964606"/>
    <w:rsid w:val="00972B8F"/>
    <w:rsid w:val="0097427E"/>
    <w:rsid w:val="009748A4"/>
    <w:rsid w:val="0097742A"/>
    <w:rsid w:val="00977C1E"/>
    <w:rsid w:val="0099250E"/>
    <w:rsid w:val="009A5E42"/>
    <w:rsid w:val="009D363B"/>
    <w:rsid w:val="009D714B"/>
    <w:rsid w:val="009E5897"/>
    <w:rsid w:val="009E5DF3"/>
    <w:rsid w:val="009E7F8C"/>
    <w:rsid w:val="009F62CB"/>
    <w:rsid w:val="009F6D51"/>
    <w:rsid w:val="00A068C3"/>
    <w:rsid w:val="00A06EF7"/>
    <w:rsid w:val="00A07D25"/>
    <w:rsid w:val="00A13500"/>
    <w:rsid w:val="00A14027"/>
    <w:rsid w:val="00A15959"/>
    <w:rsid w:val="00A15BAB"/>
    <w:rsid w:val="00A1760F"/>
    <w:rsid w:val="00A23709"/>
    <w:rsid w:val="00A24EDD"/>
    <w:rsid w:val="00A253CB"/>
    <w:rsid w:val="00A25D55"/>
    <w:rsid w:val="00A33145"/>
    <w:rsid w:val="00A337E9"/>
    <w:rsid w:val="00A46233"/>
    <w:rsid w:val="00A50E51"/>
    <w:rsid w:val="00A518D0"/>
    <w:rsid w:val="00A51ADF"/>
    <w:rsid w:val="00A53E16"/>
    <w:rsid w:val="00A54EC1"/>
    <w:rsid w:val="00A55AAB"/>
    <w:rsid w:val="00A5643D"/>
    <w:rsid w:val="00A56BDD"/>
    <w:rsid w:val="00A63412"/>
    <w:rsid w:val="00A63CD8"/>
    <w:rsid w:val="00A761B0"/>
    <w:rsid w:val="00A832DD"/>
    <w:rsid w:val="00A838F5"/>
    <w:rsid w:val="00A86956"/>
    <w:rsid w:val="00A918CC"/>
    <w:rsid w:val="00A972A0"/>
    <w:rsid w:val="00AA2A56"/>
    <w:rsid w:val="00AB1CA8"/>
    <w:rsid w:val="00AC1E34"/>
    <w:rsid w:val="00AC5F4E"/>
    <w:rsid w:val="00AD4006"/>
    <w:rsid w:val="00AD53B3"/>
    <w:rsid w:val="00AE0427"/>
    <w:rsid w:val="00AF2CC9"/>
    <w:rsid w:val="00AF62D8"/>
    <w:rsid w:val="00B04E6E"/>
    <w:rsid w:val="00B10BA3"/>
    <w:rsid w:val="00B12907"/>
    <w:rsid w:val="00B1493F"/>
    <w:rsid w:val="00B214C5"/>
    <w:rsid w:val="00B307D6"/>
    <w:rsid w:val="00B30C7C"/>
    <w:rsid w:val="00B3154D"/>
    <w:rsid w:val="00B3189C"/>
    <w:rsid w:val="00B320C4"/>
    <w:rsid w:val="00B330CF"/>
    <w:rsid w:val="00B3419B"/>
    <w:rsid w:val="00B35BC4"/>
    <w:rsid w:val="00B37BFA"/>
    <w:rsid w:val="00B46B79"/>
    <w:rsid w:val="00B558B1"/>
    <w:rsid w:val="00B67A98"/>
    <w:rsid w:val="00B73366"/>
    <w:rsid w:val="00B76B1A"/>
    <w:rsid w:val="00B775B0"/>
    <w:rsid w:val="00B85066"/>
    <w:rsid w:val="00B867F3"/>
    <w:rsid w:val="00B8681B"/>
    <w:rsid w:val="00B9326A"/>
    <w:rsid w:val="00B94239"/>
    <w:rsid w:val="00B966A9"/>
    <w:rsid w:val="00B96703"/>
    <w:rsid w:val="00BA422F"/>
    <w:rsid w:val="00BA59CF"/>
    <w:rsid w:val="00BA682D"/>
    <w:rsid w:val="00BA68FF"/>
    <w:rsid w:val="00BA79D2"/>
    <w:rsid w:val="00BA7ECC"/>
    <w:rsid w:val="00BB16D3"/>
    <w:rsid w:val="00BD1BA7"/>
    <w:rsid w:val="00BD7493"/>
    <w:rsid w:val="00BE1292"/>
    <w:rsid w:val="00BE1B85"/>
    <w:rsid w:val="00BE27ED"/>
    <w:rsid w:val="00BE4C82"/>
    <w:rsid w:val="00BE4DF0"/>
    <w:rsid w:val="00BE6BAD"/>
    <w:rsid w:val="00BF3590"/>
    <w:rsid w:val="00BF4D33"/>
    <w:rsid w:val="00BF526E"/>
    <w:rsid w:val="00BF7144"/>
    <w:rsid w:val="00BF768F"/>
    <w:rsid w:val="00BF7C8E"/>
    <w:rsid w:val="00BF7D47"/>
    <w:rsid w:val="00C00864"/>
    <w:rsid w:val="00C02B70"/>
    <w:rsid w:val="00C03DAA"/>
    <w:rsid w:val="00C056F9"/>
    <w:rsid w:val="00C15ABA"/>
    <w:rsid w:val="00C21211"/>
    <w:rsid w:val="00C25F37"/>
    <w:rsid w:val="00C32E80"/>
    <w:rsid w:val="00C342C6"/>
    <w:rsid w:val="00C345B0"/>
    <w:rsid w:val="00C37BA6"/>
    <w:rsid w:val="00C45AD5"/>
    <w:rsid w:val="00C50D21"/>
    <w:rsid w:val="00C55FEB"/>
    <w:rsid w:val="00C60BF0"/>
    <w:rsid w:val="00C70426"/>
    <w:rsid w:val="00C74ECE"/>
    <w:rsid w:val="00C8291B"/>
    <w:rsid w:val="00C9313E"/>
    <w:rsid w:val="00C93A84"/>
    <w:rsid w:val="00C9450A"/>
    <w:rsid w:val="00C962E3"/>
    <w:rsid w:val="00CA0123"/>
    <w:rsid w:val="00CA20E6"/>
    <w:rsid w:val="00CA2CF1"/>
    <w:rsid w:val="00CA30EE"/>
    <w:rsid w:val="00CA38AB"/>
    <w:rsid w:val="00CA751C"/>
    <w:rsid w:val="00CB2214"/>
    <w:rsid w:val="00CB45BE"/>
    <w:rsid w:val="00CC230E"/>
    <w:rsid w:val="00CC39B3"/>
    <w:rsid w:val="00CC4ACF"/>
    <w:rsid w:val="00CC7B4F"/>
    <w:rsid w:val="00CC7B92"/>
    <w:rsid w:val="00CD0E57"/>
    <w:rsid w:val="00CE50F7"/>
    <w:rsid w:val="00CE65BD"/>
    <w:rsid w:val="00CF1D36"/>
    <w:rsid w:val="00CF4418"/>
    <w:rsid w:val="00D00585"/>
    <w:rsid w:val="00D00B62"/>
    <w:rsid w:val="00D02382"/>
    <w:rsid w:val="00D112DF"/>
    <w:rsid w:val="00D12A16"/>
    <w:rsid w:val="00D13FF1"/>
    <w:rsid w:val="00D140C7"/>
    <w:rsid w:val="00D15F33"/>
    <w:rsid w:val="00D16AD1"/>
    <w:rsid w:val="00D212B5"/>
    <w:rsid w:val="00D21D71"/>
    <w:rsid w:val="00D2519D"/>
    <w:rsid w:val="00D27440"/>
    <w:rsid w:val="00D27488"/>
    <w:rsid w:val="00D278EE"/>
    <w:rsid w:val="00D32F8B"/>
    <w:rsid w:val="00D3302A"/>
    <w:rsid w:val="00D43116"/>
    <w:rsid w:val="00D47D7A"/>
    <w:rsid w:val="00D539AA"/>
    <w:rsid w:val="00D54AE1"/>
    <w:rsid w:val="00D63E40"/>
    <w:rsid w:val="00D64FF1"/>
    <w:rsid w:val="00D76FDE"/>
    <w:rsid w:val="00D80226"/>
    <w:rsid w:val="00D81CFA"/>
    <w:rsid w:val="00D82341"/>
    <w:rsid w:val="00D84A87"/>
    <w:rsid w:val="00D927D7"/>
    <w:rsid w:val="00DA2A5B"/>
    <w:rsid w:val="00DA664D"/>
    <w:rsid w:val="00DB16BA"/>
    <w:rsid w:val="00DB2B6C"/>
    <w:rsid w:val="00DB48A5"/>
    <w:rsid w:val="00DC331A"/>
    <w:rsid w:val="00DC3E3F"/>
    <w:rsid w:val="00DC7075"/>
    <w:rsid w:val="00DD07A3"/>
    <w:rsid w:val="00DD282F"/>
    <w:rsid w:val="00DD2C40"/>
    <w:rsid w:val="00DE23EF"/>
    <w:rsid w:val="00DF5350"/>
    <w:rsid w:val="00DF7755"/>
    <w:rsid w:val="00E006EB"/>
    <w:rsid w:val="00E00FF6"/>
    <w:rsid w:val="00E0351F"/>
    <w:rsid w:val="00E11055"/>
    <w:rsid w:val="00E110A7"/>
    <w:rsid w:val="00E1407E"/>
    <w:rsid w:val="00E17713"/>
    <w:rsid w:val="00E2366A"/>
    <w:rsid w:val="00E249B8"/>
    <w:rsid w:val="00E25758"/>
    <w:rsid w:val="00E3587D"/>
    <w:rsid w:val="00E35CF5"/>
    <w:rsid w:val="00E37E04"/>
    <w:rsid w:val="00E42020"/>
    <w:rsid w:val="00E445EF"/>
    <w:rsid w:val="00E47969"/>
    <w:rsid w:val="00E47F21"/>
    <w:rsid w:val="00E5183A"/>
    <w:rsid w:val="00E5369D"/>
    <w:rsid w:val="00E55BF9"/>
    <w:rsid w:val="00E57543"/>
    <w:rsid w:val="00E620F2"/>
    <w:rsid w:val="00E62CD7"/>
    <w:rsid w:val="00E62E34"/>
    <w:rsid w:val="00E728CF"/>
    <w:rsid w:val="00E76653"/>
    <w:rsid w:val="00E80530"/>
    <w:rsid w:val="00E80C88"/>
    <w:rsid w:val="00E91CC8"/>
    <w:rsid w:val="00E93F0C"/>
    <w:rsid w:val="00E94B01"/>
    <w:rsid w:val="00E95360"/>
    <w:rsid w:val="00E95422"/>
    <w:rsid w:val="00E97AE5"/>
    <w:rsid w:val="00EA03AE"/>
    <w:rsid w:val="00EA623A"/>
    <w:rsid w:val="00EA66F7"/>
    <w:rsid w:val="00EA7535"/>
    <w:rsid w:val="00EB5620"/>
    <w:rsid w:val="00EB5F2C"/>
    <w:rsid w:val="00EB6828"/>
    <w:rsid w:val="00EB7484"/>
    <w:rsid w:val="00EC0BA8"/>
    <w:rsid w:val="00ED3914"/>
    <w:rsid w:val="00ED7730"/>
    <w:rsid w:val="00EE6C8E"/>
    <w:rsid w:val="00EE722C"/>
    <w:rsid w:val="00EF1A95"/>
    <w:rsid w:val="00EF1BBC"/>
    <w:rsid w:val="00EF2D5D"/>
    <w:rsid w:val="00EF37EF"/>
    <w:rsid w:val="00EF3986"/>
    <w:rsid w:val="00EF4EA0"/>
    <w:rsid w:val="00F01BDA"/>
    <w:rsid w:val="00F03AA9"/>
    <w:rsid w:val="00F05D55"/>
    <w:rsid w:val="00F1260A"/>
    <w:rsid w:val="00F16729"/>
    <w:rsid w:val="00F1742E"/>
    <w:rsid w:val="00F17C12"/>
    <w:rsid w:val="00F20437"/>
    <w:rsid w:val="00F20ED2"/>
    <w:rsid w:val="00F23250"/>
    <w:rsid w:val="00F27C63"/>
    <w:rsid w:val="00F27ECB"/>
    <w:rsid w:val="00F34DE1"/>
    <w:rsid w:val="00F3555A"/>
    <w:rsid w:val="00F36A0A"/>
    <w:rsid w:val="00F406D8"/>
    <w:rsid w:val="00F53021"/>
    <w:rsid w:val="00F543C6"/>
    <w:rsid w:val="00F5475C"/>
    <w:rsid w:val="00F572AE"/>
    <w:rsid w:val="00F65269"/>
    <w:rsid w:val="00F72425"/>
    <w:rsid w:val="00F802E9"/>
    <w:rsid w:val="00F80815"/>
    <w:rsid w:val="00F80903"/>
    <w:rsid w:val="00F80FE1"/>
    <w:rsid w:val="00F81230"/>
    <w:rsid w:val="00F8126E"/>
    <w:rsid w:val="00F92C59"/>
    <w:rsid w:val="00FA7A7E"/>
    <w:rsid w:val="00FB5119"/>
    <w:rsid w:val="00FC0568"/>
    <w:rsid w:val="00FC1310"/>
    <w:rsid w:val="00FC4814"/>
    <w:rsid w:val="00FD22F7"/>
    <w:rsid w:val="00FD6215"/>
    <w:rsid w:val="00FD7203"/>
    <w:rsid w:val="00FE75C7"/>
    <w:rsid w:val="00FF09A6"/>
    <w:rsid w:val="00FF3BCE"/>
    <w:rsid w:val="00FF607F"/>
    <w:rsid w:val="00FF6D05"/>
    <w:rsid w:val="7CC46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KWM</Company>
  <Pages>4</Pages>
  <Words>3311</Words>
  <Characters>3395</Characters>
  <Lines>24</Lines>
  <Paragraphs>6</Paragraphs>
  <TotalTime>10</TotalTime>
  <ScaleCrop>false</ScaleCrop>
  <LinksUpToDate>false</LinksUpToDate>
  <CharactersWithSpaces>3397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2023-10-15T13:17:00Z</dcterms:created>
  <dc:creator>Wu, Jianya</dc:creator>
  <cp:lastModifiedBy>李俊霖</cp:lastModifiedBy>
  <dcterms:modified xsi:type="dcterms:W3CDTF">2023-11-01T08:10:19Z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958E756C232340C5A5C782658D739B41_12</vt:lpwstr>
  </property>
</Properties>
</file>