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0" w:line="560" w:lineRule="exact"/>
        <w:jc w:val="center"/>
        <w:textAlignment w:val="baseline"/>
        <w:rPr>
          <w:rStyle w:val="12"/>
          <w:rFonts w:hint="eastAsia" w:ascii="仿宋" w:hAnsi="仿宋" w:eastAsia="仿宋" w:cs="仿宋"/>
          <w:b/>
          <w:kern w:val="2"/>
          <w:sz w:val="32"/>
          <w:szCs w:val="32"/>
          <w:lang w:val="en-US" w:eastAsia="zh-CN" w:bidi="ar-SA"/>
        </w:rPr>
      </w:pPr>
      <w:r>
        <w:rPr>
          <w:rStyle w:val="12"/>
          <w:rFonts w:hint="eastAsia" w:ascii="仿宋" w:hAnsi="仿宋" w:eastAsia="仿宋" w:cs="仿宋"/>
          <w:b/>
          <w:kern w:val="2"/>
          <w:sz w:val="32"/>
          <w:szCs w:val="32"/>
          <w:lang w:val="en-US" w:eastAsia="zh-CN" w:bidi="ar-SA"/>
        </w:rPr>
        <w:t>关于提请债权人、股东审议确认</w:t>
      </w:r>
    </w:p>
    <w:p>
      <w:pPr>
        <w:keepNext w:val="0"/>
        <w:keepLines w:val="0"/>
        <w:pageBreakBefore w:val="0"/>
        <w:widowControl/>
        <w:kinsoku/>
        <w:wordWrap/>
        <w:overflowPunct/>
        <w:topLinePunct w:val="0"/>
        <w:autoSpaceDE/>
        <w:autoSpaceDN/>
        <w:bidi w:val="0"/>
        <w:adjustRightInd/>
        <w:snapToGrid/>
        <w:spacing w:after="0" w:line="560" w:lineRule="exact"/>
        <w:jc w:val="center"/>
        <w:textAlignment w:val="baseline"/>
        <w:rPr>
          <w:rStyle w:val="12"/>
          <w:rFonts w:ascii="仿宋_GB2312" w:eastAsia="仿宋_GB2312"/>
          <w:kern w:val="2"/>
          <w:sz w:val="24"/>
          <w:szCs w:val="24"/>
          <w:lang w:val="en-US" w:eastAsia="zh-CN" w:bidi="ar-SA"/>
        </w:rPr>
      </w:pPr>
      <w:r>
        <w:rPr>
          <w:rStyle w:val="12"/>
          <w:rFonts w:hint="eastAsia" w:ascii="仿宋" w:hAnsi="仿宋" w:eastAsia="仿宋" w:cs="仿宋"/>
          <w:b/>
          <w:kern w:val="2"/>
          <w:sz w:val="32"/>
          <w:szCs w:val="32"/>
          <w:lang w:val="en-US" w:eastAsia="zh-CN" w:bidi="ar-SA"/>
        </w:rPr>
        <w:t>广州中创金融企业服务有限公司清算方案的报告</w:t>
      </w:r>
    </w:p>
    <w:p>
      <w:pPr>
        <w:keepNext w:val="0"/>
        <w:keepLines w:val="0"/>
        <w:pageBreakBefore w:val="0"/>
        <w:widowControl/>
        <w:kinsoku/>
        <w:wordWrap/>
        <w:overflowPunct/>
        <w:topLinePunct w:val="0"/>
        <w:autoSpaceDE/>
        <w:autoSpaceDN/>
        <w:bidi w:val="0"/>
        <w:adjustRightInd/>
        <w:snapToGrid/>
        <w:spacing w:after="157" w:afterLines="50" w:line="560" w:lineRule="exact"/>
        <w:jc w:val="right"/>
        <w:textAlignment w:val="baseline"/>
        <w:rPr>
          <w:rStyle w:val="12"/>
          <w:rFonts w:ascii="仿宋_GB2312" w:eastAsia="仿宋_GB2312"/>
          <w:kern w:val="2"/>
          <w:sz w:val="24"/>
          <w:szCs w:val="24"/>
          <w:lang w:val="en-US" w:eastAsia="zh-CN" w:bidi="ar-SA"/>
        </w:rPr>
      </w:pPr>
      <w:r>
        <w:rPr>
          <w:rStyle w:val="12"/>
          <w:rFonts w:ascii="仿宋_GB2312" w:eastAsia="仿宋_GB2312"/>
          <w:kern w:val="2"/>
          <w:sz w:val="24"/>
          <w:szCs w:val="24"/>
          <w:lang w:val="en-US" w:eastAsia="zh-CN" w:bidi="ar-SA"/>
        </w:rPr>
        <w:t>（</w:t>
      </w:r>
      <w:r>
        <w:rPr>
          <w:rStyle w:val="12"/>
          <w:rFonts w:hint="eastAsia" w:ascii="仿宋_GB2312" w:eastAsia="仿宋_GB2312"/>
          <w:kern w:val="2"/>
          <w:sz w:val="24"/>
          <w:szCs w:val="24"/>
          <w:lang w:val="en-US" w:eastAsia="zh-CN" w:bidi="ar-SA"/>
        </w:rPr>
        <w:t>2023</w:t>
      </w:r>
      <w:r>
        <w:rPr>
          <w:rStyle w:val="12"/>
          <w:rFonts w:ascii="仿宋_GB2312" w:eastAsia="仿宋_GB2312"/>
          <w:kern w:val="2"/>
          <w:sz w:val="24"/>
          <w:szCs w:val="24"/>
          <w:lang w:val="en-US" w:eastAsia="zh-CN" w:bidi="ar-SA"/>
        </w:rPr>
        <w:t>）</w:t>
      </w:r>
      <w:r>
        <w:rPr>
          <w:rStyle w:val="12"/>
          <w:rFonts w:hint="eastAsia" w:ascii="仿宋_GB2312" w:eastAsia="仿宋_GB2312"/>
          <w:kern w:val="2"/>
          <w:sz w:val="24"/>
          <w:szCs w:val="24"/>
          <w:lang w:val="en-US" w:eastAsia="zh-CN" w:bidi="ar-SA"/>
        </w:rPr>
        <w:t>中创金融清组</w:t>
      </w:r>
      <w:r>
        <w:rPr>
          <w:rStyle w:val="12"/>
          <w:rFonts w:ascii="仿宋_GB2312" w:eastAsia="仿宋_GB2312"/>
          <w:kern w:val="2"/>
          <w:sz w:val="24"/>
          <w:szCs w:val="24"/>
          <w:lang w:val="en-US" w:eastAsia="zh-CN" w:bidi="ar-SA"/>
        </w:rPr>
        <w:t>字第</w:t>
      </w:r>
      <w:r>
        <w:rPr>
          <w:rStyle w:val="12"/>
          <w:rFonts w:hint="eastAsia" w:ascii="仿宋_GB2312" w:eastAsia="仿宋_GB2312"/>
          <w:kern w:val="2"/>
          <w:sz w:val="24"/>
          <w:szCs w:val="24"/>
          <w:lang w:val="en-US" w:eastAsia="zh-CN" w:bidi="ar-SA"/>
        </w:rPr>
        <w:t>22</w:t>
      </w:r>
      <w:r>
        <w:rPr>
          <w:rStyle w:val="12"/>
          <w:rFonts w:ascii="仿宋_GB2312" w:eastAsia="仿宋_GB2312"/>
          <w:kern w:val="2"/>
          <w:sz w:val="24"/>
          <w:szCs w:val="24"/>
          <w:lang w:val="en-US" w:eastAsia="zh-CN" w:bidi="ar-SA"/>
        </w:rPr>
        <w:t>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广州中创金融企业服务有限公司各债权人、各股东：</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560" w:firstLineChars="200"/>
        <w:rPr>
          <w:rStyle w:val="12"/>
          <w:rFonts w:hint="eastAsia" w:ascii="仿宋" w:hAnsi="仿宋" w:eastAsia="仿宋" w:cs="仿宋"/>
          <w:kern w:val="2"/>
          <w:sz w:val="28"/>
          <w:szCs w:val="28"/>
          <w:lang w:val="en-US" w:eastAsia="zh-CN" w:bidi="ar-SA"/>
        </w:rPr>
      </w:pPr>
      <w:r>
        <w:rPr>
          <w:rStyle w:val="12"/>
          <w:rFonts w:hint="eastAsia" w:ascii="仿宋" w:hAnsi="仿宋" w:eastAsia="仿宋" w:cs="仿宋"/>
          <w:kern w:val="2"/>
          <w:sz w:val="28"/>
          <w:szCs w:val="28"/>
          <w:lang w:val="en-US" w:eastAsia="zh-CN" w:bidi="ar-SA"/>
        </w:rPr>
        <w:t>广州市越秀区人民法院于2023年2月20日作出（2023）粤0104清申3号《民事裁定书》，裁定受理中国机床总公司广州公司对广州中创金融企业服务有限公司的强制清算申请，并于2023年6月8日作出（2023）粤0104强清4号《决定书》，指定广东东方昆仑律师事务所为广州中创金融企业服务有限公司清算组，负责清算工作。</w:t>
      </w:r>
    </w:p>
    <w:p>
      <w:pPr>
        <w:spacing w:line="560" w:lineRule="exact"/>
        <w:ind w:firstLine="560" w:firstLineChars="200"/>
        <w:jc w:val="both"/>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在</w:t>
      </w:r>
      <w:r>
        <w:rPr>
          <w:rFonts w:hint="eastAsia" w:ascii="仿宋" w:hAnsi="仿宋" w:eastAsia="仿宋" w:cs="仿宋"/>
          <w:b w:val="0"/>
          <w:bCs w:val="0"/>
          <w:color w:val="auto"/>
          <w:sz w:val="28"/>
          <w:szCs w:val="28"/>
          <w:lang w:val="en-US" w:eastAsia="zh-CN"/>
        </w:rPr>
        <w:t>广州市越秀区人民法院</w:t>
      </w:r>
      <w:r>
        <w:rPr>
          <w:rFonts w:hint="eastAsia" w:ascii="仿宋" w:hAnsi="仿宋" w:eastAsia="仿宋" w:cs="仿宋"/>
          <w:b w:val="0"/>
          <w:bCs w:val="0"/>
          <w:color w:val="auto"/>
          <w:sz w:val="28"/>
          <w:szCs w:val="28"/>
        </w:rPr>
        <w:t>的指导及监督下，清算组依法履行职责，完成了清算公告、</w:t>
      </w:r>
      <w:r>
        <w:rPr>
          <w:rFonts w:hint="eastAsia" w:ascii="仿宋" w:hAnsi="仿宋" w:eastAsia="仿宋" w:cs="仿宋"/>
          <w:b w:val="0"/>
          <w:bCs w:val="0"/>
          <w:color w:val="auto"/>
          <w:sz w:val="28"/>
          <w:szCs w:val="28"/>
          <w:lang w:val="en-US" w:eastAsia="zh-CN"/>
        </w:rPr>
        <w:t>通知已知债权人申报债权、</w:t>
      </w:r>
      <w:r>
        <w:rPr>
          <w:rFonts w:hint="eastAsia" w:ascii="仿宋" w:hAnsi="仿宋" w:eastAsia="仿宋" w:cs="仿宋"/>
          <w:b w:val="0"/>
          <w:bCs w:val="0"/>
          <w:color w:val="auto"/>
          <w:sz w:val="28"/>
          <w:szCs w:val="28"/>
        </w:rPr>
        <w:t>职工债权调查、债权审查确认、税费调查、财产调查等清算工作，并根据《中华人民共和国公司法》第一百八十六条规定，拟定了《</w:t>
      </w:r>
      <w:r>
        <w:rPr>
          <w:rFonts w:hint="eastAsia" w:ascii="仿宋" w:hAnsi="仿宋" w:eastAsia="仿宋" w:cs="仿宋"/>
          <w:b w:val="0"/>
          <w:bCs w:val="0"/>
          <w:color w:val="auto"/>
          <w:sz w:val="28"/>
          <w:szCs w:val="28"/>
          <w:lang w:eastAsia="zh-CN"/>
        </w:rPr>
        <w:t>广州中创金融企业服务有限公司</w:t>
      </w:r>
      <w:r>
        <w:rPr>
          <w:rFonts w:hint="eastAsia" w:ascii="仿宋" w:hAnsi="仿宋" w:eastAsia="仿宋" w:cs="仿宋"/>
          <w:b w:val="0"/>
          <w:bCs w:val="0"/>
          <w:color w:val="auto"/>
          <w:sz w:val="28"/>
          <w:szCs w:val="28"/>
        </w:rPr>
        <w:t>清算方案》</w:t>
      </w:r>
      <w:r>
        <w:rPr>
          <w:rFonts w:hint="eastAsia" w:ascii="仿宋" w:hAnsi="仿宋" w:eastAsia="仿宋" w:cs="仿宋"/>
          <w:b w:val="0"/>
          <w:bCs w:val="0"/>
          <w:color w:val="auto"/>
          <w:sz w:val="28"/>
          <w:szCs w:val="28"/>
          <w:lang w:eastAsia="zh-CN"/>
        </w:rPr>
        <w:t>，提交各债权人及各股东审议确认</w:t>
      </w:r>
      <w:r>
        <w:rPr>
          <w:rFonts w:hint="eastAsia" w:ascii="仿宋" w:hAnsi="仿宋" w:eastAsia="仿宋" w:cs="仿宋"/>
          <w:b w:val="0"/>
          <w:bCs w:val="0"/>
          <w:color w:val="auto"/>
          <w:sz w:val="28"/>
          <w:szCs w:val="28"/>
        </w:rPr>
        <w:t>。</w:t>
      </w:r>
    </w:p>
    <w:p>
      <w:pPr>
        <w:snapToGrid/>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特此报告。</w:t>
      </w:r>
      <w:r>
        <w:rPr>
          <w:rFonts w:hint="eastAsia" w:ascii="仿宋" w:hAnsi="仿宋" w:eastAsia="仿宋" w:cs="仿宋"/>
          <w:sz w:val="28"/>
          <w:szCs w:val="28"/>
          <w:lang w:val="en-GB"/>
        </w:rPr>
        <w:tab/>
      </w:r>
      <w:r>
        <w:rPr>
          <w:rFonts w:hint="eastAsia" w:ascii="仿宋" w:hAnsi="仿宋" w:eastAsia="仿宋" w:cs="仿宋"/>
          <w:sz w:val="28"/>
          <w:szCs w:val="28"/>
          <w:lang w:val="en-GB"/>
        </w:rPr>
        <w:tab/>
      </w:r>
      <w:r>
        <w:rPr>
          <w:rFonts w:hint="eastAsia" w:ascii="仿宋" w:hAnsi="仿宋" w:eastAsia="仿宋" w:cs="仿宋"/>
          <w:sz w:val="28"/>
          <w:szCs w:val="28"/>
          <w:lang w:val="en-GB"/>
        </w:rPr>
        <w:tab/>
      </w:r>
      <w:r>
        <w:rPr>
          <w:rFonts w:hint="eastAsia" w:ascii="仿宋" w:hAnsi="仿宋" w:eastAsia="仿宋" w:cs="仿宋"/>
          <w:sz w:val="28"/>
          <w:szCs w:val="28"/>
          <w:lang w:val="en-GB"/>
        </w:rPr>
        <w:tab/>
      </w:r>
      <w:r>
        <w:rPr>
          <w:rFonts w:hint="eastAsia" w:ascii="仿宋" w:hAnsi="仿宋" w:eastAsia="仿宋" w:cs="仿宋"/>
          <w:sz w:val="28"/>
          <w:szCs w:val="28"/>
        </w:rPr>
        <w:t xml:space="preserve">                        </w:t>
      </w:r>
    </w:p>
    <w:p>
      <w:pPr>
        <w:snapToGrid/>
        <w:spacing w:line="560" w:lineRule="exact"/>
        <w:ind w:firstLine="397"/>
        <w:jc w:val="right"/>
        <w:rPr>
          <w:rFonts w:hint="eastAsia" w:ascii="仿宋" w:hAnsi="仿宋" w:eastAsia="仿宋" w:cs="仿宋"/>
          <w:sz w:val="28"/>
          <w:szCs w:val="28"/>
        </w:rPr>
      </w:pPr>
      <w:r>
        <w:rPr>
          <w:rFonts w:hint="eastAsia" w:ascii="仿宋" w:hAnsi="仿宋" w:eastAsia="仿宋" w:cs="仿宋"/>
          <w:sz w:val="28"/>
          <w:szCs w:val="28"/>
        </w:rPr>
        <w:t xml:space="preserve">                    </w:t>
      </w:r>
    </w:p>
    <w:p>
      <w:pPr>
        <w:snapToGrid/>
        <w:spacing w:line="560" w:lineRule="exact"/>
        <w:ind w:firstLine="397"/>
        <w:jc w:val="righ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广州中创金融企业服务有限公司</w:t>
      </w:r>
      <w:r>
        <w:rPr>
          <w:rFonts w:hint="eastAsia" w:ascii="仿宋" w:hAnsi="仿宋" w:eastAsia="仿宋" w:cs="仿宋"/>
          <w:b/>
          <w:bCs/>
          <w:sz w:val="28"/>
          <w:szCs w:val="28"/>
          <w:lang w:val="en-US" w:eastAsia="zh-CN"/>
        </w:rPr>
        <w:t>清算组</w:t>
      </w:r>
    </w:p>
    <w:p>
      <w:pPr>
        <w:snapToGrid/>
        <w:spacing w:line="560" w:lineRule="exact"/>
        <w:ind w:firstLine="397"/>
        <w:jc w:val="center"/>
        <w:rPr>
          <w:rFonts w:hint="eastAsia" w:ascii="仿宋" w:hAnsi="仿宋" w:eastAsia="仿宋" w:cs="仿宋"/>
          <w:sz w:val="28"/>
          <w:szCs w:val="28"/>
          <w:lang w:val="en-US" w:eastAsia="zh-CN"/>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负责人：</w:t>
      </w:r>
      <w:r>
        <w:rPr>
          <w:rFonts w:hint="eastAsia" w:ascii="仿宋" w:hAnsi="仿宋" w:eastAsia="仿宋" w:cs="仿宋"/>
          <w:sz w:val="28"/>
          <w:szCs w:val="28"/>
          <w:lang w:val="en-US" w:eastAsia="zh-CN"/>
        </w:rPr>
        <w:t>余关宝</w:t>
      </w:r>
    </w:p>
    <w:p>
      <w:pPr>
        <w:snapToGrid/>
        <w:spacing w:line="560" w:lineRule="exact"/>
        <w:ind w:firstLine="397"/>
        <w:jc w:val="righ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2023</w:t>
      </w:r>
      <w:r>
        <w:rPr>
          <w:rFonts w:hint="eastAsia" w:ascii="仿宋" w:hAnsi="仿宋" w:eastAsia="仿宋" w:cs="仿宋"/>
          <w:sz w:val="28"/>
          <w:szCs w:val="28"/>
          <w:lang w:val="en-GB"/>
        </w:rPr>
        <w:t>年</w:t>
      </w:r>
      <w:r>
        <w:rPr>
          <w:rFonts w:hint="eastAsia" w:ascii="仿宋" w:hAnsi="仿宋" w:eastAsia="仿宋" w:cs="仿宋"/>
          <w:sz w:val="28"/>
          <w:szCs w:val="28"/>
          <w:lang w:val="en-US" w:eastAsia="zh-CN"/>
        </w:rPr>
        <w:t>11</w:t>
      </w:r>
      <w:r>
        <w:rPr>
          <w:rFonts w:hint="eastAsia" w:ascii="仿宋" w:hAnsi="仿宋" w:eastAsia="仿宋" w:cs="仿宋"/>
          <w:sz w:val="28"/>
          <w:szCs w:val="28"/>
          <w:lang w:val="en-GB"/>
        </w:rPr>
        <w:t>月</w:t>
      </w:r>
      <w:r>
        <w:rPr>
          <w:rFonts w:hint="eastAsia" w:ascii="仿宋" w:hAnsi="仿宋" w:eastAsia="仿宋" w:cs="仿宋"/>
          <w:sz w:val="28"/>
          <w:szCs w:val="28"/>
          <w:lang w:val="en-US" w:eastAsia="zh-CN"/>
        </w:rPr>
        <w:t>2日</w:t>
      </w:r>
    </w:p>
    <w:p>
      <w:pPr>
        <w:keepNext w:val="0"/>
        <w:keepLines w:val="0"/>
        <w:pageBreakBefore w:val="0"/>
        <w:widowControl/>
        <w:kinsoku/>
        <w:overflowPunct/>
        <w:topLinePunct w:val="0"/>
        <w:autoSpaceDE/>
        <w:autoSpaceDN/>
        <w:bidi w:val="0"/>
        <w:adjustRightInd/>
        <w:snapToGrid/>
        <w:spacing w:beforeLines="-2147483648" w:line="240" w:lineRule="auto"/>
        <w:jc w:val="left"/>
        <w:textAlignment w:val="auto"/>
        <w:rPr>
          <w:rStyle w:val="12"/>
          <w:b/>
          <w:sz w:val="32"/>
          <w:szCs w:val="32"/>
        </w:rPr>
      </w:pPr>
    </w:p>
    <w:p>
      <w:pPr>
        <w:rPr>
          <w:rFonts w:hint="eastAsia" w:ascii="仿宋" w:hAnsi="仿宋" w:eastAsia="仿宋" w:cs="仿宋"/>
          <w:b w:val="0"/>
          <w:bCs w:val="0"/>
          <w:color w:val="auto"/>
          <w:sz w:val="28"/>
          <w:szCs w:val="28"/>
          <w:lang w:val="en-US" w:eastAsia="zh-CN"/>
        </w:rPr>
      </w:pPr>
    </w:p>
    <w:p>
      <w:pPr>
        <w:rPr>
          <w:rFonts w:hint="eastAsia" w:ascii="仿宋" w:hAnsi="仿宋" w:eastAsia="仿宋" w:cs="仿宋"/>
          <w:b w:val="0"/>
          <w:bCs w:val="0"/>
          <w:color w:val="auto"/>
          <w:sz w:val="28"/>
          <w:szCs w:val="28"/>
          <w:lang w:val="en-US" w:eastAsia="zh-CN"/>
        </w:rPr>
      </w:pPr>
    </w:p>
    <w:p>
      <w:pPr>
        <w:rPr>
          <w:rStyle w:val="12"/>
          <w:b/>
          <w:sz w:val="32"/>
          <w:szCs w:val="32"/>
        </w:rPr>
      </w:pPr>
      <w:r>
        <w:rPr>
          <w:rFonts w:hint="eastAsia" w:ascii="仿宋" w:hAnsi="仿宋" w:eastAsia="仿宋" w:cs="仿宋"/>
          <w:b w:val="0"/>
          <w:bCs w:val="0"/>
          <w:color w:val="auto"/>
          <w:sz w:val="28"/>
          <w:szCs w:val="28"/>
          <w:lang w:val="en-US" w:eastAsia="zh-CN"/>
        </w:rPr>
        <w:t>附：广州中创金融企业服务有限公司清算方案</w:t>
      </w:r>
      <w:r>
        <w:rPr>
          <w:rStyle w:val="12"/>
          <w:b/>
          <w:sz w:val="32"/>
          <w:szCs w:val="32"/>
        </w:rPr>
        <w:br w:type="page"/>
      </w:r>
    </w:p>
    <w:p>
      <w:pPr>
        <w:keepNext w:val="0"/>
        <w:keepLines w:val="0"/>
        <w:pageBreakBefore w:val="0"/>
        <w:widowControl/>
        <w:kinsoku/>
        <w:overflowPunct/>
        <w:topLinePunct w:val="0"/>
        <w:autoSpaceDE/>
        <w:autoSpaceDN/>
        <w:bidi w:val="0"/>
        <w:adjustRightInd/>
        <w:snapToGrid/>
        <w:spacing w:beforeLines="-2147483648" w:line="240" w:lineRule="auto"/>
        <w:jc w:val="left"/>
        <w:textAlignment w:val="auto"/>
        <w:rPr>
          <w:rStyle w:val="12"/>
          <w:b/>
          <w:sz w:val="32"/>
          <w:szCs w:val="32"/>
        </w:rPr>
      </w:pPr>
      <w:r>
        <w:rPr>
          <w:rStyle w:val="12"/>
          <w:b/>
          <w:sz w:val="32"/>
          <w:szCs w:val="32"/>
        </w:rPr>
        <w:t>附：</w:t>
      </w:r>
    </w:p>
    <w:p>
      <w:pPr>
        <w:keepNext w:val="0"/>
        <w:keepLines w:val="0"/>
        <w:pageBreakBefore w:val="0"/>
        <w:widowControl/>
        <w:kinsoku/>
        <w:overflowPunct/>
        <w:topLinePunct w:val="0"/>
        <w:autoSpaceDE/>
        <w:autoSpaceDN/>
        <w:bidi w:val="0"/>
        <w:adjustRightInd/>
        <w:snapToGrid/>
        <w:spacing w:beforeLines="0" w:line="560" w:lineRule="exact"/>
        <w:jc w:val="center"/>
        <w:textAlignment w:val="baseline"/>
        <w:rPr>
          <w:rStyle w:val="12"/>
          <w:rFonts w:hint="eastAsia" w:ascii="仿宋" w:hAnsi="仿宋" w:eastAsia="仿宋" w:cs="仿宋"/>
          <w:kern w:val="2"/>
          <w:sz w:val="28"/>
          <w:szCs w:val="28"/>
          <w:lang w:val="en-US" w:eastAsia="zh-CN" w:bidi="ar-SA"/>
        </w:rPr>
      </w:pPr>
      <w:r>
        <w:rPr>
          <w:rStyle w:val="12"/>
          <w:rFonts w:hint="eastAsia" w:ascii="仿宋" w:hAnsi="仿宋" w:eastAsia="仿宋" w:cs="仿宋"/>
          <w:b/>
          <w:kern w:val="2"/>
          <w:sz w:val="32"/>
          <w:szCs w:val="32"/>
          <w:lang w:val="en-US" w:eastAsia="zh-CN" w:bidi="ar-SA"/>
        </w:rPr>
        <w:t>广州中创金融企业服务有限公司清算方案</w:t>
      </w:r>
    </w:p>
    <w:p>
      <w:pPr>
        <w:numPr>
          <w:ilvl w:val="0"/>
          <w:numId w:val="1"/>
        </w:numPr>
        <w:spacing w:before="156" w:beforeLines="50"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清算的基本原则</w:t>
      </w:r>
    </w:p>
    <w:p>
      <w:pPr>
        <w:numPr>
          <w:ilvl w:val="0"/>
          <w:numId w:val="2"/>
        </w:numPr>
        <w:spacing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坚持依法清算原则</w:t>
      </w:r>
    </w:p>
    <w:p>
      <w:pPr>
        <w:spacing w:line="560" w:lineRule="exact"/>
        <w:ind w:firstLine="560" w:firstLineChars="200"/>
        <w:jc w:val="both"/>
        <w:rPr>
          <w:rFonts w:hint="eastAsia" w:ascii="仿宋" w:hAnsi="仿宋" w:eastAsia="仿宋" w:cs="仿宋"/>
          <w:color w:val="auto"/>
          <w:sz w:val="28"/>
          <w:szCs w:val="28"/>
          <w:lang w:bidi="ar"/>
        </w:rPr>
      </w:pPr>
      <w:r>
        <w:rPr>
          <w:rFonts w:hint="eastAsia" w:ascii="仿宋" w:hAnsi="仿宋" w:eastAsia="仿宋" w:cs="仿宋"/>
          <w:color w:val="auto"/>
          <w:sz w:val="28"/>
          <w:szCs w:val="28"/>
          <w:lang w:bidi="ar"/>
        </w:rPr>
        <w:t>清算组将严格按照法律法规对</w:t>
      </w:r>
      <w:r>
        <w:rPr>
          <w:rFonts w:hint="eastAsia" w:ascii="仿宋" w:hAnsi="仿宋" w:eastAsia="仿宋" w:cs="仿宋"/>
          <w:color w:val="auto"/>
          <w:sz w:val="28"/>
          <w:szCs w:val="28"/>
          <w:lang w:eastAsia="zh-CN" w:bidi="ar"/>
        </w:rPr>
        <w:t>广州中创金融企业服务有限公司（</w:t>
      </w:r>
      <w:r>
        <w:rPr>
          <w:rFonts w:hint="eastAsia" w:ascii="仿宋" w:hAnsi="仿宋" w:eastAsia="仿宋" w:cs="仿宋"/>
          <w:color w:val="auto"/>
          <w:sz w:val="28"/>
          <w:szCs w:val="28"/>
          <w:lang w:val="en-US" w:eastAsia="zh-CN" w:bidi="ar"/>
        </w:rPr>
        <w:t>以下简称“中创金融公司”</w:t>
      </w:r>
      <w:r>
        <w:rPr>
          <w:rFonts w:hint="eastAsia" w:ascii="仿宋" w:hAnsi="仿宋" w:eastAsia="仿宋" w:cs="仿宋"/>
          <w:color w:val="auto"/>
          <w:sz w:val="28"/>
          <w:szCs w:val="28"/>
          <w:lang w:eastAsia="zh-CN" w:bidi="ar"/>
        </w:rPr>
        <w:t>）</w:t>
      </w:r>
      <w:r>
        <w:rPr>
          <w:rFonts w:hint="eastAsia" w:ascii="仿宋" w:hAnsi="仿宋" w:eastAsia="仿宋" w:cs="仿宋"/>
          <w:color w:val="auto"/>
          <w:sz w:val="28"/>
          <w:szCs w:val="28"/>
          <w:lang w:bidi="ar"/>
        </w:rPr>
        <w:t>进行清算。</w:t>
      </w:r>
    </w:p>
    <w:p>
      <w:pPr>
        <w:numPr>
          <w:ilvl w:val="0"/>
          <w:numId w:val="2"/>
        </w:numPr>
        <w:spacing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坚持清算程序公正原则</w:t>
      </w:r>
    </w:p>
    <w:p>
      <w:pPr>
        <w:spacing w:line="560" w:lineRule="exact"/>
        <w:ind w:firstLine="560" w:firstLineChars="200"/>
        <w:jc w:val="both"/>
        <w:rPr>
          <w:rFonts w:hint="eastAsia" w:ascii="仿宋" w:hAnsi="仿宋" w:eastAsia="仿宋" w:cs="仿宋"/>
          <w:color w:val="auto"/>
          <w:sz w:val="28"/>
          <w:szCs w:val="28"/>
          <w:lang w:bidi="ar"/>
        </w:rPr>
      </w:pPr>
      <w:r>
        <w:rPr>
          <w:rFonts w:hint="eastAsia" w:ascii="仿宋" w:hAnsi="仿宋" w:eastAsia="仿宋" w:cs="仿宋"/>
          <w:color w:val="auto"/>
          <w:sz w:val="28"/>
          <w:szCs w:val="28"/>
          <w:lang w:bidi="ar"/>
        </w:rPr>
        <w:t>清算组将严格依照法定程序对</w:t>
      </w:r>
      <w:r>
        <w:rPr>
          <w:rFonts w:hint="eastAsia" w:ascii="仿宋" w:hAnsi="仿宋" w:eastAsia="仿宋" w:cs="仿宋"/>
          <w:color w:val="auto"/>
          <w:sz w:val="28"/>
          <w:szCs w:val="28"/>
          <w:lang w:val="en-US" w:eastAsia="zh-CN" w:bidi="ar"/>
        </w:rPr>
        <w:t>中创金融公司</w:t>
      </w:r>
      <w:r>
        <w:rPr>
          <w:rFonts w:hint="eastAsia" w:ascii="仿宋" w:hAnsi="仿宋" w:eastAsia="仿宋" w:cs="仿宋"/>
          <w:color w:val="auto"/>
          <w:sz w:val="28"/>
          <w:szCs w:val="28"/>
          <w:lang w:bidi="ar"/>
        </w:rPr>
        <w:t>进行清算，坚持在程序正义的基础上实现清算结果的公正。</w:t>
      </w:r>
    </w:p>
    <w:p>
      <w:pPr>
        <w:numPr>
          <w:ilvl w:val="0"/>
          <w:numId w:val="2"/>
        </w:numPr>
        <w:spacing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坚持清算效率原则</w:t>
      </w:r>
    </w:p>
    <w:p>
      <w:pPr>
        <w:spacing w:line="560" w:lineRule="exact"/>
        <w:ind w:firstLine="560" w:firstLineChars="200"/>
        <w:jc w:val="both"/>
        <w:rPr>
          <w:rFonts w:hint="eastAsia" w:ascii="仿宋" w:hAnsi="仿宋" w:eastAsia="仿宋" w:cs="仿宋"/>
          <w:color w:val="auto"/>
          <w:sz w:val="28"/>
          <w:szCs w:val="28"/>
          <w:lang w:bidi="ar"/>
        </w:rPr>
      </w:pPr>
      <w:r>
        <w:rPr>
          <w:rFonts w:hint="eastAsia" w:ascii="仿宋" w:hAnsi="仿宋" w:eastAsia="仿宋" w:cs="仿宋"/>
          <w:color w:val="auto"/>
          <w:sz w:val="28"/>
          <w:szCs w:val="28"/>
          <w:lang w:bidi="ar"/>
        </w:rPr>
        <w:t>清算组将严格按照法律规定及时有效地对</w:t>
      </w:r>
      <w:r>
        <w:rPr>
          <w:rFonts w:hint="eastAsia" w:ascii="仿宋" w:hAnsi="仿宋" w:eastAsia="仿宋" w:cs="仿宋"/>
          <w:color w:val="auto"/>
          <w:sz w:val="28"/>
          <w:szCs w:val="28"/>
          <w:lang w:val="en-US" w:eastAsia="zh-CN" w:bidi="ar"/>
        </w:rPr>
        <w:t>中创金融公司</w:t>
      </w:r>
      <w:r>
        <w:rPr>
          <w:rFonts w:hint="eastAsia" w:ascii="仿宋" w:hAnsi="仿宋" w:eastAsia="仿宋" w:cs="仿宋"/>
          <w:color w:val="auto"/>
          <w:sz w:val="28"/>
          <w:szCs w:val="28"/>
          <w:lang w:bidi="ar"/>
        </w:rPr>
        <w:t>完成清算，保障债权人、股东等利害关系人的利益及时得到实现，避免因长期拖延清算给相关利害关系人造成不必要的损失，保障社会资源的有效利用。</w:t>
      </w:r>
    </w:p>
    <w:p>
      <w:pPr>
        <w:numPr>
          <w:ilvl w:val="0"/>
          <w:numId w:val="2"/>
        </w:numPr>
        <w:spacing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坚持利益均衡保护原则</w:t>
      </w:r>
    </w:p>
    <w:p>
      <w:pPr>
        <w:spacing w:line="560" w:lineRule="exact"/>
        <w:ind w:firstLine="560" w:firstLineChars="200"/>
        <w:jc w:val="both"/>
        <w:rPr>
          <w:rFonts w:hint="eastAsia" w:ascii="仿宋" w:hAnsi="仿宋" w:eastAsia="仿宋" w:cs="仿宋"/>
          <w:color w:val="auto"/>
          <w:sz w:val="28"/>
          <w:szCs w:val="28"/>
          <w:lang w:bidi="ar"/>
        </w:rPr>
      </w:pPr>
      <w:r>
        <w:rPr>
          <w:rFonts w:hint="eastAsia" w:ascii="仿宋" w:hAnsi="仿宋" w:eastAsia="仿宋" w:cs="仿宋"/>
          <w:color w:val="auto"/>
          <w:sz w:val="28"/>
          <w:szCs w:val="28"/>
          <w:lang w:bidi="ar"/>
        </w:rPr>
        <w:t>清算组在对</w:t>
      </w:r>
      <w:r>
        <w:rPr>
          <w:rFonts w:hint="eastAsia" w:ascii="仿宋" w:hAnsi="仿宋" w:eastAsia="仿宋" w:cs="仿宋"/>
          <w:color w:val="auto"/>
          <w:sz w:val="28"/>
          <w:szCs w:val="28"/>
          <w:lang w:val="en-US" w:eastAsia="zh-CN" w:bidi="ar"/>
        </w:rPr>
        <w:t>中创金融公司</w:t>
      </w:r>
      <w:r>
        <w:rPr>
          <w:rFonts w:hint="eastAsia" w:ascii="仿宋" w:hAnsi="仿宋" w:eastAsia="仿宋" w:cs="仿宋"/>
          <w:color w:val="auto"/>
          <w:sz w:val="28"/>
          <w:szCs w:val="28"/>
          <w:lang w:bidi="ar"/>
        </w:rPr>
        <w:t>进行清算时，既要充分保护债权人利益，又要兼顾职工利益、股东利益和社会利益，妥善处理各方利益冲突，实现法律效果和社会效果的有机统一。清算组将依照法定程序分配公司财产，公司财产在分别支付清算费用、职工的工资、社会保险费用和法定补偿金，缴纳所欠税款，清偿公司债务后的剩余财产，按照股东的出资比例分配给股东。</w:t>
      </w:r>
    </w:p>
    <w:p>
      <w:pPr>
        <w:spacing w:before="156" w:beforeLines="50"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二、公司资产和负债情况</w:t>
      </w:r>
    </w:p>
    <w:p>
      <w:pPr>
        <w:spacing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（一）资产情况</w:t>
      </w:r>
    </w:p>
    <w:p>
      <w:pPr>
        <w:spacing w:line="560" w:lineRule="exact"/>
        <w:ind w:firstLine="560" w:firstLineChars="200"/>
        <w:jc w:val="both"/>
        <w:rPr>
          <w:rFonts w:hint="eastAsia" w:ascii="仿宋" w:hAnsi="仿宋" w:eastAsia="仿宋" w:cs="仿宋"/>
          <w:b w:val="0"/>
          <w:bCs w:val="0"/>
          <w:color w:val="auto"/>
          <w:sz w:val="28"/>
          <w:szCs w:val="28"/>
          <w:lang w:bidi="ar"/>
        </w:rPr>
      </w:pPr>
      <w:r>
        <w:rPr>
          <w:rFonts w:hint="eastAsia" w:ascii="仿宋" w:hAnsi="仿宋" w:eastAsia="仿宋" w:cs="仿宋"/>
          <w:b w:val="0"/>
          <w:bCs w:val="0"/>
          <w:color w:val="auto"/>
          <w:sz w:val="28"/>
          <w:szCs w:val="28"/>
          <w:lang w:bidi="ar"/>
        </w:rPr>
        <w:t>1.审计情况</w:t>
      </w:r>
    </w:p>
    <w:p>
      <w:pPr>
        <w:numPr>
          <w:ilvl w:val="255"/>
          <w:numId w:val="0"/>
        </w:numPr>
        <w:spacing w:line="560" w:lineRule="exact"/>
        <w:ind w:firstLine="560" w:firstLineChars="200"/>
        <w:jc w:val="both"/>
        <w:rPr>
          <w:rFonts w:hint="eastAsia" w:ascii="仿宋" w:hAnsi="仿宋" w:eastAsia="仿宋" w:cs="仿宋"/>
          <w:color w:val="auto"/>
          <w:sz w:val="28"/>
          <w:szCs w:val="28"/>
          <w:lang w:val="en-US" w:eastAsia="zh-CN" w:bidi="ar"/>
        </w:rPr>
      </w:pPr>
      <w:r>
        <w:rPr>
          <w:rFonts w:hint="eastAsia" w:ascii="仿宋" w:hAnsi="仿宋" w:eastAsia="仿宋" w:cs="仿宋"/>
          <w:sz w:val="28"/>
          <w:szCs w:val="28"/>
          <w:lang w:val="en-US" w:eastAsia="zh-CN"/>
        </w:rPr>
        <w:t>因中创金融公司法定代表人郑方锐、实际控制人杨志兴犯集资诈骗罪需在韶关吴江监狱服刑至2030年，清算组已向该两人发出接管通知书，其中：郑方锐书面回复其只是挂职，不清楚公司清楚；杨志兴至今未回复。中创金融公司注册地也无任何资料物品，故，</w:t>
      </w:r>
      <w:r>
        <w:rPr>
          <w:rFonts w:hint="eastAsia" w:ascii="仿宋" w:hAnsi="仿宋" w:eastAsia="仿宋" w:cs="仿宋"/>
          <w:color w:val="auto"/>
          <w:sz w:val="28"/>
          <w:szCs w:val="28"/>
          <w:lang w:val="en-US" w:eastAsia="zh-CN" w:bidi="ar"/>
        </w:rPr>
        <w:t>目前中创金融公司的财务账册下落不明，清算组未能接管到中创金融公司的任何财务账册等资料，无法进行审计。</w:t>
      </w:r>
    </w:p>
    <w:p>
      <w:pPr>
        <w:numPr>
          <w:ilvl w:val="255"/>
          <w:numId w:val="0"/>
        </w:numPr>
        <w:spacing w:line="560" w:lineRule="exact"/>
        <w:ind w:firstLine="560" w:firstLineChars="200"/>
        <w:jc w:val="both"/>
        <w:rPr>
          <w:rFonts w:hint="eastAsia" w:ascii="仿宋" w:hAnsi="仿宋" w:eastAsia="仿宋" w:cs="仿宋"/>
          <w:b w:val="0"/>
          <w:bCs w:val="0"/>
          <w:color w:val="auto"/>
          <w:sz w:val="28"/>
          <w:szCs w:val="28"/>
          <w:lang w:bidi="ar"/>
        </w:rPr>
      </w:pPr>
      <w:r>
        <w:rPr>
          <w:rFonts w:hint="eastAsia" w:ascii="仿宋" w:hAnsi="仿宋" w:eastAsia="仿宋" w:cs="仿宋"/>
          <w:b w:val="0"/>
          <w:bCs w:val="0"/>
          <w:color w:val="auto"/>
          <w:sz w:val="28"/>
          <w:szCs w:val="28"/>
          <w:lang w:bidi="ar"/>
        </w:rPr>
        <w:t>2.清算组</w:t>
      </w:r>
      <w:r>
        <w:rPr>
          <w:rFonts w:hint="eastAsia" w:ascii="仿宋" w:hAnsi="仿宋" w:eastAsia="仿宋" w:cs="仿宋"/>
          <w:b w:val="0"/>
          <w:bCs w:val="0"/>
          <w:color w:val="auto"/>
          <w:sz w:val="28"/>
          <w:szCs w:val="28"/>
          <w:lang w:val="en-US" w:eastAsia="zh-CN" w:bidi="ar"/>
        </w:rPr>
        <w:t>清查</w:t>
      </w:r>
      <w:r>
        <w:rPr>
          <w:rFonts w:hint="eastAsia" w:ascii="仿宋" w:hAnsi="仿宋" w:eastAsia="仿宋" w:cs="仿宋"/>
          <w:b w:val="0"/>
          <w:bCs w:val="0"/>
          <w:color w:val="auto"/>
          <w:sz w:val="28"/>
          <w:szCs w:val="28"/>
          <w:lang w:bidi="ar"/>
        </w:rPr>
        <w:t>确认情况</w:t>
      </w:r>
    </w:p>
    <w:p>
      <w:pPr>
        <w:numPr>
          <w:ilvl w:val="255"/>
          <w:numId w:val="0"/>
        </w:numPr>
        <w:spacing w:line="560" w:lineRule="exact"/>
        <w:ind w:firstLine="560" w:firstLineChars="200"/>
        <w:jc w:val="both"/>
        <w:rPr>
          <w:rFonts w:hint="eastAsia" w:ascii="仿宋" w:hAnsi="仿宋" w:eastAsia="仿宋" w:cs="仿宋"/>
          <w:color w:val="auto"/>
          <w:sz w:val="28"/>
          <w:szCs w:val="28"/>
          <w:lang w:val="en-US" w:bidi="ar"/>
        </w:rPr>
      </w:pPr>
      <w:r>
        <w:rPr>
          <w:rFonts w:hint="eastAsia" w:ascii="仿宋" w:hAnsi="仿宋" w:eastAsia="仿宋" w:cs="仿宋"/>
          <w:color w:val="auto"/>
          <w:sz w:val="28"/>
          <w:szCs w:val="28"/>
          <w:lang w:val="en-US" w:eastAsia="zh-CN" w:bidi="ar"/>
        </w:rPr>
        <w:t>截止本清算方案出具之日，</w:t>
      </w:r>
      <w:r>
        <w:rPr>
          <w:rFonts w:hint="eastAsia" w:ascii="仿宋" w:hAnsi="仿宋" w:eastAsia="仿宋" w:cs="仿宋"/>
          <w:color w:val="auto"/>
          <w:sz w:val="28"/>
          <w:szCs w:val="28"/>
          <w:lang w:bidi="ar"/>
        </w:rPr>
        <w:t>经清算</w:t>
      </w:r>
      <w:r>
        <w:rPr>
          <w:rFonts w:hint="eastAsia" w:ascii="仿宋" w:hAnsi="仿宋" w:eastAsia="仿宋" w:cs="仿宋"/>
          <w:color w:val="auto"/>
          <w:sz w:val="28"/>
          <w:szCs w:val="28"/>
          <w:lang w:val="en-US" w:eastAsia="zh-CN" w:bidi="ar"/>
        </w:rPr>
        <w:t>组清查</w:t>
      </w:r>
      <w:r>
        <w:rPr>
          <w:rFonts w:hint="eastAsia" w:ascii="仿宋" w:hAnsi="仿宋" w:eastAsia="仿宋" w:cs="仿宋"/>
          <w:color w:val="auto"/>
          <w:sz w:val="28"/>
          <w:szCs w:val="28"/>
          <w:lang w:bidi="ar"/>
        </w:rPr>
        <w:t>核实</w:t>
      </w:r>
      <w:r>
        <w:rPr>
          <w:rFonts w:hint="eastAsia" w:ascii="仿宋" w:hAnsi="仿宋" w:eastAsia="仿宋" w:cs="仿宋"/>
          <w:color w:val="auto"/>
          <w:sz w:val="28"/>
          <w:szCs w:val="28"/>
          <w:lang w:eastAsia="zh-CN" w:bidi="ar"/>
        </w:rPr>
        <w:t>中创金融公司</w:t>
      </w:r>
      <w:r>
        <w:rPr>
          <w:rFonts w:hint="eastAsia" w:ascii="仿宋" w:hAnsi="仿宋" w:eastAsia="仿宋" w:cs="仿宋"/>
          <w:color w:val="auto"/>
          <w:sz w:val="28"/>
          <w:szCs w:val="28"/>
          <w:lang w:val="en-US" w:eastAsia="zh-CN" w:bidi="ar"/>
        </w:rPr>
        <w:t>名下货币资金、不动产、车辆、证券、知识产权、对外投资等</w:t>
      </w:r>
      <w:r>
        <w:rPr>
          <w:rFonts w:hint="eastAsia" w:ascii="仿宋" w:hAnsi="仿宋" w:eastAsia="仿宋" w:cs="仿宋"/>
          <w:sz w:val="28"/>
          <w:szCs w:val="28"/>
          <w:lang w:val="en-US" w:eastAsia="zh-CN" w:bidi="ar"/>
        </w:rPr>
        <w:t>及其他</w:t>
      </w:r>
      <w:r>
        <w:rPr>
          <w:rFonts w:hint="eastAsia" w:ascii="仿宋" w:hAnsi="仿宋" w:eastAsia="仿宋" w:cs="仿宋"/>
          <w:color w:val="auto"/>
          <w:sz w:val="28"/>
          <w:szCs w:val="28"/>
          <w:lang w:val="en-US" w:eastAsia="zh-CN" w:bidi="ar"/>
        </w:rPr>
        <w:t>财产情况</w:t>
      </w:r>
      <w:r>
        <w:rPr>
          <w:rFonts w:hint="eastAsia" w:ascii="仿宋" w:hAnsi="仿宋" w:eastAsia="仿宋" w:cs="仿宋"/>
          <w:color w:val="auto"/>
          <w:sz w:val="28"/>
          <w:szCs w:val="28"/>
          <w:lang w:bidi="ar"/>
        </w:rPr>
        <w:t>，发现</w:t>
      </w:r>
      <w:r>
        <w:rPr>
          <w:rFonts w:hint="eastAsia" w:ascii="仿宋" w:hAnsi="仿宋" w:eastAsia="仿宋" w:cs="仿宋"/>
          <w:color w:val="auto"/>
          <w:sz w:val="28"/>
          <w:szCs w:val="28"/>
          <w:lang w:eastAsia="zh-CN" w:bidi="ar"/>
        </w:rPr>
        <w:t>中创金融公司</w:t>
      </w:r>
      <w:r>
        <w:rPr>
          <w:rFonts w:hint="eastAsia" w:ascii="仿宋" w:hAnsi="仿宋" w:eastAsia="仿宋" w:cs="仿宋"/>
          <w:color w:val="auto"/>
          <w:sz w:val="28"/>
          <w:szCs w:val="28"/>
          <w:lang w:bidi="ar"/>
        </w:rPr>
        <w:t>名下</w:t>
      </w:r>
      <w:r>
        <w:rPr>
          <w:rFonts w:hint="eastAsia" w:ascii="仿宋" w:hAnsi="仿宋" w:eastAsia="仿宋" w:cs="仿宋"/>
          <w:color w:val="auto"/>
          <w:sz w:val="28"/>
          <w:szCs w:val="28"/>
          <w:lang w:val="en-US" w:eastAsia="zh-CN" w:bidi="ar"/>
        </w:rPr>
        <w:t>有银行存款2624.39元、两项有效商标（注册号均为17310004，国际分类36、42，类型均为一般）、对外长期股权投资1家（名称为湖南仟佰投资管理有限公司，中创金融公司认缴出资2040万元，持股比例68%，工商档案未见验资报告，亦未能联系上公司相关人员）及可能追回的股东抽逃出资款1000万元。除此之外，未发现其他资产。</w:t>
      </w:r>
    </w:p>
    <w:p>
      <w:pPr>
        <w:spacing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（二）负债情况</w:t>
      </w:r>
    </w:p>
    <w:p>
      <w:pPr>
        <w:numPr>
          <w:ilvl w:val="255"/>
          <w:numId w:val="0"/>
        </w:numPr>
        <w:spacing w:line="560" w:lineRule="exact"/>
        <w:ind w:firstLine="560" w:firstLineChars="200"/>
        <w:jc w:val="both"/>
        <w:rPr>
          <w:rFonts w:hint="eastAsia" w:ascii="仿宋" w:hAnsi="仿宋" w:eastAsia="仿宋" w:cs="仿宋"/>
          <w:color w:val="auto"/>
          <w:sz w:val="28"/>
          <w:szCs w:val="28"/>
          <w:lang w:bidi="ar"/>
        </w:rPr>
      </w:pPr>
      <w:r>
        <w:rPr>
          <w:rFonts w:hint="eastAsia" w:ascii="仿宋" w:hAnsi="仿宋" w:eastAsia="仿宋" w:cs="仿宋"/>
          <w:color w:val="auto"/>
          <w:sz w:val="28"/>
          <w:szCs w:val="28"/>
          <w:lang w:bidi="ar"/>
        </w:rPr>
        <w:t>1.审计情况</w:t>
      </w:r>
    </w:p>
    <w:p>
      <w:pPr>
        <w:numPr>
          <w:ilvl w:val="255"/>
          <w:numId w:val="0"/>
        </w:numPr>
        <w:spacing w:line="560" w:lineRule="exact"/>
        <w:ind w:firstLine="560" w:firstLineChars="200"/>
        <w:jc w:val="both"/>
        <w:rPr>
          <w:rFonts w:hint="eastAsia" w:ascii="仿宋" w:hAnsi="仿宋" w:eastAsia="仿宋" w:cs="仿宋"/>
          <w:color w:val="auto"/>
          <w:sz w:val="28"/>
          <w:szCs w:val="28"/>
          <w:lang w:val="en-US" w:eastAsia="zh-CN" w:bidi="ar"/>
        </w:rPr>
      </w:pPr>
      <w:r>
        <w:rPr>
          <w:rFonts w:hint="eastAsia" w:ascii="仿宋" w:hAnsi="仿宋" w:eastAsia="仿宋" w:cs="仿宋"/>
          <w:sz w:val="28"/>
          <w:szCs w:val="28"/>
          <w:lang w:val="en-US" w:eastAsia="zh-CN"/>
        </w:rPr>
        <w:t>因中创金融公司法定代表人郑方锐、实际控制人杨志兴犯集资诈骗罪需在韶关吴江监狱服刑至2030年，清算组已向该两人发出接管通知书，其中：郑方锐书面回复其只是挂职，不清楚公司清楚；杨志兴至今未回复。中创金融公司注册地也无任何资料物品，故，</w:t>
      </w:r>
      <w:r>
        <w:rPr>
          <w:rFonts w:hint="eastAsia" w:ascii="仿宋" w:hAnsi="仿宋" w:eastAsia="仿宋" w:cs="仿宋"/>
          <w:color w:val="auto"/>
          <w:sz w:val="28"/>
          <w:szCs w:val="28"/>
          <w:lang w:val="en-US" w:eastAsia="zh-CN" w:bidi="ar"/>
        </w:rPr>
        <w:t>目前中创金融公司的财务账册下落不明，清算组未能接管到中创金融公司的任何财务账册等资料，无法进行审计。</w:t>
      </w:r>
    </w:p>
    <w:p>
      <w:pPr>
        <w:numPr>
          <w:ilvl w:val="255"/>
          <w:numId w:val="0"/>
        </w:numPr>
        <w:spacing w:line="560" w:lineRule="exact"/>
        <w:ind w:firstLine="560" w:firstLineChars="200"/>
        <w:jc w:val="both"/>
        <w:rPr>
          <w:rFonts w:hint="eastAsia" w:ascii="仿宋" w:hAnsi="仿宋" w:eastAsia="仿宋" w:cs="仿宋"/>
          <w:color w:val="auto"/>
          <w:sz w:val="28"/>
          <w:szCs w:val="28"/>
          <w:lang w:bidi="ar"/>
        </w:rPr>
      </w:pPr>
      <w:r>
        <w:rPr>
          <w:rFonts w:hint="eastAsia" w:ascii="仿宋" w:hAnsi="仿宋" w:eastAsia="仿宋" w:cs="仿宋"/>
          <w:color w:val="auto"/>
          <w:sz w:val="28"/>
          <w:szCs w:val="28"/>
          <w:lang w:bidi="ar"/>
        </w:rPr>
        <w:t>2.清算组</w:t>
      </w:r>
      <w:r>
        <w:rPr>
          <w:rFonts w:hint="eastAsia" w:ascii="仿宋" w:hAnsi="仿宋" w:eastAsia="仿宋" w:cs="仿宋"/>
          <w:color w:val="auto"/>
          <w:sz w:val="28"/>
          <w:szCs w:val="28"/>
          <w:lang w:val="en-US" w:eastAsia="zh-CN" w:bidi="ar"/>
        </w:rPr>
        <w:t>清查</w:t>
      </w:r>
      <w:r>
        <w:rPr>
          <w:rFonts w:hint="eastAsia" w:ascii="仿宋" w:hAnsi="仿宋" w:eastAsia="仿宋" w:cs="仿宋"/>
          <w:color w:val="auto"/>
          <w:sz w:val="28"/>
          <w:szCs w:val="28"/>
          <w:lang w:bidi="ar"/>
        </w:rPr>
        <w:t>确认情况</w:t>
      </w:r>
    </w:p>
    <w:p>
      <w:pPr>
        <w:numPr>
          <w:ilvl w:val="255"/>
          <w:numId w:val="0"/>
        </w:numPr>
        <w:spacing w:line="560" w:lineRule="exact"/>
        <w:ind w:firstLine="560" w:firstLineChars="200"/>
        <w:jc w:val="both"/>
        <w:rPr>
          <w:rFonts w:hint="default" w:ascii="仿宋" w:hAnsi="仿宋" w:eastAsia="仿宋" w:cs="仿宋"/>
          <w:color w:val="auto"/>
          <w:sz w:val="24"/>
          <w:szCs w:val="24"/>
          <w:lang w:val="en-US" w:eastAsia="zh-CN" w:bidi="ar"/>
        </w:rPr>
      </w:pPr>
      <w:r>
        <w:rPr>
          <w:rFonts w:hint="eastAsia" w:ascii="仿宋" w:hAnsi="仿宋" w:eastAsia="仿宋" w:cs="仿宋"/>
          <w:color w:val="auto"/>
          <w:sz w:val="28"/>
          <w:szCs w:val="28"/>
          <w:lang w:bidi="ar"/>
        </w:rPr>
        <w:t>截止本清算方案出具之日，</w:t>
      </w:r>
      <w:r>
        <w:rPr>
          <w:rStyle w:val="12"/>
          <w:rFonts w:hint="eastAsia" w:ascii="仿宋" w:hAnsi="仿宋" w:eastAsia="仿宋" w:cs="仿宋"/>
          <w:kern w:val="2"/>
          <w:sz w:val="28"/>
          <w:szCs w:val="28"/>
          <w:lang w:val="en-US" w:eastAsia="zh-CN" w:bidi="ar-SA"/>
        </w:rPr>
        <w:t>国家税务总局广州市越秀区税务局申报了中创金融公司欠缴社会保险费用1,333.18元、滞纳金1,089.21元，广州市越秀区人民法院申报了执行费78.03元。经清算组的调查，中创金融公司拖欠</w:t>
      </w:r>
      <w:r>
        <w:rPr>
          <w:rStyle w:val="12"/>
          <w:rFonts w:hint="eastAsia" w:ascii="仿宋" w:hAnsi="仿宋" w:eastAsia="仿宋" w:cs="仿宋"/>
          <w:sz w:val="28"/>
          <w:szCs w:val="28"/>
        </w:rPr>
        <w:t>陈恒等</w:t>
      </w:r>
      <w:r>
        <w:rPr>
          <w:rStyle w:val="12"/>
          <w:rFonts w:hint="eastAsia" w:ascii="仿宋" w:hAnsi="仿宋" w:eastAsia="仿宋" w:cs="仿宋"/>
          <w:sz w:val="28"/>
          <w:szCs w:val="28"/>
          <w:lang w:val="en-US" w:eastAsia="zh-CN"/>
        </w:rPr>
        <w:t>8</w:t>
      </w:r>
      <w:r>
        <w:rPr>
          <w:rStyle w:val="12"/>
          <w:rFonts w:hint="eastAsia" w:ascii="仿宋" w:hAnsi="仿宋" w:eastAsia="仿宋" w:cs="仿宋"/>
          <w:sz w:val="28"/>
          <w:szCs w:val="28"/>
        </w:rPr>
        <w:t>位</w:t>
      </w:r>
      <w:r>
        <w:rPr>
          <w:rStyle w:val="12"/>
          <w:rFonts w:hint="eastAsia" w:ascii="仿宋" w:hAnsi="仿宋" w:eastAsia="仿宋" w:cs="仿宋"/>
          <w:sz w:val="28"/>
          <w:szCs w:val="28"/>
          <w:lang w:val="en-US" w:eastAsia="zh-CN"/>
        </w:rPr>
        <w:t>职工</w:t>
      </w:r>
      <w:r>
        <w:rPr>
          <w:rStyle w:val="12"/>
          <w:rFonts w:hint="eastAsia" w:ascii="仿宋" w:hAnsi="仿宋" w:eastAsia="仿宋" w:cs="仿宋"/>
          <w:sz w:val="28"/>
          <w:szCs w:val="28"/>
        </w:rPr>
        <w:t>工资58,270.64元、经济补偿金83,700元，总金额141,970.64元</w:t>
      </w:r>
      <w:r>
        <w:rPr>
          <w:rStyle w:val="12"/>
          <w:rFonts w:hint="eastAsia" w:ascii="仿宋" w:hAnsi="仿宋" w:eastAsia="仿宋" w:cs="仿宋"/>
          <w:sz w:val="28"/>
          <w:szCs w:val="28"/>
          <w:lang w:val="en-US" w:eastAsia="zh-CN"/>
        </w:rPr>
        <w:t>。以上负债合计144,471.06元。除此外，未调查到其他负债。</w:t>
      </w:r>
    </w:p>
    <w:p>
      <w:pPr>
        <w:spacing w:before="156" w:beforeLines="50" w:line="560" w:lineRule="exact"/>
        <w:ind w:firstLine="562" w:firstLineChars="200"/>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三、资产管理及处置方案</w:t>
      </w:r>
    </w:p>
    <w:p>
      <w:pPr>
        <w:spacing w:beforeLines="0" w:line="560" w:lineRule="exact"/>
        <w:ind w:firstLine="562" w:firstLineChars="200"/>
        <w:jc w:val="both"/>
        <w:rPr>
          <w:rFonts w:hint="eastAsia" w:ascii="仿宋" w:hAnsi="仿宋" w:eastAsia="仿宋" w:cs="仿宋"/>
          <w:b/>
          <w:bCs/>
          <w:color w:val="auto"/>
          <w:sz w:val="28"/>
          <w:szCs w:val="28"/>
          <w:lang w:val="en-US" w:eastAsia="zh-CN" w:bidi="ar"/>
        </w:rPr>
      </w:pPr>
      <w:r>
        <w:rPr>
          <w:rFonts w:hint="eastAsia" w:ascii="仿宋" w:hAnsi="仿宋" w:eastAsia="仿宋" w:cs="仿宋"/>
          <w:b/>
          <w:bCs/>
          <w:color w:val="auto"/>
          <w:sz w:val="28"/>
          <w:szCs w:val="28"/>
          <w:lang w:eastAsia="zh-CN" w:bidi="ar"/>
        </w:rPr>
        <w:t>（</w:t>
      </w:r>
      <w:r>
        <w:rPr>
          <w:rFonts w:hint="eastAsia" w:ascii="仿宋" w:hAnsi="仿宋" w:eastAsia="仿宋" w:cs="仿宋"/>
          <w:b/>
          <w:bCs/>
          <w:color w:val="auto"/>
          <w:sz w:val="28"/>
          <w:szCs w:val="28"/>
          <w:lang w:val="en-US" w:eastAsia="zh-CN" w:bidi="ar"/>
        </w:rPr>
        <w:t>一</w:t>
      </w:r>
      <w:r>
        <w:rPr>
          <w:rFonts w:hint="eastAsia" w:ascii="仿宋" w:hAnsi="仿宋" w:eastAsia="仿宋" w:cs="仿宋"/>
          <w:b/>
          <w:bCs/>
          <w:color w:val="auto"/>
          <w:sz w:val="28"/>
          <w:szCs w:val="28"/>
          <w:lang w:eastAsia="zh-CN" w:bidi="ar"/>
        </w:rPr>
        <w:t>）</w:t>
      </w:r>
      <w:r>
        <w:rPr>
          <w:rFonts w:hint="eastAsia" w:ascii="仿宋" w:hAnsi="仿宋" w:eastAsia="仿宋" w:cs="仿宋"/>
          <w:b/>
          <w:bCs/>
          <w:color w:val="auto"/>
          <w:sz w:val="28"/>
          <w:szCs w:val="28"/>
          <w:lang w:val="en-US" w:eastAsia="zh-CN" w:bidi="ar"/>
        </w:rPr>
        <w:t>银行存款</w:t>
      </w:r>
    </w:p>
    <w:p>
      <w:pPr>
        <w:spacing w:beforeLines="0" w:line="560" w:lineRule="exact"/>
        <w:ind w:firstLine="560" w:firstLineChars="200"/>
        <w:jc w:val="both"/>
        <w:rPr>
          <w:rFonts w:hint="default" w:ascii="仿宋" w:hAnsi="仿宋" w:eastAsia="仿宋" w:cs="仿宋"/>
          <w:color w:val="auto"/>
          <w:sz w:val="28"/>
          <w:szCs w:val="28"/>
          <w:lang w:val="en-US" w:eastAsia="zh-CN" w:bidi="ar"/>
        </w:rPr>
      </w:pPr>
      <w:r>
        <w:rPr>
          <w:rFonts w:hint="eastAsia" w:ascii="仿宋" w:hAnsi="仿宋" w:eastAsia="仿宋" w:cs="仿宋"/>
          <w:color w:val="auto"/>
          <w:sz w:val="28"/>
          <w:szCs w:val="28"/>
          <w:lang w:bidi="ar"/>
        </w:rPr>
        <w:t>经清算组调查，</w:t>
      </w:r>
      <w:r>
        <w:rPr>
          <w:rFonts w:hint="eastAsia" w:ascii="仿宋" w:hAnsi="仿宋" w:eastAsia="仿宋" w:cs="仿宋"/>
          <w:color w:val="auto"/>
          <w:sz w:val="28"/>
          <w:szCs w:val="28"/>
          <w:lang w:val="en-US" w:eastAsia="zh-CN" w:bidi="ar"/>
        </w:rPr>
        <w:t>截止本清算方案出具之日，中创金融公司名下有银行存款2,624.39元，清算组已将该存款转入清算组账户，该资产将用于清算费用、清偿公司债务等支出。</w:t>
      </w:r>
    </w:p>
    <w:p>
      <w:pPr>
        <w:spacing w:beforeLines="0" w:line="560" w:lineRule="exact"/>
        <w:ind w:firstLine="562" w:firstLineChars="200"/>
        <w:jc w:val="both"/>
        <w:rPr>
          <w:rFonts w:hint="eastAsia" w:ascii="仿宋" w:hAnsi="仿宋" w:eastAsia="仿宋" w:cs="仿宋"/>
          <w:b/>
          <w:bCs/>
          <w:color w:val="auto"/>
          <w:sz w:val="28"/>
          <w:szCs w:val="28"/>
          <w:lang w:val="en-US" w:eastAsia="zh-CN" w:bidi="ar"/>
        </w:rPr>
      </w:pPr>
      <w:r>
        <w:rPr>
          <w:rFonts w:hint="eastAsia" w:ascii="仿宋" w:hAnsi="仿宋" w:eastAsia="仿宋" w:cs="仿宋"/>
          <w:b/>
          <w:bCs/>
          <w:color w:val="auto"/>
          <w:sz w:val="28"/>
          <w:szCs w:val="28"/>
          <w:lang w:val="en-US" w:eastAsia="zh-CN" w:bidi="ar"/>
        </w:rPr>
        <w:t>（二）商标</w:t>
      </w:r>
    </w:p>
    <w:p>
      <w:pPr>
        <w:spacing w:beforeLines="0" w:line="560" w:lineRule="exact"/>
        <w:ind w:firstLine="560" w:firstLineChars="200"/>
        <w:jc w:val="both"/>
        <w:rPr>
          <w:rFonts w:hint="eastAsia" w:ascii="仿宋" w:hAnsi="仿宋" w:eastAsia="仿宋" w:cs="仿宋"/>
          <w:color w:val="auto"/>
          <w:sz w:val="28"/>
          <w:szCs w:val="28"/>
          <w:lang w:val="en-US" w:eastAsia="zh-CN" w:bidi="ar"/>
        </w:rPr>
      </w:pPr>
      <w:r>
        <w:rPr>
          <w:rFonts w:hint="eastAsia" w:ascii="仿宋" w:hAnsi="仿宋" w:eastAsia="仿宋" w:cs="仿宋"/>
          <w:color w:val="auto"/>
          <w:sz w:val="28"/>
          <w:szCs w:val="28"/>
          <w:lang w:val="en-US" w:eastAsia="zh-CN" w:bidi="ar"/>
        </w:rPr>
        <w:t>中创金融公司共有3项商标登记记录，其中一个为“贷贷网”，申请被驳回，状态为无效。另两个为“小圈帮”，均处于有效期，但由于中创金融公司已停止经营且无相关财务资料无法评估，清算组将按以下方式处置：由清算组委托广东省拍卖业协会组织其会员在中拍平台</w:t>
      </w:r>
      <w:r>
        <w:rPr>
          <w:rFonts w:hint="eastAsia" w:ascii="仿宋" w:hAnsi="仿宋" w:eastAsia="仿宋" w:cs="仿宋"/>
          <w:color w:val="auto"/>
          <w:sz w:val="28"/>
          <w:szCs w:val="28"/>
          <w:lang w:bidi="ar"/>
        </w:rPr>
        <w:t>（中国拍卖行业协会（国资）发起成立的网络拍卖平台,最高人民法院指定的网络司法拍卖平台之一，网址：https://paimai.caa123.org.cn/)</w:t>
      </w:r>
      <w:r>
        <w:rPr>
          <w:rFonts w:hint="eastAsia" w:ascii="仿宋" w:hAnsi="仿宋" w:eastAsia="仿宋" w:cs="仿宋"/>
          <w:color w:val="auto"/>
          <w:sz w:val="28"/>
          <w:szCs w:val="28"/>
          <w:lang w:val="en-US" w:eastAsia="zh-CN" w:bidi="ar"/>
        </w:rPr>
        <w:t>进行公开拍卖，以每项作价2万元*2项（即4万元）作为起拍价，设定每项500元*2项（即1000元）的较低保留价，采用降价（荷兰）式</w:t>
      </w:r>
      <w:r>
        <w:rPr>
          <w:rStyle w:val="11"/>
          <w:rFonts w:hint="eastAsia" w:ascii="仿宋" w:hAnsi="仿宋" w:eastAsia="仿宋" w:cs="仿宋"/>
          <w:color w:val="auto"/>
          <w:sz w:val="28"/>
          <w:szCs w:val="28"/>
          <w:lang w:val="en-US" w:eastAsia="zh-CN" w:bidi="ar"/>
        </w:rPr>
        <w:footnoteReference w:id="0"/>
      </w:r>
      <w:r>
        <w:rPr>
          <w:rFonts w:hint="eastAsia" w:ascii="仿宋" w:hAnsi="仿宋" w:eastAsia="仿宋" w:cs="仿宋"/>
          <w:color w:val="auto"/>
          <w:sz w:val="28"/>
          <w:szCs w:val="28"/>
          <w:lang w:val="en-US" w:eastAsia="zh-CN" w:bidi="ar"/>
        </w:rPr>
        <w:t>进行拍卖，降价周期为3分钟，降价幅度为780元。因委托拍卖产生的拍卖佣金（成交价的2.5%）及平台费（成交价的0.15%）均由买家承担。如流拍的，则抛弃不再处理。拍卖所得款项将用于清算费用、清偿公司债务等支出。</w:t>
      </w:r>
    </w:p>
    <w:p>
      <w:pPr>
        <w:spacing w:beforeLines="0" w:line="560" w:lineRule="exact"/>
        <w:ind w:firstLine="562" w:firstLineChars="200"/>
        <w:jc w:val="both"/>
        <w:rPr>
          <w:rStyle w:val="12"/>
          <w:rFonts w:hint="default" w:ascii="仿宋" w:hAnsi="仿宋" w:eastAsia="仿宋" w:cs="仿宋"/>
          <w:b/>
          <w:bCs/>
          <w:kern w:val="2"/>
          <w:sz w:val="28"/>
          <w:szCs w:val="28"/>
          <w:lang w:val="en-US" w:eastAsia="zh-CN" w:bidi="ar-SA"/>
        </w:rPr>
      </w:pPr>
      <w:r>
        <w:rPr>
          <w:rStyle w:val="12"/>
          <w:rFonts w:hint="eastAsia" w:ascii="仿宋" w:hAnsi="仿宋" w:eastAsia="仿宋" w:cs="仿宋"/>
          <w:b/>
          <w:bCs/>
          <w:kern w:val="2"/>
          <w:sz w:val="28"/>
          <w:szCs w:val="28"/>
          <w:lang w:val="en-US" w:eastAsia="zh-CN" w:bidi="ar-SA"/>
        </w:rPr>
        <w:t>（三）对外长期股权投资</w:t>
      </w:r>
    </w:p>
    <w:p>
      <w:pPr>
        <w:spacing w:beforeLines="0" w:line="560" w:lineRule="exact"/>
        <w:ind w:firstLine="560" w:firstLineChars="200"/>
        <w:jc w:val="both"/>
        <w:rPr>
          <w:rFonts w:hint="eastAsia" w:ascii="仿宋" w:hAnsi="仿宋" w:eastAsia="仿宋" w:cs="仿宋"/>
          <w:color w:val="auto"/>
          <w:sz w:val="28"/>
          <w:szCs w:val="28"/>
          <w:lang w:val="en-US" w:eastAsia="zh-CN" w:bidi="ar"/>
        </w:rPr>
      </w:pPr>
      <w:r>
        <w:rPr>
          <w:rStyle w:val="12"/>
          <w:rFonts w:hint="eastAsia" w:ascii="仿宋" w:hAnsi="仿宋" w:eastAsia="仿宋" w:cs="仿宋"/>
          <w:kern w:val="2"/>
          <w:sz w:val="28"/>
          <w:szCs w:val="28"/>
          <w:lang w:val="en-US" w:eastAsia="zh-CN" w:bidi="ar-SA"/>
        </w:rPr>
        <w:t>对于对外长期股权投资湖南仟佰投资管理有限公司的68%股权，因经清算组发函未能获取该公司的最近年度审计报告等任何财务资料，导致无法评估股权价值。清算组将按以下方式处置：由清算组委托广东省拍卖业协会组织其会员在中拍平台（中国拍卖行业协会（国资）发起成立的网络拍卖平台,最高人民法院指定的网络司法拍卖平台之一，网址：</w:t>
      </w:r>
      <w:r>
        <w:rPr>
          <w:rStyle w:val="12"/>
          <w:rFonts w:hint="eastAsia" w:ascii="仿宋" w:hAnsi="仿宋" w:eastAsia="仿宋" w:cs="仿宋"/>
          <w:kern w:val="2"/>
          <w:sz w:val="28"/>
          <w:szCs w:val="28"/>
          <w:lang w:val="en-US" w:eastAsia="zh-CN" w:bidi="ar-SA"/>
        </w:rPr>
        <w:fldChar w:fldCharType="begin"/>
      </w:r>
      <w:r>
        <w:rPr>
          <w:rStyle w:val="12"/>
          <w:rFonts w:hint="eastAsia" w:ascii="仿宋" w:hAnsi="仿宋" w:eastAsia="仿宋" w:cs="仿宋"/>
          <w:kern w:val="2"/>
          <w:sz w:val="28"/>
          <w:szCs w:val="28"/>
          <w:lang w:val="en-US" w:eastAsia="zh-CN" w:bidi="ar-SA"/>
        </w:rPr>
        <w:instrText xml:space="preserve"> HYPERLINK "https://paimai.caa123.org.cn/)进行公开拍卖，以认缴出资2040万元作为起拍价，设定的5000元的较低保留价，采用降价（荷兰）式进行拍卖，降价周期为3分钟，降价幅度为" </w:instrText>
      </w:r>
      <w:r>
        <w:rPr>
          <w:rStyle w:val="12"/>
          <w:rFonts w:hint="eastAsia" w:ascii="仿宋" w:hAnsi="仿宋" w:eastAsia="仿宋" w:cs="仿宋"/>
          <w:kern w:val="2"/>
          <w:sz w:val="28"/>
          <w:szCs w:val="28"/>
          <w:lang w:val="en-US" w:eastAsia="zh-CN" w:bidi="ar-SA"/>
        </w:rPr>
        <w:fldChar w:fldCharType="separate"/>
      </w:r>
      <w:r>
        <w:rPr>
          <w:rStyle w:val="12"/>
          <w:rFonts w:hint="eastAsia" w:ascii="仿宋" w:hAnsi="仿宋" w:eastAsia="仿宋" w:cs="仿宋"/>
          <w:kern w:val="2"/>
          <w:sz w:val="28"/>
          <w:szCs w:val="28"/>
          <w:lang w:val="en-US" w:eastAsia="zh-CN" w:bidi="ar-SA"/>
        </w:rPr>
        <w:t>https://paimai.caa123.org.cn/)进行公开拍卖，以认缴出资2040万元作为起拍价，设定5000元的较低保留价，采用降价（荷兰）式进行拍卖，降价周期为3分钟，降价幅度为</w:t>
      </w:r>
      <w:r>
        <w:rPr>
          <w:rStyle w:val="12"/>
          <w:rFonts w:hint="eastAsia" w:ascii="仿宋" w:hAnsi="仿宋" w:eastAsia="仿宋" w:cs="仿宋"/>
          <w:kern w:val="2"/>
          <w:sz w:val="28"/>
          <w:szCs w:val="28"/>
          <w:lang w:val="en-US" w:eastAsia="zh-CN" w:bidi="ar-SA"/>
        </w:rPr>
        <w:fldChar w:fldCharType="end"/>
      </w:r>
      <w:r>
        <w:rPr>
          <w:rStyle w:val="12"/>
          <w:rFonts w:hint="eastAsia" w:ascii="仿宋" w:hAnsi="仿宋" w:eastAsia="仿宋" w:cs="仿宋"/>
          <w:kern w:val="2"/>
          <w:sz w:val="28"/>
          <w:szCs w:val="28"/>
          <w:lang w:val="en-US" w:eastAsia="zh-CN" w:bidi="ar-SA"/>
        </w:rPr>
        <w:t>203950元。因</w:t>
      </w:r>
      <w:r>
        <w:rPr>
          <w:rFonts w:hint="eastAsia" w:ascii="仿宋" w:hAnsi="仿宋" w:eastAsia="仿宋" w:cs="仿宋"/>
          <w:color w:val="auto"/>
          <w:sz w:val="28"/>
          <w:szCs w:val="28"/>
          <w:lang w:val="en-US" w:eastAsia="zh-CN" w:bidi="ar"/>
        </w:rPr>
        <w:t>委托拍卖产生的拍卖佣金（成交价的2.5%）及平台费（成交价的0.15%）均由买家承担。如流拍的，则抛弃不再处理。拍卖所得款项将用于清算费用、清偿公司债务等支出。</w:t>
      </w:r>
    </w:p>
    <w:p>
      <w:pPr>
        <w:spacing w:beforeLines="0" w:line="560" w:lineRule="exact"/>
        <w:ind w:firstLine="562" w:firstLineChars="200"/>
        <w:jc w:val="both"/>
        <w:rPr>
          <w:rStyle w:val="12"/>
          <w:rFonts w:hint="eastAsia" w:ascii="仿宋" w:hAnsi="仿宋" w:eastAsia="仿宋" w:cs="仿宋"/>
          <w:b/>
          <w:bCs/>
          <w:kern w:val="2"/>
          <w:sz w:val="28"/>
          <w:szCs w:val="28"/>
          <w:lang w:val="en-US" w:eastAsia="zh-CN" w:bidi="ar-SA"/>
        </w:rPr>
      </w:pPr>
      <w:r>
        <w:rPr>
          <w:rStyle w:val="12"/>
          <w:rFonts w:hint="eastAsia" w:ascii="仿宋" w:hAnsi="仿宋" w:eastAsia="仿宋" w:cs="仿宋"/>
          <w:b/>
          <w:bCs/>
          <w:kern w:val="2"/>
          <w:sz w:val="28"/>
          <w:szCs w:val="28"/>
          <w:lang w:val="en-US" w:eastAsia="zh-CN" w:bidi="ar-SA"/>
        </w:rPr>
        <w:t>（四）抽逃注册资本</w:t>
      </w:r>
    </w:p>
    <w:p>
      <w:pPr>
        <w:spacing w:beforeLines="0" w:line="560" w:lineRule="exact"/>
        <w:ind w:firstLine="560" w:firstLineChars="200"/>
        <w:jc w:val="both"/>
        <w:rPr>
          <w:rStyle w:val="12"/>
          <w:rFonts w:hint="eastAsia" w:ascii="仿宋" w:hAnsi="仿宋" w:eastAsia="仿宋" w:cs="仿宋"/>
          <w:b w:val="0"/>
          <w:bCs w:val="0"/>
          <w:kern w:val="2"/>
          <w:sz w:val="28"/>
          <w:szCs w:val="28"/>
          <w:lang w:val="en-US" w:eastAsia="zh-CN" w:bidi="ar-SA"/>
        </w:rPr>
      </w:pPr>
      <w:r>
        <w:rPr>
          <w:rStyle w:val="12"/>
          <w:rFonts w:hint="eastAsia" w:ascii="仿宋" w:hAnsi="仿宋" w:eastAsia="仿宋" w:cs="仿宋"/>
          <w:b w:val="0"/>
          <w:bCs w:val="0"/>
          <w:kern w:val="2"/>
          <w:sz w:val="28"/>
          <w:szCs w:val="28"/>
          <w:lang w:val="en-US" w:eastAsia="zh-CN" w:bidi="ar-SA"/>
        </w:rPr>
        <w:t>工商档案的验资报告显示，中创金融公司认缴出资资本1000万元，已实缴出资。第一期200万元已转入工商银行广州花城支行的注册资本入资专用存款账户3602 0285 3920 1676 206，第二期800万元已转入工商银行广州花城支行3602 0285 0920 1695 816。但根据清算组前往银行调取的流水显示，该1000万元均于验资后即转入中创金融公司发起人杨志兴私人账户，存在抽逃出资的可能。清算组认为：1.因清算组未接管到任何财务资料，无法判断该支出是否有依据，如提起诉讼主张返还抽逃出资的话，可能存在败诉风险；2.经清算组调查，杨志兴等人涉刑并无财产可供执行，即使提起的诉讼最终胜诉，亦可能无法执行到任何款项；3.中创金融公司目前无资产可以支付诉讼费。</w:t>
      </w:r>
    </w:p>
    <w:p>
      <w:pPr>
        <w:spacing w:beforeLines="0" w:line="560" w:lineRule="exact"/>
        <w:ind w:firstLine="560" w:firstLineChars="200"/>
        <w:jc w:val="both"/>
        <w:rPr>
          <w:rStyle w:val="12"/>
          <w:rFonts w:hint="eastAsia" w:ascii="仿宋" w:hAnsi="仿宋" w:eastAsia="仿宋" w:cs="仿宋"/>
          <w:b w:val="0"/>
          <w:bCs w:val="0"/>
          <w:kern w:val="2"/>
          <w:sz w:val="28"/>
          <w:szCs w:val="28"/>
          <w:lang w:val="en-US" w:eastAsia="zh-CN" w:bidi="ar-SA"/>
        </w:rPr>
      </w:pPr>
      <w:r>
        <w:rPr>
          <w:rStyle w:val="12"/>
          <w:rFonts w:hint="eastAsia" w:ascii="仿宋" w:hAnsi="仿宋" w:eastAsia="仿宋" w:cs="仿宋"/>
          <w:b w:val="0"/>
          <w:bCs w:val="0"/>
          <w:kern w:val="2"/>
          <w:sz w:val="28"/>
          <w:szCs w:val="28"/>
          <w:lang w:val="en-US" w:eastAsia="zh-CN" w:bidi="ar-SA"/>
        </w:rPr>
        <w:t>基于以上情况，清算组将按以下方式处置：由清算组委托广东省拍卖业协会组织其会员在中拍平台（中国拍卖行业协会（国资）发起成立的网络拍卖平台,最高人民法院指定的网络司法拍卖平台之一，网址：https://paimai.caa123.org.cn/)进行公开拍卖或有权益，以1000万元作为起拍价，设定5000元的较低保留价，采用降价（荷兰）式进行拍卖，降价周期为3分钟，降价幅度为99950元。因委托拍卖产生的拍卖佣金（成交价的2.5%）及平台费（成交价的0.15%）均由买家承担。如流拍的，则抛弃不再处理。拍卖所得款项将用于清算费用、清偿公司债务等支出。</w:t>
      </w:r>
    </w:p>
    <w:p>
      <w:pPr>
        <w:spacing w:beforeLines="0" w:line="560" w:lineRule="exact"/>
        <w:ind w:firstLine="562" w:firstLineChars="200"/>
        <w:jc w:val="both"/>
        <w:rPr>
          <w:rStyle w:val="12"/>
          <w:rFonts w:hint="default" w:ascii="仿宋" w:hAnsi="仿宋" w:eastAsia="仿宋" w:cs="仿宋"/>
          <w:b/>
          <w:bCs/>
          <w:kern w:val="2"/>
          <w:sz w:val="28"/>
          <w:szCs w:val="28"/>
          <w:lang w:val="en-US" w:eastAsia="zh-CN" w:bidi="ar-SA"/>
        </w:rPr>
      </w:pPr>
      <w:r>
        <w:rPr>
          <w:rStyle w:val="12"/>
          <w:rFonts w:hint="default" w:ascii="仿宋" w:hAnsi="仿宋" w:eastAsia="仿宋" w:cs="仿宋"/>
          <w:b/>
          <w:bCs/>
          <w:kern w:val="2"/>
          <w:sz w:val="28"/>
          <w:szCs w:val="28"/>
          <w:lang w:val="en-US" w:eastAsia="zh-CN" w:bidi="ar-SA"/>
        </w:rPr>
        <w:t>（</w:t>
      </w:r>
      <w:r>
        <w:rPr>
          <w:rStyle w:val="12"/>
          <w:rFonts w:hint="eastAsia" w:ascii="仿宋" w:hAnsi="仿宋" w:eastAsia="仿宋" w:cs="仿宋"/>
          <w:b/>
          <w:bCs/>
          <w:kern w:val="2"/>
          <w:sz w:val="28"/>
          <w:szCs w:val="28"/>
          <w:lang w:val="en-US" w:eastAsia="zh-CN" w:bidi="ar-SA"/>
        </w:rPr>
        <w:t>五</w:t>
      </w:r>
      <w:r>
        <w:rPr>
          <w:rStyle w:val="12"/>
          <w:rFonts w:hint="default" w:ascii="仿宋" w:hAnsi="仿宋" w:eastAsia="仿宋" w:cs="仿宋"/>
          <w:b/>
          <w:bCs/>
          <w:kern w:val="2"/>
          <w:sz w:val="28"/>
          <w:szCs w:val="28"/>
          <w:lang w:val="en-US" w:eastAsia="zh-CN" w:bidi="ar-SA"/>
        </w:rPr>
        <w:t>）其他财产</w:t>
      </w:r>
    </w:p>
    <w:p>
      <w:pPr>
        <w:spacing w:beforeLines="0" w:line="560" w:lineRule="exact"/>
        <w:ind w:firstLine="560" w:firstLineChars="200"/>
        <w:jc w:val="both"/>
        <w:rPr>
          <w:rStyle w:val="12"/>
          <w:rFonts w:hint="default" w:ascii="仿宋" w:hAnsi="仿宋" w:eastAsia="仿宋" w:cs="仿宋"/>
          <w:b w:val="0"/>
          <w:bCs w:val="0"/>
          <w:kern w:val="2"/>
          <w:sz w:val="28"/>
          <w:szCs w:val="28"/>
          <w:lang w:val="en-US" w:eastAsia="zh-CN" w:bidi="ar-SA"/>
        </w:rPr>
      </w:pPr>
      <w:r>
        <w:rPr>
          <w:rStyle w:val="12"/>
          <w:rFonts w:hint="default" w:ascii="仿宋" w:hAnsi="仿宋" w:eastAsia="仿宋" w:cs="仿宋"/>
          <w:b w:val="0"/>
          <w:bCs w:val="0"/>
          <w:kern w:val="2"/>
          <w:sz w:val="28"/>
          <w:szCs w:val="28"/>
          <w:lang w:val="en-US" w:eastAsia="zh-CN" w:bidi="ar-SA"/>
        </w:rPr>
        <w:t>对于清算组以后调查到的其他财产，</w:t>
      </w:r>
      <w:r>
        <w:rPr>
          <w:rStyle w:val="12"/>
          <w:rFonts w:hint="eastAsia" w:ascii="仿宋" w:hAnsi="仿宋" w:eastAsia="仿宋" w:cs="仿宋"/>
          <w:b w:val="0"/>
          <w:bCs w:val="0"/>
          <w:kern w:val="2"/>
          <w:sz w:val="28"/>
          <w:szCs w:val="28"/>
          <w:lang w:val="en-US" w:eastAsia="zh-CN" w:bidi="ar-SA"/>
        </w:rPr>
        <w:t>由清算组</w:t>
      </w:r>
      <w:r>
        <w:rPr>
          <w:rStyle w:val="12"/>
          <w:rFonts w:hint="default" w:ascii="仿宋" w:hAnsi="仿宋" w:eastAsia="仿宋" w:cs="仿宋"/>
          <w:b w:val="0"/>
          <w:bCs w:val="0"/>
          <w:kern w:val="2"/>
          <w:sz w:val="28"/>
          <w:szCs w:val="28"/>
          <w:lang w:val="en-US" w:eastAsia="zh-CN" w:bidi="ar-SA"/>
        </w:rPr>
        <w:t>委托广东省拍卖业协会组织其会员在中拍平台（中国拍卖行业协会（国资）发起成立的网络拍卖平台,最高人民法院指定的网络司法拍卖平台之一，网址：https://paimai.caa123.org.cn/)进行公开拍卖</w:t>
      </w:r>
      <w:r>
        <w:rPr>
          <w:rStyle w:val="12"/>
          <w:rFonts w:hint="eastAsia" w:ascii="仿宋" w:hAnsi="仿宋" w:eastAsia="仿宋" w:cs="仿宋"/>
          <w:b w:val="0"/>
          <w:bCs w:val="0"/>
          <w:kern w:val="2"/>
          <w:sz w:val="28"/>
          <w:szCs w:val="28"/>
          <w:lang w:val="en-US" w:eastAsia="zh-CN" w:bidi="ar-SA"/>
        </w:rPr>
        <w:t>，具体的起拍价、</w:t>
      </w:r>
      <w:r>
        <w:rPr>
          <w:rFonts w:hint="eastAsia" w:ascii="仿宋" w:hAnsi="仿宋" w:eastAsia="仿宋" w:cs="仿宋"/>
          <w:sz w:val="28"/>
          <w:szCs w:val="28"/>
        </w:rPr>
        <w:t>保留价、增价拍卖或降价拍卖等拍卖规则，</w:t>
      </w:r>
      <w:r>
        <w:rPr>
          <w:rFonts w:hint="eastAsia" w:ascii="仿宋" w:hAnsi="仿宋" w:eastAsia="仿宋" w:cs="仿宋"/>
          <w:sz w:val="28"/>
          <w:szCs w:val="28"/>
          <w:lang w:val="en-US" w:eastAsia="zh-CN"/>
        </w:rPr>
        <w:t>将根据</w:t>
      </w:r>
      <w:r>
        <w:rPr>
          <w:rStyle w:val="12"/>
          <w:rFonts w:hint="default" w:ascii="仿宋" w:hAnsi="仿宋" w:eastAsia="仿宋" w:cs="仿宋"/>
          <w:b w:val="0"/>
          <w:bCs w:val="0"/>
          <w:kern w:val="2"/>
          <w:sz w:val="28"/>
          <w:szCs w:val="28"/>
          <w:lang w:val="en-US" w:eastAsia="zh-CN" w:bidi="ar-SA"/>
        </w:rPr>
        <w:t>广东省拍卖业协会</w:t>
      </w:r>
      <w:r>
        <w:rPr>
          <w:rStyle w:val="12"/>
          <w:rFonts w:hint="eastAsia" w:ascii="仿宋" w:hAnsi="仿宋" w:eastAsia="仿宋" w:cs="仿宋"/>
          <w:b w:val="0"/>
          <w:bCs w:val="0"/>
          <w:kern w:val="2"/>
          <w:sz w:val="28"/>
          <w:szCs w:val="28"/>
          <w:lang w:val="en-US" w:eastAsia="zh-CN" w:bidi="ar-SA"/>
        </w:rPr>
        <w:t>会员的专业建议确定。</w:t>
      </w:r>
      <w:r>
        <w:rPr>
          <w:rFonts w:hint="eastAsia" w:ascii="仿宋" w:hAnsi="仿宋" w:eastAsia="仿宋" w:cs="仿宋"/>
          <w:sz w:val="28"/>
          <w:szCs w:val="28"/>
        </w:rPr>
        <w:t>对于处置成本</w:t>
      </w:r>
      <w:r>
        <w:rPr>
          <w:rFonts w:hint="eastAsia" w:ascii="仿宋" w:hAnsi="仿宋" w:eastAsia="仿宋" w:cs="仿宋"/>
          <w:sz w:val="28"/>
          <w:szCs w:val="28"/>
          <w:lang w:val="en-US" w:eastAsia="zh-CN"/>
        </w:rPr>
        <w:t>高于其真实价值</w:t>
      </w:r>
      <w:r>
        <w:rPr>
          <w:rFonts w:hint="eastAsia" w:ascii="仿宋" w:hAnsi="仿宋" w:eastAsia="仿宋" w:cs="仿宋"/>
          <w:sz w:val="28"/>
          <w:szCs w:val="28"/>
        </w:rPr>
        <w:t>的</w:t>
      </w:r>
      <w:r>
        <w:rPr>
          <w:rFonts w:hint="eastAsia" w:ascii="仿宋" w:hAnsi="仿宋" w:eastAsia="仿宋" w:cs="仿宋"/>
          <w:sz w:val="28"/>
          <w:szCs w:val="28"/>
          <w:lang w:val="en-US" w:eastAsia="zh-CN"/>
        </w:rPr>
        <w:t>财产</w:t>
      </w:r>
      <w:r>
        <w:rPr>
          <w:rFonts w:hint="eastAsia" w:ascii="仿宋" w:hAnsi="仿宋" w:eastAsia="仿宋" w:cs="仿宋"/>
          <w:sz w:val="28"/>
          <w:szCs w:val="28"/>
        </w:rPr>
        <w:t>，</w:t>
      </w:r>
      <w:r>
        <w:rPr>
          <w:rFonts w:hint="eastAsia" w:ascii="仿宋" w:hAnsi="仿宋" w:eastAsia="仿宋" w:cs="仿宋"/>
          <w:sz w:val="28"/>
          <w:szCs w:val="28"/>
          <w:lang w:val="en-US" w:eastAsia="zh-CN"/>
        </w:rPr>
        <w:t>清算组</w:t>
      </w:r>
      <w:r>
        <w:rPr>
          <w:rFonts w:hint="eastAsia" w:ascii="仿宋" w:hAnsi="仿宋" w:eastAsia="仿宋" w:cs="仿宋"/>
          <w:sz w:val="28"/>
          <w:szCs w:val="28"/>
        </w:rPr>
        <w:t>保留予以核销</w:t>
      </w:r>
      <w:r>
        <w:rPr>
          <w:rFonts w:hint="eastAsia" w:ascii="仿宋" w:hAnsi="仿宋" w:eastAsia="仿宋" w:cs="仿宋"/>
          <w:sz w:val="28"/>
          <w:szCs w:val="28"/>
          <w:lang w:val="en-US" w:eastAsia="zh-CN"/>
        </w:rPr>
        <w:t>或抛弃</w:t>
      </w:r>
      <w:r>
        <w:rPr>
          <w:rFonts w:hint="eastAsia" w:ascii="仿宋" w:hAnsi="仿宋" w:eastAsia="仿宋" w:cs="仿宋"/>
          <w:sz w:val="28"/>
          <w:szCs w:val="28"/>
        </w:rPr>
        <w:t>的权利</w:t>
      </w:r>
      <w:r>
        <w:rPr>
          <w:rStyle w:val="12"/>
          <w:rFonts w:hint="default" w:ascii="仿宋" w:hAnsi="仿宋" w:eastAsia="仿宋" w:cs="仿宋"/>
          <w:b w:val="0"/>
          <w:bCs w:val="0"/>
          <w:kern w:val="2"/>
          <w:sz w:val="28"/>
          <w:szCs w:val="28"/>
          <w:lang w:val="en-US" w:eastAsia="zh-CN" w:bidi="ar-SA"/>
        </w:rPr>
        <w:t>。</w:t>
      </w:r>
    </w:p>
    <w:p>
      <w:pPr>
        <w:spacing w:before="156" w:beforeLines="50" w:line="560" w:lineRule="exact"/>
        <w:ind w:left="561"/>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四、债权申报及确认情况</w:t>
      </w:r>
    </w:p>
    <w:p>
      <w:pPr>
        <w:numPr>
          <w:ilvl w:val="255"/>
          <w:numId w:val="0"/>
        </w:numPr>
        <w:spacing w:line="560" w:lineRule="exact"/>
        <w:ind w:firstLine="560" w:firstLineChars="200"/>
        <w:jc w:val="both"/>
        <w:rPr>
          <w:rFonts w:hint="eastAsia" w:ascii="仿宋" w:hAnsi="仿宋" w:eastAsia="仿宋" w:cs="仿宋"/>
          <w:color w:val="auto"/>
          <w:sz w:val="28"/>
          <w:szCs w:val="28"/>
          <w:lang w:bidi="ar"/>
        </w:rPr>
      </w:pPr>
      <w:r>
        <w:rPr>
          <w:rFonts w:hint="eastAsia" w:ascii="仿宋" w:hAnsi="仿宋" w:eastAsia="仿宋" w:cs="仿宋"/>
          <w:color w:val="auto"/>
          <w:sz w:val="28"/>
          <w:szCs w:val="28"/>
          <w:lang w:bidi="ar"/>
        </w:rPr>
        <w:t>截止本清算方案出具之日，共有</w:t>
      </w:r>
      <w:r>
        <w:rPr>
          <w:rFonts w:hint="eastAsia" w:ascii="仿宋" w:hAnsi="仿宋" w:eastAsia="仿宋" w:cs="仿宋"/>
          <w:color w:val="auto"/>
          <w:sz w:val="28"/>
          <w:szCs w:val="28"/>
          <w:lang w:val="en-US" w:eastAsia="zh-CN" w:bidi="ar"/>
        </w:rPr>
        <w:t>2</w:t>
      </w:r>
      <w:r>
        <w:rPr>
          <w:rFonts w:hint="eastAsia" w:ascii="仿宋" w:hAnsi="仿宋" w:eastAsia="仿宋" w:cs="仿宋"/>
          <w:color w:val="auto"/>
          <w:sz w:val="28"/>
          <w:szCs w:val="28"/>
          <w:lang w:bidi="ar"/>
        </w:rPr>
        <w:t>位债权人向清算组申报了</w:t>
      </w:r>
      <w:r>
        <w:rPr>
          <w:rFonts w:hint="eastAsia" w:ascii="仿宋" w:hAnsi="仿宋" w:eastAsia="仿宋" w:cs="仿宋"/>
          <w:color w:val="auto"/>
          <w:sz w:val="28"/>
          <w:szCs w:val="28"/>
          <w:lang w:val="en-US" w:eastAsia="zh-CN" w:bidi="ar"/>
        </w:rPr>
        <w:t>2</w:t>
      </w:r>
      <w:r>
        <w:rPr>
          <w:rFonts w:hint="eastAsia" w:ascii="仿宋" w:hAnsi="仿宋" w:eastAsia="仿宋" w:cs="仿宋"/>
          <w:color w:val="auto"/>
          <w:sz w:val="28"/>
          <w:szCs w:val="28"/>
          <w:lang w:bidi="ar"/>
        </w:rPr>
        <w:t xml:space="preserve"> 笔债权，申报债权金额</w:t>
      </w:r>
      <w:r>
        <w:rPr>
          <w:rFonts w:hint="eastAsia" w:ascii="仿宋" w:hAnsi="仿宋" w:eastAsia="仿宋" w:cs="仿宋"/>
          <w:color w:val="auto"/>
          <w:sz w:val="28"/>
          <w:szCs w:val="28"/>
          <w:lang w:val="en-US" w:eastAsia="zh-CN" w:bidi="ar"/>
        </w:rPr>
        <w:t>合</w:t>
      </w:r>
      <w:r>
        <w:rPr>
          <w:rFonts w:hint="eastAsia" w:ascii="仿宋" w:hAnsi="仿宋" w:eastAsia="仿宋" w:cs="仿宋"/>
          <w:color w:val="auto"/>
          <w:sz w:val="28"/>
          <w:szCs w:val="28"/>
          <w:lang w:bidi="ar"/>
        </w:rPr>
        <w:t>计2,500.42元，清算组经审查后，确认的债权金额</w:t>
      </w:r>
      <w:r>
        <w:rPr>
          <w:rFonts w:hint="eastAsia" w:ascii="仿宋" w:hAnsi="仿宋" w:eastAsia="仿宋" w:cs="仿宋"/>
          <w:color w:val="auto"/>
          <w:sz w:val="28"/>
          <w:szCs w:val="28"/>
          <w:lang w:val="en-US" w:eastAsia="zh-CN" w:bidi="ar"/>
        </w:rPr>
        <w:t>合</w:t>
      </w:r>
      <w:r>
        <w:rPr>
          <w:rFonts w:hint="eastAsia" w:ascii="仿宋" w:hAnsi="仿宋" w:eastAsia="仿宋" w:cs="仿宋"/>
          <w:color w:val="auto"/>
          <w:sz w:val="28"/>
          <w:szCs w:val="28"/>
          <w:lang w:bidi="ar"/>
        </w:rPr>
        <w:t>计2,500.42元。同时经清算组调查核实，</w:t>
      </w:r>
      <w:r>
        <w:rPr>
          <w:rStyle w:val="12"/>
          <w:rFonts w:hint="eastAsia" w:ascii="仿宋" w:hAnsi="仿宋" w:eastAsia="仿宋" w:cs="仿宋"/>
          <w:kern w:val="2"/>
          <w:sz w:val="28"/>
          <w:szCs w:val="28"/>
          <w:lang w:val="en-US" w:eastAsia="zh-CN" w:bidi="ar-SA"/>
        </w:rPr>
        <w:t>中创金融公司</w:t>
      </w:r>
      <w:r>
        <w:rPr>
          <w:rFonts w:hint="eastAsia" w:ascii="仿宋" w:hAnsi="仿宋" w:eastAsia="仿宋" w:cs="仿宋"/>
          <w:color w:val="auto"/>
          <w:sz w:val="28"/>
          <w:szCs w:val="28"/>
          <w:lang w:bidi="ar"/>
        </w:rPr>
        <w:t>尚欠</w:t>
      </w:r>
      <w:r>
        <w:rPr>
          <w:rFonts w:hint="eastAsia" w:ascii="仿宋" w:hAnsi="仿宋" w:eastAsia="仿宋" w:cs="仿宋"/>
          <w:color w:val="auto"/>
          <w:sz w:val="28"/>
          <w:szCs w:val="28"/>
          <w:lang w:val="en-US" w:eastAsia="zh-CN" w:bidi="ar"/>
        </w:rPr>
        <w:t>8位职</w:t>
      </w:r>
      <w:r>
        <w:rPr>
          <w:rFonts w:hint="eastAsia" w:ascii="仿宋" w:hAnsi="仿宋" w:eastAsia="仿宋" w:cs="仿宋"/>
          <w:color w:val="auto"/>
          <w:sz w:val="28"/>
          <w:szCs w:val="28"/>
          <w:lang w:bidi="ar"/>
        </w:rPr>
        <w:t>工工资及经济补偿金</w:t>
      </w:r>
      <w:r>
        <w:rPr>
          <w:rFonts w:hint="eastAsia" w:ascii="仿宋" w:hAnsi="仿宋" w:eastAsia="仿宋" w:cs="仿宋"/>
          <w:color w:val="auto"/>
          <w:sz w:val="28"/>
          <w:szCs w:val="28"/>
          <w:lang w:val="en-US" w:eastAsia="zh-CN" w:bidi="ar"/>
        </w:rPr>
        <w:t>合</w:t>
      </w:r>
      <w:r>
        <w:rPr>
          <w:rFonts w:hint="eastAsia" w:ascii="仿宋" w:hAnsi="仿宋" w:eastAsia="仿宋" w:cs="仿宋"/>
          <w:color w:val="auto"/>
          <w:sz w:val="28"/>
          <w:szCs w:val="28"/>
          <w:lang w:bidi="ar"/>
        </w:rPr>
        <w:t>计141,970.64元。</w:t>
      </w:r>
      <w:r>
        <w:rPr>
          <w:rStyle w:val="12"/>
          <w:rFonts w:hint="eastAsia" w:ascii="仿宋" w:hAnsi="仿宋" w:eastAsia="仿宋" w:cs="仿宋"/>
          <w:kern w:val="2"/>
          <w:sz w:val="28"/>
          <w:szCs w:val="28"/>
          <w:lang w:val="en-US" w:eastAsia="zh-CN" w:bidi="ar-SA"/>
        </w:rPr>
        <w:t>中创金融公司的以上</w:t>
      </w:r>
      <w:r>
        <w:rPr>
          <w:rStyle w:val="12"/>
          <w:rFonts w:hint="eastAsia" w:ascii="仿宋" w:hAnsi="仿宋" w:eastAsia="仿宋" w:cs="仿宋"/>
          <w:sz w:val="28"/>
          <w:szCs w:val="28"/>
          <w:lang w:val="en-US" w:eastAsia="zh-CN"/>
        </w:rPr>
        <w:t>负债合计144,471.06元。</w:t>
      </w:r>
      <w:r>
        <w:rPr>
          <w:rFonts w:hint="eastAsia" w:ascii="仿宋" w:hAnsi="仿宋" w:eastAsia="仿宋" w:cs="仿宋"/>
          <w:color w:val="auto"/>
          <w:sz w:val="28"/>
          <w:szCs w:val="28"/>
          <w:lang w:bidi="ar"/>
        </w:rPr>
        <w:t>具体申报及确认情况如下表：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2416"/>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shd w:val="clear" w:color="auto" w:fill="D7D7D7" w:themeFill="background1" w:themeFillShade="D8"/>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序号</w:t>
            </w:r>
          </w:p>
        </w:tc>
        <w:tc>
          <w:tcPr>
            <w:tcW w:w="2416" w:type="dxa"/>
            <w:shd w:val="clear" w:color="auto" w:fill="D7D7D7" w:themeFill="background1" w:themeFillShade="D8"/>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债权人</w:t>
            </w:r>
          </w:p>
        </w:tc>
        <w:tc>
          <w:tcPr>
            <w:tcW w:w="1704" w:type="dxa"/>
            <w:shd w:val="clear" w:color="auto" w:fill="D7D7D7" w:themeFill="background1" w:themeFillShade="D8"/>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申报金额（元）</w:t>
            </w:r>
          </w:p>
        </w:tc>
        <w:tc>
          <w:tcPr>
            <w:tcW w:w="1705" w:type="dxa"/>
            <w:shd w:val="clear" w:color="auto" w:fill="D7D7D7" w:themeFill="background1" w:themeFillShade="D8"/>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确认金额（元）</w:t>
            </w:r>
          </w:p>
        </w:tc>
        <w:tc>
          <w:tcPr>
            <w:tcW w:w="1705" w:type="dxa"/>
            <w:shd w:val="clear" w:color="auto" w:fill="D7D7D7" w:themeFill="background1" w:themeFillShade="D8"/>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确认性质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992" w:type="dxa"/>
            <w:vMerge w:val="restart"/>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1</w:t>
            </w:r>
          </w:p>
        </w:tc>
        <w:tc>
          <w:tcPr>
            <w:tcW w:w="2416" w:type="dxa"/>
            <w:vMerge w:val="restart"/>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国家税务总局广州市越秀区税务局</w:t>
            </w:r>
          </w:p>
        </w:tc>
        <w:tc>
          <w:tcPr>
            <w:tcW w:w="1704" w:type="dxa"/>
            <w:vMerge w:val="restart"/>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2</w:t>
            </w:r>
            <w:r>
              <w:rPr>
                <w:rFonts w:hint="eastAsia" w:ascii="仿宋" w:hAnsi="仿宋" w:eastAsia="仿宋" w:cs="仿宋"/>
                <w:color w:val="000000"/>
                <w:kern w:val="0"/>
                <w:sz w:val="21"/>
                <w:szCs w:val="21"/>
                <w:highlight w:val="none"/>
                <w:u w:val="none"/>
                <w:shd w:val="clear" w:color="auto" w:fill="auto"/>
                <w:lang w:val="en-US" w:eastAsia="zh-CN" w:bidi="ar"/>
              </w:rPr>
              <w:t>,</w:t>
            </w:r>
            <w:r>
              <w:rPr>
                <w:rFonts w:hint="eastAsia" w:ascii="仿宋" w:hAnsi="仿宋" w:eastAsia="仿宋" w:cs="仿宋"/>
                <w:color w:val="000000"/>
                <w:kern w:val="0"/>
                <w:sz w:val="21"/>
                <w:szCs w:val="21"/>
                <w:highlight w:val="none"/>
                <w:u w:val="none"/>
                <w:shd w:val="clear" w:color="auto" w:fill="auto"/>
                <w:vertAlign w:val="baseline"/>
                <w:lang w:val="en-US" w:eastAsia="zh-CN" w:bidi="ar"/>
              </w:rPr>
              <w:t>422.39</w:t>
            </w:r>
          </w:p>
        </w:tc>
        <w:tc>
          <w:tcPr>
            <w:tcW w:w="1705" w:type="dxa"/>
            <w:vAlign w:val="center"/>
          </w:tcPr>
          <w:p>
            <w:pPr>
              <w:keepNext w:val="0"/>
              <w:keepLines w:val="0"/>
              <w:widowControl/>
              <w:numPr>
                <w:ilvl w:val="0"/>
                <w:numId w:val="0"/>
              </w:numPr>
              <w:suppressLineNumbers w:val="0"/>
              <w:spacing w:before="0" w:beforeAutospacing="0" w:after="0" w:afterAutospacing="0" w:line="560" w:lineRule="exact"/>
              <w:ind w:left="0" w:right="0"/>
              <w:jc w:val="center"/>
              <w:textAlignment w:val="center"/>
              <w:rPr>
                <w:rFonts w:hint="default" w:ascii="仿宋" w:hAnsi="仿宋" w:eastAsia="仿宋" w:cs="仿宋"/>
                <w:i w:val="0"/>
                <w:iCs w:val="0"/>
                <w:color w:val="000000"/>
                <w:kern w:val="0"/>
                <w:sz w:val="21"/>
                <w:szCs w:val="21"/>
                <w:highlight w:val="none"/>
                <w:u w:val="none"/>
                <w:shd w:val="clear" w:color="auto" w:fill="auto"/>
                <w:lang w:val="en-US" w:eastAsia="zh-CN" w:bidi="ar"/>
              </w:rPr>
            </w:pPr>
            <w:r>
              <w:rPr>
                <w:rFonts w:hint="eastAsia" w:ascii="仿宋" w:hAnsi="仿宋" w:eastAsia="仿宋" w:cs="仿宋"/>
                <w:i w:val="0"/>
                <w:iCs w:val="0"/>
                <w:color w:val="000000"/>
                <w:kern w:val="0"/>
                <w:sz w:val="21"/>
                <w:szCs w:val="21"/>
                <w:highlight w:val="none"/>
                <w:u w:val="none"/>
                <w:shd w:val="clear" w:color="auto" w:fill="auto"/>
                <w:lang w:val="en-US" w:eastAsia="zh-CN" w:bidi="ar"/>
              </w:rPr>
              <w:t>1,333.18</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社会保险费用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Merge w:val="continue"/>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p>
        </w:tc>
        <w:tc>
          <w:tcPr>
            <w:tcW w:w="2416" w:type="dxa"/>
            <w:vMerge w:val="continue"/>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p>
        </w:tc>
        <w:tc>
          <w:tcPr>
            <w:tcW w:w="1704" w:type="dxa"/>
            <w:vMerge w:val="continue"/>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1,089.21</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普通债权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2</w:t>
            </w:r>
          </w:p>
        </w:tc>
        <w:tc>
          <w:tcPr>
            <w:tcW w:w="2416"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广州市越秀区人民法院</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78.03</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78.03</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普通债权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3</w:t>
            </w:r>
          </w:p>
        </w:tc>
        <w:tc>
          <w:tcPr>
            <w:tcW w:w="2416"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陈恒</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38,181.00</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职工债权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4</w:t>
            </w:r>
          </w:p>
        </w:tc>
        <w:tc>
          <w:tcPr>
            <w:tcW w:w="2416"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谢华</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30,562.80</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职工债权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5</w:t>
            </w:r>
          </w:p>
        </w:tc>
        <w:tc>
          <w:tcPr>
            <w:tcW w:w="2416"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杨雁真</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38,218.39</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职工债权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6</w:t>
            </w:r>
          </w:p>
        </w:tc>
        <w:tc>
          <w:tcPr>
            <w:tcW w:w="2416"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吴海燕</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4,805.00</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职工债权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7</w:t>
            </w:r>
          </w:p>
        </w:tc>
        <w:tc>
          <w:tcPr>
            <w:tcW w:w="2416"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陈浪</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2,400.00</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职工债权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8</w:t>
            </w:r>
          </w:p>
        </w:tc>
        <w:tc>
          <w:tcPr>
            <w:tcW w:w="2416"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梁建标</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8,500.00</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职工债权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9</w:t>
            </w:r>
          </w:p>
        </w:tc>
        <w:tc>
          <w:tcPr>
            <w:tcW w:w="2416"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邹粤红</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7,434.48</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职工债权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10</w:t>
            </w:r>
          </w:p>
        </w:tc>
        <w:tc>
          <w:tcPr>
            <w:tcW w:w="2416"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韦贤君</w:t>
            </w:r>
          </w:p>
        </w:tc>
        <w:tc>
          <w:tcPr>
            <w:tcW w:w="1704"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11,868.97</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职工债权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gridSpan w:val="2"/>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总计</w:t>
            </w:r>
          </w:p>
        </w:tc>
        <w:tc>
          <w:tcPr>
            <w:tcW w:w="170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iCs w:val="0"/>
                <w:color w:val="000000"/>
                <w:kern w:val="0"/>
                <w:sz w:val="21"/>
                <w:szCs w:val="21"/>
                <w:highlight w:val="none"/>
                <w:u w:val="none"/>
                <w:shd w:val="clear" w:color="auto" w:fill="auto"/>
                <w:lang w:val="en-US" w:eastAsia="zh-CN" w:bidi="ar"/>
              </w:rPr>
            </w:pPr>
            <w:r>
              <w:rPr>
                <w:rFonts w:hint="eastAsia" w:ascii="仿宋" w:hAnsi="仿宋" w:eastAsia="仿宋" w:cs="仿宋"/>
                <w:i w:val="0"/>
                <w:iCs w:val="0"/>
                <w:color w:val="000000"/>
                <w:kern w:val="0"/>
                <w:sz w:val="21"/>
                <w:szCs w:val="21"/>
                <w:highlight w:val="none"/>
                <w:u w:val="none"/>
                <w:shd w:val="clear" w:color="auto" w:fill="auto"/>
                <w:lang w:val="en-US" w:eastAsia="zh-CN" w:bidi="ar"/>
              </w:rPr>
              <w:t>2</w:t>
            </w:r>
            <w:r>
              <w:rPr>
                <w:rFonts w:hint="eastAsia" w:ascii="仿宋" w:hAnsi="仿宋" w:eastAsia="仿宋" w:cs="仿宋"/>
                <w:color w:val="000000"/>
                <w:kern w:val="0"/>
                <w:sz w:val="21"/>
                <w:szCs w:val="21"/>
                <w:highlight w:val="none"/>
                <w:u w:val="none"/>
                <w:shd w:val="clear" w:color="auto" w:fill="auto"/>
                <w:lang w:val="en-US" w:eastAsia="zh-CN" w:bidi="ar"/>
              </w:rPr>
              <w:t>,</w:t>
            </w:r>
            <w:r>
              <w:rPr>
                <w:rFonts w:hint="eastAsia" w:ascii="仿宋" w:hAnsi="仿宋" w:eastAsia="仿宋" w:cs="仿宋"/>
                <w:i w:val="0"/>
                <w:iCs w:val="0"/>
                <w:color w:val="000000"/>
                <w:kern w:val="0"/>
                <w:sz w:val="21"/>
                <w:szCs w:val="21"/>
                <w:highlight w:val="none"/>
                <w:u w:val="none"/>
                <w:shd w:val="clear" w:color="auto" w:fill="auto"/>
                <w:lang w:val="en-US" w:eastAsia="zh-CN" w:bidi="ar"/>
              </w:rPr>
              <w:t>500.42</w:t>
            </w:r>
          </w:p>
        </w:tc>
        <w:tc>
          <w:tcPr>
            <w:tcW w:w="1705"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i w:val="0"/>
                <w:color w:val="000000"/>
                <w:kern w:val="0"/>
                <w:sz w:val="21"/>
                <w:szCs w:val="21"/>
                <w:highlight w:val="none"/>
                <w:u w:val="none"/>
                <w:shd w:val="clear" w:color="auto" w:fill="auto"/>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144,471.06</w:t>
            </w:r>
          </w:p>
        </w:tc>
        <w:tc>
          <w:tcPr>
            <w:tcW w:w="1705" w:type="dxa"/>
            <w:vAlign w:val="center"/>
          </w:tcPr>
          <w:p>
            <w:pPr>
              <w:keepNext w:val="0"/>
              <w:keepLines w:val="0"/>
              <w:widowControl w:val="0"/>
              <w:numPr>
                <w:ilvl w:val="-1"/>
                <w:numId w:val="0"/>
              </w:numPr>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r>
    </w:tbl>
    <w:p>
      <w:pPr>
        <w:keepNext w:val="0"/>
        <w:keepLines w:val="0"/>
        <w:pageBreakBefore w:val="0"/>
        <w:widowControl/>
        <w:kinsoku/>
        <w:wordWrap/>
        <w:overflowPunct/>
        <w:topLinePunct w:val="0"/>
        <w:autoSpaceDE/>
        <w:autoSpaceDN/>
        <w:bidi w:val="0"/>
        <w:adjustRightInd/>
        <w:snapToGrid/>
        <w:spacing w:before="156" w:beforeLines="50" w:line="560" w:lineRule="exact"/>
        <w:ind w:firstLine="562" w:firstLineChars="200"/>
        <w:jc w:val="both"/>
        <w:textAlignment w:val="baseline"/>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bidi="ar"/>
        </w:rPr>
        <w:t>五、财产分配方案</w:t>
      </w:r>
    </w:p>
    <w:p>
      <w:pPr>
        <w:keepNext w:val="0"/>
        <w:keepLines w:val="0"/>
        <w:pageBreakBefore w:val="0"/>
        <w:widowControl/>
        <w:kinsoku/>
        <w:overflowPunct/>
        <w:topLinePunct w:val="0"/>
        <w:autoSpaceDE/>
        <w:autoSpaceDN/>
        <w:bidi w:val="0"/>
        <w:adjustRightInd/>
        <w:snapToGrid/>
        <w:spacing w:beforeLines="0" w:line="560" w:lineRule="exact"/>
        <w:ind w:firstLine="560" w:firstLineChars="200"/>
        <w:jc w:val="both"/>
        <w:textAlignment w:val="baseline"/>
        <w:rPr>
          <w:rStyle w:val="12"/>
          <w:rFonts w:hint="eastAsia" w:ascii="仿宋" w:hAnsi="仿宋" w:eastAsia="仿宋" w:cs="仿宋"/>
          <w:sz w:val="28"/>
          <w:szCs w:val="28"/>
        </w:rPr>
      </w:pPr>
      <w:r>
        <w:rPr>
          <w:rStyle w:val="12"/>
          <w:rFonts w:hint="eastAsia" w:ascii="仿宋" w:hAnsi="仿宋" w:eastAsia="仿宋" w:cs="仿宋"/>
          <w:kern w:val="2"/>
          <w:sz w:val="28"/>
          <w:szCs w:val="28"/>
          <w:lang w:val="en-US" w:eastAsia="zh-CN" w:bidi="ar-SA"/>
        </w:rPr>
        <w:t>截止本清算方案出具之日，中创金融公司可供分配的货币资产为2,624.39元，可供分配的非货币资产为对外投资、商标及抽逃出资款或有权益的拍卖款。</w:t>
      </w:r>
      <w:r>
        <w:rPr>
          <w:rStyle w:val="12"/>
          <w:rFonts w:hint="eastAsia" w:ascii="仿宋" w:hAnsi="仿宋" w:eastAsia="仿宋" w:cs="仿宋"/>
          <w:sz w:val="28"/>
          <w:szCs w:val="28"/>
        </w:rPr>
        <w:t>依据《中华人民共和国公司法》第186条第2款：“公司财产在分别支付清算费用、职工的工资、社会保险费用和法定补偿金，缴纳所欠税款，清偿公司债务后的剩余财产，有限责任公司按照股东的出资比例分配，股份有限公司按照股东持有的股份比例分配。”《最高人民法院印发&lt;关于审理公司强制清算案件工作座谈会纪要&gt;的通知》第39条</w:t>
      </w:r>
      <w:r>
        <w:rPr>
          <w:rStyle w:val="11"/>
          <w:rFonts w:hint="eastAsia" w:ascii="仿宋" w:hAnsi="仿宋" w:eastAsia="仿宋" w:cs="仿宋"/>
          <w:sz w:val="28"/>
          <w:szCs w:val="28"/>
        </w:rPr>
        <w:footnoteReference w:id="1"/>
      </w:r>
      <w:r>
        <w:rPr>
          <w:rStyle w:val="12"/>
          <w:rFonts w:hint="eastAsia" w:ascii="仿宋" w:hAnsi="仿宋" w:eastAsia="仿宋" w:cs="仿宋"/>
          <w:sz w:val="28"/>
          <w:szCs w:val="28"/>
          <w:lang w:val="en-US" w:eastAsia="zh-CN"/>
        </w:rPr>
        <w:t>及</w:t>
      </w:r>
      <w:r>
        <w:rPr>
          <w:rStyle w:val="12"/>
          <w:rFonts w:hint="eastAsia" w:ascii="仿宋" w:hAnsi="仿宋" w:eastAsia="仿宋" w:cs="仿宋"/>
          <w:sz w:val="28"/>
          <w:szCs w:val="28"/>
        </w:rPr>
        <w:t>《中华人民共和国企业破产法》第</w:t>
      </w:r>
      <w:r>
        <w:rPr>
          <w:rStyle w:val="12"/>
          <w:rFonts w:hint="eastAsia" w:ascii="仿宋" w:hAnsi="仿宋" w:eastAsia="仿宋" w:cs="仿宋"/>
          <w:sz w:val="28"/>
          <w:szCs w:val="28"/>
          <w:lang w:val="en-US" w:eastAsia="zh-CN"/>
        </w:rPr>
        <w:t>113</w:t>
      </w:r>
      <w:r>
        <w:rPr>
          <w:rStyle w:val="12"/>
          <w:rFonts w:hint="eastAsia" w:ascii="仿宋" w:hAnsi="仿宋" w:eastAsia="仿宋" w:cs="仿宋"/>
          <w:sz w:val="28"/>
          <w:szCs w:val="28"/>
        </w:rPr>
        <w:t>条</w:t>
      </w:r>
      <w:r>
        <w:rPr>
          <w:rStyle w:val="11"/>
          <w:rFonts w:hint="eastAsia" w:ascii="仿宋" w:hAnsi="仿宋" w:eastAsia="仿宋" w:cs="仿宋"/>
          <w:sz w:val="28"/>
          <w:szCs w:val="28"/>
        </w:rPr>
        <w:footnoteReference w:id="2"/>
      </w:r>
      <w:r>
        <w:rPr>
          <w:rStyle w:val="12"/>
          <w:rFonts w:hint="eastAsia" w:ascii="仿宋" w:hAnsi="仿宋" w:eastAsia="仿宋" w:cs="仿宋"/>
          <w:sz w:val="28"/>
          <w:szCs w:val="28"/>
        </w:rPr>
        <w:t>之规定，结合</w:t>
      </w:r>
      <w:r>
        <w:rPr>
          <w:rStyle w:val="12"/>
          <w:rFonts w:hint="eastAsia" w:ascii="仿宋" w:hAnsi="仿宋" w:eastAsia="仿宋" w:cs="仿宋"/>
          <w:sz w:val="28"/>
          <w:szCs w:val="28"/>
          <w:lang w:val="en-US" w:eastAsia="zh-CN"/>
        </w:rPr>
        <w:t>中创金融公司</w:t>
      </w:r>
      <w:r>
        <w:rPr>
          <w:rStyle w:val="12"/>
          <w:rFonts w:hint="eastAsia" w:ascii="仿宋" w:hAnsi="仿宋" w:eastAsia="仿宋" w:cs="仿宋"/>
          <w:sz w:val="28"/>
          <w:szCs w:val="28"/>
        </w:rPr>
        <w:t>的</w:t>
      </w:r>
      <w:r>
        <w:rPr>
          <w:rStyle w:val="12"/>
          <w:rFonts w:hint="eastAsia" w:ascii="仿宋" w:hAnsi="仿宋" w:eastAsia="仿宋" w:cs="仿宋"/>
          <w:sz w:val="28"/>
          <w:szCs w:val="28"/>
          <w:lang w:val="en-US" w:eastAsia="zh-CN"/>
        </w:rPr>
        <w:t>实际</w:t>
      </w:r>
      <w:r>
        <w:rPr>
          <w:rStyle w:val="12"/>
          <w:rFonts w:hint="eastAsia" w:ascii="仿宋" w:hAnsi="仿宋" w:eastAsia="仿宋" w:cs="仿宋"/>
          <w:sz w:val="28"/>
          <w:szCs w:val="28"/>
        </w:rPr>
        <w:t>债务情况，清算组确定</w:t>
      </w:r>
      <w:r>
        <w:rPr>
          <w:rStyle w:val="12"/>
          <w:rFonts w:hint="eastAsia" w:ascii="仿宋" w:hAnsi="仿宋" w:eastAsia="仿宋" w:cs="仿宋"/>
          <w:sz w:val="28"/>
          <w:szCs w:val="28"/>
          <w:lang w:val="en-US" w:eastAsia="zh-CN"/>
        </w:rPr>
        <w:t>财产</w:t>
      </w:r>
      <w:r>
        <w:rPr>
          <w:rStyle w:val="12"/>
          <w:rFonts w:hint="eastAsia" w:ascii="仿宋" w:hAnsi="仿宋" w:eastAsia="仿宋" w:cs="仿宋"/>
          <w:sz w:val="28"/>
          <w:szCs w:val="28"/>
        </w:rPr>
        <w:t>分配方案的第一顺序为清算费用，第二顺序为</w:t>
      </w:r>
      <w:r>
        <w:rPr>
          <w:rStyle w:val="12"/>
          <w:rFonts w:hint="eastAsia" w:ascii="仿宋" w:hAnsi="仿宋" w:eastAsia="仿宋" w:cs="仿宋"/>
          <w:sz w:val="28"/>
          <w:szCs w:val="28"/>
          <w:lang w:eastAsia="zh-CN"/>
        </w:rPr>
        <w:t>职工工资，</w:t>
      </w:r>
      <w:r>
        <w:rPr>
          <w:rStyle w:val="12"/>
          <w:rFonts w:hint="eastAsia" w:ascii="仿宋" w:hAnsi="仿宋" w:eastAsia="仿宋" w:cs="仿宋"/>
          <w:sz w:val="28"/>
          <w:szCs w:val="28"/>
          <w:lang w:val="en-US" w:eastAsia="zh-CN"/>
        </w:rPr>
        <w:t>第三顺序为社会保险费用，第四顺序为法定补偿金，第五顺序为公司债务（普通债权）</w:t>
      </w:r>
      <w:r>
        <w:rPr>
          <w:rStyle w:val="12"/>
          <w:rFonts w:hint="eastAsia" w:ascii="仿宋" w:hAnsi="仿宋" w:eastAsia="仿宋" w:cs="仿宋"/>
          <w:sz w:val="28"/>
          <w:szCs w:val="28"/>
        </w:rPr>
        <w:t>，第</w:t>
      </w:r>
      <w:r>
        <w:rPr>
          <w:rStyle w:val="12"/>
          <w:rFonts w:hint="eastAsia" w:ascii="仿宋" w:hAnsi="仿宋" w:eastAsia="仿宋" w:cs="仿宋"/>
          <w:sz w:val="28"/>
          <w:szCs w:val="28"/>
          <w:lang w:val="en-US" w:eastAsia="zh-CN"/>
        </w:rPr>
        <w:t>六</w:t>
      </w:r>
      <w:r>
        <w:rPr>
          <w:rStyle w:val="12"/>
          <w:rFonts w:hint="eastAsia" w:ascii="仿宋" w:hAnsi="仿宋" w:eastAsia="仿宋" w:cs="仿宋"/>
          <w:sz w:val="28"/>
          <w:szCs w:val="28"/>
        </w:rPr>
        <w:t>顺序为剩余财产按照股东的出资比例分配。</w:t>
      </w:r>
    </w:p>
    <w:p>
      <w:pPr>
        <w:keepNext w:val="0"/>
        <w:keepLines w:val="0"/>
        <w:pageBreakBefore w:val="0"/>
        <w:widowControl/>
        <w:kinsoku/>
        <w:overflowPunct/>
        <w:topLinePunct w:val="0"/>
        <w:autoSpaceDE/>
        <w:autoSpaceDN/>
        <w:bidi w:val="0"/>
        <w:adjustRightInd/>
        <w:snapToGrid/>
        <w:spacing w:beforeLines="0" w:line="560" w:lineRule="exact"/>
        <w:ind w:firstLine="562" w:firstLineChars="200"/>
        <w:jc w:val="both"/>
        <w:textAlignment w:val="baseline"/>
        <w:rPr>
          <w:rStyle w:val="12"/>
          <w:rFonts w:hint="eastAsia" w:ascii="仿宋" w:hAnsi="仿宋" w:eastAsia="仿宋" w:cs="仿宋"/>
          <w:b/>
          <w:bCs/>
          <w:sz w:val="28"/>
          <w:szCs w:val="28"/>
          <w:lang w:val="en-US" w:eastAsia="zh-CN"/>
        </w:rPr>
      </w:pPr>
      <w:r>
        <w:rPr>
          <w:rStyle w:val="12"/>
          <w:rFonts w:hint="eastAsia" w:ascii="仿宋" w:hAnsi="仿宋" w:eastAsia="仿宋" w:cs="仿宋"/>
          <w:b/>
          <w:bCs/>
          <w:sz w:val="28"/>
          <w:szCs w:val="28"/>
          <w:lang w:val="en-US" w:eastAsia="zh-CN"/>
        </w:rPr>
        <w:t>第一顺序：清算费用</w:t>
      </w:r>
    </w:p>
    <w:p>
      <w:pPr>
        <w:keepNext w:val="0"/>
        <w:keepLines w:val="0"/>
        <w:pageBreakBefore w:val="0"/>
        <w:widowControl/>
        <w:kinsoku/>
        <w:overflowPunct/>
        <w:topLinePunct w:val="0"/>
        <w:autoSpaceDE/>
        <w:autoSpaceDN/>
        <w:bidi w:val="0"/>
        <w:adjustRightInd/>
        <w:snapToGrid/>
        <w:spacing w:beforeLines="0" w:line="560" w:lineRule="exact"/>
        <w:ind w:firstLine="560" w:firstLineChars="200"/>
        <w:jc w:val="both"/>
        <w:textAlignment w:val="baseline"/>
        <w:rPr>
          <w:rStyle w:val="12"/>
          <w:rFonts w:hint="eastAsia" w:ascii="仿宋" w:hAnsi="仿宋" w:eastAsia="仿宋" w:cs="仿宋"/>
          <w:sz w:val="28"/>
          <w:szCs w:val="28"/>
          <w:lang w:val="en-US" w:eastAsia="zh-CN"/>
        </w:rPr>
      </w:pPr>
      <w:r>
        <w:rPr>
          <w:rStyle w:val="12"/>
          <w:rFonts w:hint="eastAsia" w:ascii="仿宋" w:hAnsi="仿宋" w:eastAsia="仿宋" w:cs="仿宋"/>
          <w:sz w:val="28"/>
          <w:szCs w:val="28"/>
        </w:rPr>
        <w:t>在本所担任清算组之日起至本</w:t>
      </w:r>
      <w:r>
        <w:rPr>
          <w:rStyle w:val="12"/>
          <w:rFonts w:hint="eastAsia" w:ascii="仿宋" w:hAnsi="仿宋" w:eastAsia="仿宋" w:cs="仿宋"/>
          <w:sz w:val="28"/>
          <w:szCs w:val="28"/>
          <w:lang w:val="en-US" w:eastAsia="zh-CN"/>
        </w:rPr>
        <w:t>清算方案</w:t>
      </w:r>
      <w:r>
        <w:rPr>
          <w:rStyle w:val="12"/>
          <w:rFonts w:hint="eastAsia" w:ascii="仿宋" w:hAnsi="仿宋" w:eastAsia="仿宋" w:cs="仿宋"/>
          <w:sz w:val="28"/>
          <w:szCs w:val="28"/>
        </w:rPr>
        <w:t>出具之日，已实际发生的清算费用共计</w:t>
      </w:r>
      <w:r>
        <w:rPr>
          <w:rStyle w:val="12"/>
          <w:rFonts w:hint="eastAsia" w:ascii="仿宋" w:hAnsi="仿宋" w:eastAsia="仿宋" w:cs="仿宋"/>
          <w:sz w:val="28"/>
          <w:szCs w:val="28"/>
          <w:highlight w:val="none"/>
          <w:lang w:eastAsia="zh-CN"/>
        </w:rPr>
        <w:t>2</w:t>
      </w:r>
      <w:r>
        <w:rPr>
          <w:rStyle w:val="12"/>
          <w:rFonts w:hint="eastAsia" w:ascii="仿宋" w:hAnsi="仿宋" w:eastAsia="仿宋" w:cs="仿宋"/>
          <w:sz w:val="28"/>
          <w:szCs w:val="28"/>
          <w:highlight w:val="none"/>
          <w:lang w:val="en-US" w:eastAsia="zh-CN"/>
        </w:rPr>
        <w:t>,</w:t>
      </w:r>
      <w:r>
        <w:rPr>
          <w:rStyle w:val="12"/>
          <w:rFonts w:hint="eastAsia" w:ascii="仿宋" w:hAnsi="仿宋" w:eastAsia="仿宋" w:cs="仿宋"/>
          <w:sz w:val="28"/>
          <w:szCs w:val="28"/>
          <w:highlight w:val="none"/>
          <w:lang w:eastAsia="zh-CN"/>
        </w:rPr>
        <w:t>292.93</w:t>
      </w:r>
      <w:r>
        <w:rPr>
          <w:rStyle w:val="12"/>
          <w:rFonts w:hint="eastAsia" w:ascii="仿宋" w:hAnsi="仿宋" w:eastAsia="仿宋" w:cs="仿宋"/>
          <w:sz w:val="28"/>
          <w:szCs w:val="28"/>
          <w:highlight w:val="none"/>
        </w:rPr>
        <w:t>元</w:t>
      </w:r>
      <w:r>
        <w:rPr>
          <w:rStyle w:val="12"/>
          <w:rFonts w:hint="eastAsia" w:ascii="仿宋" w:hAnsi="仿宋" w:eastAsia="仿宋" w:cs="仿宋"/>
          <w:sz w:val="28"/>
          <w:szCs w:val="28"/>
        </w:rPr>
        <w:t>，</w:t>
      </w:r>
      <w:r>
        <w:rPr>
          <w:rStyle w:val="12"/>
          <w:rFonts w:hint="eastAsia" w:ascii="仿宋" w:hAnsi="仿宋" w:eastAsia="仿宋" w:cs="仿宋"/>
          <w:sz w:val="28"/>
          <w:szCs w:val="28"/>
          <w:lang w:val="en-US" w:eastAsia="zh-CN"/>
        </w:rPr>
        <w:t>预期还将发生清算组报酬、交通费、快递费、公司注销费用、清算组期间费用审计费等。该清算费用将优先获得清偿。</w:t>
      </w:r>
    </w:p>
    <w:tbl>
      <w:tblPr>
        <w:tblStyle w:val="7"/>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676"/>
        <w:gridCol w:w="1178"/>
        <w:gridCol w:w="1185"/>
        <w:gridCol w:w="548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77" w:hRule="atLeast"/>
          <w:jc w:val="center"/>
        </w:trPr>
        <w:tc>
          <w:tcPr>
            <w:tcW w:w="5000" w:type="pct"/>
            <w:gridSpan w:val="4"/>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b/>
                <w:bCs/>
                <w:kern w:val="0"/>
                <w:sz w:val="18"/>
                <w:szCs w:val="18"/>
              </w:rPr>
              <w:t>已实际发生的</w:t>
            </w:r>
            <w:r>
              <w:rPr>
                <w:rFonts w:hint="eastAsia" w:ascii="仿宋" w:hAnsi="仿宋" w:eastAsia="仿宋" w:cs="仿宋"/>
                <w:b/>
                <w:bCs/>
                <w:kern w:val="0"/>
                <w:sz w:val="18"/>
                <w:szCs w:val="18"/>
                <w:lang w:val="en-US" w:eastAsia="zh-CN"/>
              </w:rPr>
              <w:t>清算费用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39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b/>
                <w:bCs/>
                <w:kern w:val="0"/>
                <w:sz w:val="18"/>
                <w:szCs w:val="18"/>
              </w:rPr>
            </w:pPr>
            <w:r>
              <w:rPr>
                <w:rFonts w:hint="eastAsia" w:ascii="仿宋" w:hAnsi="仿宋" w:eastAsia="仿宋" w:cs="仿宋"/>
                <w:b/>
                <w:bCs/>
                <w:kern w:val="0"/>
                <w:sz w:val="18"/>
                <w:szCs w:val="18"/>
              </w:rPr>
              <w:t>序号</w:t>
            </w:r>
          </w:p>
        </w:tc>
        <w:tc>
          <w:tcPr>
            <w:tcW w:w="691"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b/>
                <w:bCs/>
                <w:kern w:val="0"/>
                <w:sz w:val="18"/>
                <w:szCs w:val="18"/>
              </w:rPr>
            </w:pPr>
            <w:r>
              <w:rPr>
                <w:rFonts w:hint="eastAsia" w:ascii="仿宋" w:hAnsi="仿宋" w:eastAsia="仿宋" w:cs="仿宋"/>
                <w:b/>
                <w:bCs/>
                <w:kern w:val="0"/>
                <w:sz w:val="18"/>
                <w:szCs w:val="18"/>
              </w:rPr>
              <w:t>费用类型</w:t>
            </w:r>
          </w:p>
        </w:tc>
        <w:tc>
          <w:tcPr>
            <w:tcW w:w="695"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b/>
                <w:bCs/>
                <w:kern w:val="0"/>
                <w:sz w:val="18"/>
                <w:szCs w:val="18"/>
              </w:rPr>
            </w:pPr>
            <w:r>
              <w:rPr>
                <w:rFonts w:hint="eastAsia" w:ascii="仿宋" w:hAnsi="仿宋" w:eastAsia="仿宋" w:cs="仿宋"/>
                <w:b/>
                <w:bCs/>
                <w:kern w:val="0"/>
                <w:sz w:val="18"/>
                <w:szCs w:val="18"/>
              </w:rPr>
              <w:t>金额（元）</w:t>
            </w:r>
          </w:p>
        </w:tc>
        <w:tc>
          <w:tcPr>
            <w:tcW w:w="321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b/>
                <w:bCs/>
                <w:kern w:val="0"/>
                <w:sz w:val="18"/>
                <w:szCs w:val="18"/>
              </w:rPr>
            </w:pPr>
            <w:r>
              <w:rPr>
                <w:rFonts w:hint="eastAsia" w:ascii="仿宋" w:hAnsi="仿宋" w:eastAsia="仿宋" w:cs="仿宋"/>
                <w:b/>
                <w:bCs/>
                <w:kern w:val="0"/>
                <w:sz w:val="18"/>
                <w:szCs w:val="18"/>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39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rPr>
            </w:pPr>
            <w:r>
              <w:rPr>
                <w:rFonts w:hint="eastAsia" w:ascii="仿宋" w:hAnsi="仿宋" w:eastAsia="仿宋" w:cs="仿宋"/>
                <w:kern w:val="0"/>
                <w:sz w:val="18"/>
                <w:szCs w:val="18"/>
              </w:rPr>
              <w:t>1</w:t>
            </w:r>
          </w:p>
        </w:tc>
        <w:tc>
          <w:tcPr>
            <w:tcW w:w="691"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刻章费</w:t>
            </w:r>
          </w:p>
        </w:tc>
        <w:tc>
          <w:tcPr>
            <w:tcW w:w="695"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rPr>
            </w:pPr>
            <w:r>
              <w:rPr>
                <w:rFonts w:hint="eastAsia" w:ascii="仿宋" w:hAnsi="仿宋" w:eastAsia="仿宋" w:cs="仿宋"/>
                <w:kern w:val="0"/>
                <w:sz w:val="18"/>
                <w:szCs w:val="18"/>
              </w:rPr>
              <w:t>440.00</w:t>
            </w:r>
          </w:p>
        </w:tc>
        <w:tc>
          <w:tcPr>
            <w:tcW w:w="321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刻制清算组公章、财务专用章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39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rPr>
            </w:pPr>
            <w:r>
              <w:rPr>
                <w:rFonts w:hint="eastAsia" w:ascii="仿宋" w:hAnsi="仿宋" w:eastAsia="仿宋" w:cs="仿宋"/>
                <w:kern w:val="0"/>
                <w:sz w:val="18"/>
                <w:szCs w:val="18"/>
              </w:rPr>
              <w:t>2</w:t>
            </w:r>
          </w:p>
        </w:tc>
        <w:tc>
          <w:tcPr>
            <w:tcW w:w="691"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打印费用</w:t>
            </w:r>
          </w:p>
        </w:tc>
        <w:tc>
          <w:tcPr>
            <w:tcW w:w="695"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eastAsia" w:ascii="仿宋" w:hAnsi="仿宋" w:eastAsia="仿宋" w:cs="仿宋"/>
                <w:kern w:val="0"/>
                <w:sz w:val="18"/>
                <w:szCs w:val="18"/>
              </w:rPr>
            </w:pPr>
            <w:r>
              <w:rPr>
                <w:rFonts w:hint="eastAsia" w:ascii="仿宋" w:hAnsi="仿宋" w:eastAsia="仿宋" w:cs="仿宋"/>
                <w:kern w:val="0"/>
                <w:sz w:val="18"/>
                <w:szCs w:val="18"/>
                <w:lang w:val="en-US" w:eastAsia="zh-CN"/>
              </w:rPr>
              <w:t>55</w:t>
            </w:r>
            <w:r>
              <w:rPr>
                <w:rFonts w:hint="eastAsia" w:ascii="仿宋" w:hAnsi="仿宋" w:eastAsia="仿宋" w:cs="仿宋"/>
                <w:kern w:val="0"/>
                <w:sz w:val="18"/>
                <w:szCs w:val="18"/>
              </w:rPr>
              <w:t>.0</w:t>
            </w:r>
            <w:r>
              <w:rPr>
                <w:rFonts w:hint="default" w:ascii="仿宋" w:hAnsi="仿宋" w:eastAsia="仿宋" w:cs="仿宋"/>
                <w:kern w:val="0"/>
                <w:sz w:val="18"/>
                <w:szCs w:val="18"/>
              </w:rPr>
              <w:t>0</w:t>
            </w:r>
          </w:p>
        </w:tc>
        <w:tc>
          <w:tcPr>
            <w:tcW w:w="321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打印工商档案时购买A4纸花费35元，浦发银行打印流水20元。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39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rPr>
            </w:pPr>
            <w:r>
              <w:rPr>
                <w:rFonts w:hint="eastAsia" w:ascii="仿宋" w:hAnsi="仿宋" w:eastAsia="仿宋" w:cs="仿宋"/>
                <w:kern w:val="0"/>
                <w:sz w:val="18"/>
                <w:szCs w:val="18"/>
              </w:rPr>
              <w:t>3</w:t>
            </w:r>
          </w:p>
        </w:tc>
        <w:tc>
          <w:tcPr>
            <w:tcW w:w="691"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rPr>
            </w:pPr>
            <w:r>
              <w:rPr>
                <w:rFonts w:hint="eastAsia" w:ascii="仿宋" w:hAnsi="仿宋" w:eastAsia="仿宋" w:cs="仿宋"/>
                <w:kern w:val="0"/>
                <w:sz w:val="18"/>
                <w:szCs w:val="18"/>
              </w:rPr>
              <w:t>快递费用</w:t>
            </w:r>
          </w:p>
        </w:tc>
        <w:tc>
          <w:tcPr>
            <w:tcW w:w="695"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rPr>
            </w:pPr>
            <w:r>
              <w:rPr>
                <w:rFonts w:hint="eastAsia" w:ascii="仿宋" w:hAnsi="仿宋" w:eastAsia="仿宋" w:cs="仿宋"/>
                <w:kern w:val="0"/>
                <w:sz w:val="18"/>
                <w:szCs w:val="18"/>
                <w:lang w:val="en-US" w:eastAsia="zh-CN"/>
              </w:rPr>
              <w:t>375</w:t>
            </w:r>
            <w:r>
              <w:rPr>
                <w:rFonts w:hint="eastAsia" w:ascii="仿宋" w:hAnsi="仿宋" w:eastAsia="仿宋" w:cs="仿宋"/>
                <w:kern w:val="0"/>
                <w:sz w:val="18"/>
                <w:szCs w:val="18"/>
              </w:rPr>
              <w:t xml:space="preserve">.00 </w:t>
            </w:r>
          </w:p>
        </w:tc>
        <w:tc>
          <w:tcPr>
            <w:tcW w:w="321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邮寄接管通知书、债权申报通知书、工作报告等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39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rPr>
            </w:pPr>
            <w:r>
              <w:rPr>
                <w:rFonts w:hint="eastAsia" w:ascii="仿宋" w:hAnsi="仿宋" w:eastAsia="仿宋" w:cs="仿宋"/>
                <w:kern w:val="0"/>
                <w:sz w:val="18"/>
                <w:szCs w:val="18"/>
              </w:rPr>
              <w:t>4</w:t>
            </w:r>
          </w:p>
        </w:tc>
        <w:tc>
          <w:tcPr>
            <w:tcW w:w="691"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rPr>
            </w:pPr>
            <w:r>
              <w:rPr>
                <w:rFonts w:hint="eastAsia" w:ascii="仿宋" w:hAnsi="仿宋" w:eastAsia="仿宋" w:cs="仿宋"/>
                <w:kern w:val="0"/>
                <w:sz w:val="18"/>
                <w:szCs w:val="18"/>
              </w:rPr>
              <w:t>交通费用</w:t>
            </w:r>
          </w:p>
        </w:tc>
        <w:tc>
          <w:tcPr>
            <w:tcW w:w="695"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262.93</w:t>
            </w:r>
          </w:p>
        </w:tc>
        <w:tc>
          <w:tcPr>
            <w:tcW w:w="321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财产调查、阅卷、工商调档等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39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5</w:t>
            </w:r>
          </w:p>
        </w:tc>
        <w:tc>
          <w:tcPr>
            <w:tcW w:w="691"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其他费用</w:t>
            </w:r>
          </w:p>
        </w:tc>
        <w:tc>
          <w:tcPr>
            <w:tcW w:w="695"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1,160.00</w:t>
            </w:r>
          </w:p>
        </w:tc>
        <w:tc>
          <w:tcPr>
            <w:tcW w:w="321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接管银行存款时缴纳欠费60元，委托长沙律师调取子公司工商档案花费300元，委托成都两律师前往银行查询花费800元。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1087" w:type="pct"/>
            <w:gridSpan w:val="2"/>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b/>
                <w:bCs/>
                <w:kern w:val="0"/>
                <w:sz w:val="18"/>
                <w:szCs w:val="18"/>
              </w:rPr>
            </w:pPr>
            <w:r>
              <w:rPr>
                <w:rFonts w:hint="eastAsia" w:ascii="仿宋" w:hAnsi="仿宋" w:eastAsia="仿宋" w:cs="仿宋"/>
                <w:b/>
                <w:bCs/>
                <w:kern w:val="0"/>
                <w:sz w:val="18"/>
                <w:szCs w:val="18"/>
              </w:rPr>
              <w:t>合计</w:t>
            </w:r>
          </w:p>
        </w:tc>
        <w:tc>
          <w:tcPr>
            <w:tcW w:w="695"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default" w:ascii="仿宋" w:hAnsi="仿宋" w:eastAsia="仿宋" w:cs="仿宋"/>
                <w:b/>
                <w:bCs/>
                <w:kern w:val="0"/>
                <w:sz w:val="18"/>
                <w:szCs w:val="18"/>
                <w:lang w:val="en-US" w:eastAsia="zh-CN"/>
              </w:rPr>
            </w:pPr>
            <w:r>
              <w:rPr>
                <w:rFonts w:hint="eastAsia" w:ascii="仿宋" w:hAnsi="仿宋" w:eastAsia="仿宋" w:cs="仿宋"/>
                <w:b/>
                <w:bCs/>
                <w:kern w:val="0"/>
                <w:sz w:val="18"/>
                <w:szCs w:val="18"/>
                <w:lang w:val="en-US" w:eastAsia="zh-CN"/>
              </w:rPr>
              <w:t>2,292.93</w:t>
            </w:r>
          </w:p>
        </w:tc>
        <w:tc>
          <w:tcPr>
            <w:tcW w:w="3216" w:type="pct"/>
            <w:tcBorders>
              <w:tl2br w:val="nil"/>
              <w:tr2bl w:val="nil"/>
            </w:tcBorders>
            <w:vAlign w:val="center"/>
          </w:tcPr>
          <w:p>
            <w:pPr>
              <w:keepNext w:val="0"/>
              <w:keepLines w:val="0"/>
              <w:widowControl w:val="0"/>
              <w:suppressLineNumbers w:val="0"/>
              <w:spacing w:before="0" w:beforeAutospacing="0" w:after="0" w:afterAutospacing="0" w:line="240" w:lineRule="auto"/>
              <w:ind w:left="0" w:right="0"/>
              <w:jc w:val="center"/>
              <w:textAlignment w:val="auto"/>
              <w:rPr>
                <w:rFonts w:hint="eastAsia" w:ascii="仿宋" w:hAnsi="仿宋" w:eastAsia="仿宋" w:cs="仿宋"/>
                <w:b/>
                <w:bCs/>
                <w:kern w:val="0"/>
                <w:sz w:val="18"/>
                <w:szCs w:val="18"/>
                <w:lang w:val="en-US" w:eastAsia="zh-CN"/>
              </w:rPr>
            </w:pPr>
            <w:r>
              <w:rPr>
                <w:rFonts w:hint="eastAsia" w:ascii="仿宋" w:hAnsi="仿宋" w:eastAsia="仿宋" w:cs="仿宋"/>
                <w:b/>
                <w:bCs/>
                <w:kern w:val="0"/>
                <w:sz w:val="18"/>
                <w:szCs w:val="18"/>
                <w:lang w:val="en-US" w:eastAsia="zh-CN"/>
              </w:rPr>
              <w:t>注：预期还将发生清算组报酬、交通费、快递费、公司注销费用、</w:t>
            </w:r>
            <w:r>
              <w:rPr>
                <w:rStyle w:val="9"/>
                <w:rFonts w:hint="eastAsia" w:ascii="仿宋" w:hAnsi="仿宋" w:eastAsia="仿宋" w:cs="仿宋"/>
                <w:b/>
                <w:bCs/>
                <w:kern w:val="0"/>
                <w:sz w:val="18"/>
                <w:szCs w:val="18"/>
                <w:lang w:val="en-US" w:eastAsia="zh-CN"/>
              </w:rPr>
              <w:t>清算组期间费用审计费</w:t>
            </w:r>
            <w:r>
              <w:rPr>
                <w:rFonts w:hint="eastAsia" w:ascii="仿宋" w:hAnsi="仿宋" w:eastAsia="仿宋" w:cs="仿宋"/>
                <w:b/>
                <w:bCs/>
                <w:kern w:val="0"/>
                <w:sz w:val="18"/>
                <w:szCs w:val="18"/>
                <w:lang w:val="en-US" w:eastAsia="zh-CN"/>
              </w:rPr>
              <w:t>等，最终以实际发生的为准，该清算费用将优先获得清偿。</w:t>
            </w:r>
          </w:p>
        </w:tc>
      </w:tr>
    </w:tbl>
    <w:p>
      <w:pPr>
        <w:keepNext w:val="0"/>
        <w:keepLines w:val="0"/>
        <w:pageBreakBefore w:val="0"/>
        <w:widowControl/>
        <w:kinsoku/>
        <w:overflowPunct/>
        <w:topLinePunct w:val="0"/>
        <w:autoSpaceDE/>
        <w:autoSpaceDN/>
        <w:bidi w:val="0"/>
        <w:adjustRightInd/>
        <w:snapToGrid/>
        <w:spacing w:beforeLines="0" w:line="560" w:lineRule="exact"/>
        <w:ind w:firstLine="560" w:firstLineChars="200"/>
        <w:jc w:val="both"/>
        <w:textAlignment w:val="baseline"/>
        <w:rPr>
          <w:rStyle w:val="12"/>
          <w:rFonts w:hint="default" w:ascii="仿宋" w:hAnsi="仿宋" w:eastAsia="仿宋" w:cs="仿宋"/>
          <w:sz w:val="28"/>
          <w:szCs w:val="28"/>
          <w:lang w:val="en-US" w:eastAsia="zh-CN"/>
        </w:rPr>
      </w:pPr>
    </w:p>
    <w:p>
      <w:pPr>
        <w:keepNext w:val="0"/>
        <w:keepLines w:val="0"/>
        <w:pageBreakBefore w:val="0"/>
        <w:widowControl/>
        <w:kinsoku/>
        <w:overflowPunct/>
        <w:topLinePunct w:val="0"/>
        <w:autoSpaceDE/>
        <w:autoSpaceDN/>
        <w:bidi w:val="0"/>
        <w:adjustRightInd/>
        <w:snapToGrid/>
        <w:spacing w:beforeLines="0" w:line="560" w:lineRule="exact"/>
        <w:ind w:firstLine="562" w:firstLineChars="200"/>
        <w:jc w:val="both"/>
        <w:textAlignment w:val="baseline"/>
        <w:rPr>
          <w:rStyle w:val="12"/>
          <w:rFonts w:hint="eastAsia" w:ascii="仿宋" w:hAnsi="仿宋" w:eastAsia="仿宋" w:cs="仿宋"/>
          <w:b/>
          <w:bCs/>
          <w:kern w:val="2"/>
          <w:sz w:val="28"/>
          <w:szCs w:val="28"/>
          <w:lang w:val="en-US" w:eastAsia="zh-CN" w:bidi="ar-SA"/>
        </w:rPr>
      </w:pPr>
      <w:r>
        <w:rPr>
          <w:rStyle w:val="12"/>
          <w:rFonts w:hint="eastAsia" w:ascii="仿宋" w:hAnsi="仿宋" w:eastAsia="仿宋" w:cs="仿宋"/>
          <w:b/>
          <w:bCs/>
          <w:kern w:val="2"/>
          <w:sz w:val="28"/>
          <w:szCs w:val="28"/>
          <w:lang w:val="en-US" w:eastAsia="zh-CN" w:bidi="ar-SA"/>
        </w:rPr>
        <w:t>第二顺序：职工工资</w:t>
      </w:r>
    </w:p>
    <w:p>
      <w:pPr>
        <w:keepNext w:val="0"/>
        <w:keepLines w:val="0"/>
        <w:pageBreakBefore w:val="0"/>
        <w:widowControl/>
        <w:kinsoku/>
        <w:overflowPunct/>
        <w:topLinePunct w:val="0"/>
        <w:autoSpaceDE/>
        <w:autoSpaceDN/>
        <w:bidi w:val="0"/>
        <w:adjustRightInd/>
        <w:snapToGrid/>
        <w:spacing w:beforeLines="0" w:line="560" w:lineRule="exact"/>
        <w:ind w:firstLine="560" w:firstLineChars="200"/>
        <w:jc w:val="both"/>
        <w:textAlignment w:val="baseline"/>
        <w:rPr>
          <w:rStyle w:val="12"/>
          <w:rFonts w:hint="eastAsia" w:ascii="仿宋" w:hAnsi="仿宋" w:eastAsia="仿宋" w:cs="仿宋"/>
          <w:kern w:val="2"/>
          <w:sz w:val="28"/>
          <w:szCs w:val="28"/>
          <w:lang w:val="en-US" w:eastAsia="zh-CN" w:bidi="ar-SA"/>
        </w:rPr>
      </w:pPr>
      <w:r>
        <w:rPr>
          <w:rStyle w:val="12"/>
          <w:rFonts w:hint="eastAsia" w:ascii="仿宋" w:hAnsi="仿宋" w:eastAsia="仿宋" w:cs="仿宋"/>
          <w:kern w:val="2"/>
          <w:sz w:val="28"/>
          <w:szCs w:val="28"/>
          <w:lang w:val="en-US" w:eastAsia="zh-CN" w:bidi="ar-SA"/>
        </w:rPr>
        <w:t>中创金融公司的财产在支付完第一顺序的清算费用后，如仍有剩余的将支付陈恒等8位职工的工资，总金额为人民币58,270.64元。如不足以支付职工工资的，</w:t>
      </w:r>
      <w:r>
        <w:rPr>
          <w:rFonts w:hint="eastAsia" w:ascii="仿宋" w:hAnsi="仿宋" w:eastAsia="仿宋" w:cs="仿宋"/>
          <w:color w:val="auto"/>
          <w:sz w:val="28"/>
          <w:szCs w:val="28"/>
          <w:highlight w:val="none"/>
          <w:lang w:val="en-US" w:eastAsia="zh-CN" w:bidi="ar"/>
        </w:rPr>
        <w:t>则按照比例支付</w:t>
      </w:r>
      <w:r>
        <w:rPr>
          <w:rStyle w:val="12"/>
          <w:rFonts w:hint="eastAsia" w:ascii="仿宋" w:hAnsi="仿宋" w:eastAsia="仿宋" w:cs="仿宋"/>
          <w:kern w:val="2"/>
          <w:sz w:val="28"/>
          <w:szCs w:val="28"/>
          <w:lang w:val="en-US" w:eastAsia="zh-CN" w:bidi="ar-SA"/>
        </w:rPr>
        <w:t>。每个职工债权人可分配金额=每个职工债权人参与分配的债权金额×职工工资受偿率（职工工资受偿率=可供分配给职工工资的财产÷参与分配的职工工资金额）。</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954"/>
        <w:gridCol w:w="1870"/>
        <w:gridCol w:w="2320"/>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0" w:type="dxa"/>
            <w:gridSpan w:val="5"/>
            <w:shd w:val="clear" w:color="auto" w:fill="D7D7D7" w:themeFill="background1" w:themeFillShade="D8"/>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职工工资分配表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shd w:val="clear" w:color="auto" w:fill="D7D7D7" w:themeFill="background1" w:themeFillShade="D8"/>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序号</w:t>
            </w:r>
          </w:p>
        </w:tc>
        <w:tc>
          <w:tcPr>
            <w:tcW w:w="1954" w:type="dxa"/>
            <w:shd w:val="clear" w:color="auto" w:fill="D7D7D7" w:themeFill="background1" w:themeFillShade="D8"/>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职工姓名</w:t>
            </w:r>
          </w:p>
        </w:tc>
        <w:tc>
          <w:tcPr>
            <w:tcW w:w="1870" w:type="dxa"/>
            <w:shd w:val="clear" w:color="auto" w:fill="D7D7D7" w:themeFill="background1" w:themeFillShade="D8"/>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参与分配的金额</w:t>
            </w:r>
          </w:p>
        </w:tc>
        <w:tc>
          <w:tcPr>
            <w:tcW w:w="2320" w:type="dxa"/>
            <w:shd w:val="clear" w:color="auto" w:fill="D7D7D7" w:themeFill="background1" w:themeFillShade="D8"/>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工资可分配金额</w:t>
            </w:r>
          </w:p>
        </w:tc>
        <w:tc>
          <w:tcPr>
            <w:tcW w:w="1622" w:type="dxa"/>
            <w:shd w:val="clear" w:color="auto" w:fill="D7D7D7" w:themeFill="background1" w:themeFillShade="D8"/>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受偿率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1</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陈恒</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10,181.00</w:t>
            </w:r>
          </w:p>
        </w:tc>
        <w:tc>
          <w:tcPr>
            <w:tcW w:w="232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10,181.00×受偿率</w:t>
            </w:r>
          </w:p>
        </w:tc>
        <w:tc>
          <w:tcPr>
            <w:tcW w:w="1622" w:type="dxa"/>
            <w:vMerge w:val="restart"/>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可供分配给职工工资的财产÷</w:t>
            </w:r>
            <w:r>
              <w:rPr>
                <w:rFonts w:hint="eastAsia" w:ascii="仿宋" w:hAnsi="仿宋" w:eastAsia="仿宋" w:cs="仿宋"/>
                <w:i w:val="0"/>
                <w:iCs w:val="0"/>
                <w:color w:val="000000"/>
                <w:kern w:val="0"/>
                <w:sz w:val="21"/>
                <w:szCs w:val="21"/>
                <w:highlight w:val="none"/>
                <w:u w:val="none"/>
                <w:shd w:val="clear" w:color="auto" w:fill="auto"/>
                <w:lang w:val="en-US" w:eastAsia="zh-CN" w:bidi="ar"/>
              </w:rPr>
              <w:t>58</w:t>
            </w:r>
            <w:r>
              <w:rPr>
                <w:rFonts w:hint="eastAsia" w:ascii="仿宋" w:hAnsi="仿宋" w:eastAsia="仿宋" w:cs="仿宋"/>
                <w:i w:val="0"/>
                <w:color w:val="000000"/>
                <w:kern w:val="0"/>
                <w:sz w:val="21"/>
                <w:szCs w:val="21"/>
                <w:highlight w:val="none"/>
                <w:u w:val="none"/>
                <w:shd w:val="clear" w:color="auto" w:fill="auto"/>
                <w:lang w:val="en-US" w:eastAsia="zh-CN" w:bidi="ar"/>
              </w:rPr>
              <w:t>,</w:t>
            </w:r>
            <w:r>
              <w:rPr>
                <w:rFonts w:hint="eastAsia" w:ascii="仿宋" w:hAnsi="仿宋" w:eastAsia="仿宋" w:cs="仿宋"/>
                <w:i w:val="0"/>
                <w:iCs w:val="0"/>
                <w:color w:val="000000"/>
                <w:kern w:val="0"/>
                <w:sz w:val="21"/>
                <w:szCs w:val="21"/>
                <w:highlight w:val="none"/>
                <w:u w:val="none"/>
                <w:shd w:val="clear" w:color="auto" w:fill="auto"/>
                <w:lang w:val="en-US" w:eastAsia="zh-CN" w:bidi="ar"/>
              </w:rPr>
              <w:t>270.64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2</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谢华</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8,162.80</w:t>
            </w:r>
          </w:p>
        </w:tc>
        <w:tc>
          <w:tcPr>
            <w:tcW w:w="232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8,162.80×受偿率</w:t>
            </w:r>
          </w:p>
        </w:tc>
        <w:tc>
          <w:tcPr>
            <w:tcW w:w="1622" w:type="dxa"/>
            <w:vMerge w:val="continue"/>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3</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杨雁真</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10,218.39</w:t>
            </w:r>
          </w:p>
        </w:tc>
        <w:tc>
          <w:tcPr>
            <w:tcW w:w="232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10,218.39×受偿率</w:t>
            </w:r>
          </w:p>
        </w:tc>
        <w:tc>
          <w:tcPr>
            <w:tcW w:w="1622" w:type="dxa"/>
            <w:vMerge w:val="continue"/>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4</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吴海燕</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4,805.00</w:t>
            </w:r>
          </w:p>
        </w:tc>
        <w:tc>
          <w:tcPr>
            <w:tcW w:w="232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4,805.00×受偿率</w:t>
            </w:r>
          </w:p>
        </w:tc>
        <w:tc>
          <w:tcPr>
            <w:tcW w:w="1622" w:type="dxa"/>
            <w:vMerge w:val="continue"/>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5</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陈浪</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2,400.00</w:t>
            </w:r>
          </w:p>
        </w:tc>
        <w:tc>
          <w:tcPr>
            <w:tcW w:w="232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2,400.00×受偿率</w:t>
            </w:r>
          </w:p>
        </w:tc>
        <w:tc>
          <w:tcPr>
            <w:tcW w:w="1622" w:type="dxa"/>
            <w:vMerge w:val="continue"/>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6</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梁建标</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8,500.00</w:t>
            </w:r>
          </w:p>
        </w:tc>
        <w:tc>
          <w:tcPr>
            <w:tcW w:w="232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8,500.00×受偿率</w:t>
            </w:r>
          </w:p>
        </w:tc>
        <w:tc>
          <w:tcPr>
            <w:tcW w:w="1622" w:type="dxa"/>
            <w:vMerge w:val="continue"/>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7</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邹粤红</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7,434.48</w:t>
            </w:r>
          </w:p>
        </w:tc>
        <w:tc>
          <w:tcPr>
            <w:tcW w:w="232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7,434.48×受偿率</w:t>
            </w:r>
          </w:p>
        </w:tc>
        <w:tc>
          <w:tcPr>
            <w:tcW w:w="1622" w:type="dxa"/>
            <w:vMerge w:val="continue"/>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8</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韦贤君</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6,568.97</w:t>
            </w:r>
          </w:p>
        </w:tc>
        <w:tc>
          <w:tcPr>
            <w:tcW w:w="232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6,568.97×受偿率</w:t>
            </w:r>
          </w:p>
        </w:tc>
        <w:tc>
          <w:tcPr>
            <w:tcW w:w="1622" w:type="dxa"/>
            <w:vMerge w:val="continue"/>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708" w:type="dxa"/>
            <w:gridSpan w:val="2"/>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总计</w:t>
            </w:r>
          </w:p>
        </w:tc>
        <w:tc>
          <w:tcPr>
            <w:tcW w:w="1870" w:type="dxa"/>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i w:val="0"/>
                <w:iCs w:val="0"/>
                <w:color w:val="000000"/>
                <w:kern w:val="0"/>
                <w:sz w:val="21"/>
                <w:szCs w:val="21"/>
                <w:highlight w:val="none"/>
                <w:u w:val="none"/>
                <w:shd w:val="clear" w:color="auto" w:fill="auto"/>
                <w:lang w:val="en-US" w:eastAsia="zh-CN" w:bidi="ar"/>
              </w:rPr>
            </w:pPr>
            <w:r>
              <w:rPr>
                <w:rFonts w:hint="eastAsia" w:ascii="仿宋" w:hAnsi="仿宋" w:eastAsia="仿宋" w:cs="仿宋"/>
                <w:i w:val="0"/>
                <w:iCs w:val="0"/>
                <w:color w:val="000000"/>
                <w:kern w:val="0"/>
                <w:sz w:val="21"/>
                <w:szCs w:val="21"/>
                <w:highlight w:val="none"/>
                <w:u w:val="none"/>
                <w:shd w:val="clear" w:color="auto" w:fill="auto"/>
                <w:lang w:val="en-US" w:eastAsia="zh-CN" w:bidi="ar"/>
              </w:rPr>
              <w:t>58</w:t>
            </w:r>
            <w:r>
              <w:rPr>
                <w:rFonts w:hint="eastAsia" w:ascii="仿宋" w:hAnsi="仿宋" w:eastAsia="仿宋" w:cs="仿宋"/>
                <w:i w:val="0"/>
                <w:color w:val="000000"/>
                <w:kern w:val="0"/>
                <w:sz w:val="21"/>
                <w:szCs w:val="21"/>
                <w:highlight w:val="none"/>
                <w:u w:val="none"/>
                <w:shd w:val="clear" w:color="auto" w:fill="auto"/>
                <w:lang w:val="en-US" w:eastAsia="zh-CN" w:bidi="ar"/>
              </w:rPr>
              <w:t>,</w:t>
            </w:r>
            <w:r>
              <w:rPr>
                <w:rFonts w:hint="eastAsia" w:ascii="仿宋" w:hAnsi="仿宋" w:eastAsia="仿宋" w:cs="仿宋"/>
                <w:i w:val="0"/>
                <w:iCs w:val="0"/>
                <w:color w:val="000000"/>
                <w:kern w:val="0"/>
                <w:sz w:val="21"/>
                <w:szCs w:val="21"/>
                <w:highlight w:val="none"/>
                <w:u w:val="none"/>
                <w:shd w:val="clear" w:color="auto" w:fill="auto"/>
                <w:lang w:val="en-US" w:eastAsia="zh-CN" w:bidi="ar"/>
              </w:rPr>
              <w:t>270.64</w:t>
            </w:r>
          </w:p>
        </w:tc>
        <w:tc>
          <w:tcPr>
            <w:tcW w:w="2320" w:type="dxa"/>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iCs w:val="0"/>
                <w:color w:val="000000"/>
                <w:kern w:val="0"/>
                <w:sz w:val="21"/>
                <w:szCs w:val="21"/>
                <w:highlight w:val="none"/>
                <w:u w:val="none"/>
                <w:shd w:val="clear" w:color="auto" w:fill="auto"/>
                <w:lang w:val="en-US" w:eastAsia="zh-CN" w:bidi="ar"/>
              </w:rPr>
              <w:t>58</w:t>
            </w:r>
            <w:r>
              <w:rPr>
                <w:rFonts w:hint="eastAsia" w:ascii="仿宋" w:hAnsi="仿宋" w:eastAsia="仿宋" w:cs="仿宋"/>
                <w:i w:val="0"/>
                <w:color w:val="000000"/>
                <w:kern w:val="0"/>
                <w:sz w:val="21"/>
                <w:szCs w:val="21"/>
                <w:highlight w:val="none"/>
                <w:u w:val="none"/>
                <w:shd w:val="clear" w:color="auto" w:fill="auto"/>
                <w:lang w:val="en-US" w:eastAsia="zh-CN" w:bidi="ar"/>
              </w:rPr>
              <w:t>,</w:t>
            </w:r>
            <w:r>
              <w:rPr>
                <w:rFonts w:hint="eastAsia" w:ascii="仿宋" w:hAnsi="仿宋" w:eastAsia="仿宋" w:cs="仿宋"/>
                <w:i w:val="0"/>
                <w:iCs w:val="0"/>
                <w:color w:val="000000"/>
                <w:kern w:val="0"/>
                <w:sz w:val="21"/>
                <w:szCs w:val="21"/>
                <w:highlight w:val="none"/>
                <w:u w:val="none"/>
                <w:shd w:val="clear" w:color="auto" w:fill="auto"/>
                <w:lang w:val="en-US" w:eastAsia="zh-CN" w:bidi="ar"/>
              </w:rPr>
              <w:t>270.64</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622" w:type="dxa"/>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r>
    </w:tbl>
    <w:p>
      <w:pPr>
        <w:keepNext w:val="0"/>
        <w:keepLines w:val="0"/>
        <w:pageBreakBefore w:val="0"/>
        <w:widowControl/>
        <w:kinsoku/>
        <w:overflowPunct/>
        <w:topLinePunct w:val="0"/>
        <w:autoSpaceDE/>
        <w:autoSpaceDN/>
        <w:bidi w:val="0"/>
        <w:adjustRightInd/>
        <w:snapToGrid/>
        <w:spacing w:beforeLines="0" w:line="560" w:lineRule="exact"/>
        <w:ind w:firstLine="420" w:firstLineChars="200"/>
        <w:jc w:val="right"/>
        <w:textAlignment w:val="baseline"/>
        <w:rPr>
          <w:rStyle w:val="12"/>
          <w:rFonts w:hint="default" w:ascii="仿宋" w:hAnsi="仿宋" w:eastAsia="仿宋" w:cs="仿宋"/>
          <w:b w:val="0"/>
          <w:bCs w:val="0"/>
          <w:kern w:val="2"/>
          <w:sz w:val="21"/>
          <w:szCs w:val="21"/>
          <w:lang w:val="en-US" w:eastAsia="zh-CN" w:bidi="ar-SA"/>
        </w:rPr>
      </w:pPr>
      <w:r>
        <w:rPr>
          <w:rStyle w:val="12"/>
          <w:rFonts w:hint="eastAsia" w:ascii="仿宋" w:hAnsi="仿宋" w:eastAsia="仿宋" w:cs="仿宋"/>
          <w:b w:val="0"/>
          <w:bCs w:val="0"/>
          <w:kern w:val="2"/>
          <w:sz w:val="21"/>
          <w:szCs w:val="21"/>
          <w:lang w:val="en-US" w:eastAsia="zh-CN" w:bidi="ar-SA"/>
        </w:rPr>
        <w:t>单位：人民币/元</w:t>
      </w:r>
    </w:p>
    <w:p>
      <w:pPr>
        <w:keepNext w:val="0"/>
        <w:keepLines w:val="0"/>
        <w:pageBreakBefore w:val="0"/>
        <w:widowControl/>
        <w:kinsoku/>
        <w:overflowPunct/>
        <w:topLinePunct w:val="0"/>
        <w:autoSpaceDE/>
        <w:autoSpaceDN/>
        <w:bidi w:val="0"/>
        <w:adjustRightInd/>
        <w:snapToGrid/>
        <w:spacing w:beforeLines="0" w:line="560" w:lineRule="exact"/>
        <w:ind w:firstLine="562" w:firstLineChars="200"/>
        <w:jc w:val="both"/>
        <w:textAlignment w:val="baseline"/>
        <w:rPr>
          <w:rStyle w:val="12"/>
          <w:rFonts w:hint="default" w:ascii="仿宋" w:hAnsi="仿宋" w:eastAsia="仿宋" w:cs="仿宋"/>
          <w:b/>
          <w:bCs/>
          <w:kern w:val="2"/>
          <w:sz w:val="28"/>
          <w:szCs w:val="28"/>
          <w:lang w:val="en-US" w:eastAsia="zh-CN" w:bidi="ar-SA"/>
        </w:rPr>
      </w:pPr>
      <w:r>
        <w:rPr>
          <w:rStyle w:val="12"/>
          <w:rFonts w:hint="default" w:ascii="仿宋" w:hAnsi="仿宋" w:eastAsia="仿宋" w:cs="仿宋"/>
          <w:b/>
          <w:bCs/>
          <w:kern w:val="2"/>
          <w:sz w:val="28"/>
          <w:szCs w:val="28"/>
          <w:lang w:val="en-US" w:eastAsia="zh-CN" w:bidi="ar-SA"/>
        </w:rPr>
        <w:t>第三顺序</w:t>
      </w:r>
      <w:r>
        <w:rPr>
          <w:rStyle w:val="12"/>
          <w:rFonts w:hint="eastAsia" w:ascii="仿宋" w:hAnsi="仿宋" w:eastAsia="仿宋" w:cs="仿宋"/>
          <w:b/>
          <w:bCs/>
          <w:kern w:val="2"/>
          <w:sz w:val="28"/>
          <w:szCs w:val="28"/>
          <w:lang w:val="en-US" w:eastAsia="zh-CN" w:bidi="ar-SA"/>
        </w:rPr>
        <w:t>：</w:t>
      </w:r>
      <w:r>
        <w:rPr>
          <w:rStyle w:val="12"/>
          <w:rFonts w:hint="default" w:ascii="仿宋" w:hAnsi="仿宋" w:eastAsia="仿宋" w:cs="仿宋"/>
          <w:b/>
          <w:bCs/>
          <w:kern w:val="2"/>
          <w:sz w:val="28"/>
          <w:szCs w:val="28"/>
          <w:lang w:val="en-US" w:eastAsia="zh-CN" w:bidi="ar-SA"/>
        </w:rPr>
        <w:t>社会保险费用</w:t>
      </w:r>
    </w:p>
    <w:p>
      <w:pPr>
        <w:keepNext w:val="0"/>
        <w:keepLines w:val="0"/>
        <w:pageBreakBefore w:val="0"/>
        <w:widowControl/>
        <w:kinsoku/>
        <w:overflowPunct/>
        <w:topLinePunct w:val="0"/>
        <w:autoSpaceDE/>
        <w:autoSpaceDN/>
        <w:bidi w:val="0"/>
        <w:adjustRightInd/>
        <w:snapToGrid/>
        <w:spacing w:beforeLines="0" w:line="560" w:lineRule="exact"/>
        <w:ind w:firstLine="560" w:firstLineChars="200"/>
        <w:jc w:val="both"/>
        <w:textAlignment w:val="baseline"/>
        <w:rPr>
          <w:rStyle w:val="12"/>
          <w:rFonts w:hint="default" w:ascii="仿宋" w:hAnsi="仿宋" w:eastAsia="仿宋" w:cs="仿宋"/>
          <w:kern w:val="2"/>
          <w:sz w:val="28"/>
          <w:szCs w:val="28"/>
          <w:lang w:val="en-US" w:eastAsia="zh-CN" w:bidi="ar-SA"/>
        </w:rPr>
      </w:pPr>
      <w:r>
        <w:rPr>
          <w:rStyle w:val="12"/>
          <w:rFonts w:hint="eastAsia" w:ascii="仿宋" w:hAnsi="仿宋" w:eastAsia="仿宋" w:cs="仿宋"/>
          <w:kern w:val="2"/>
          <w:sz w:val="28"/>
          <w:szCs w:val="28"/>
          <w:lang w:val="en-US" w:eastAsia="zh-CN" w:bidi="ar-SA"/>
        </w:rPr>
        <w:t>中创金融公司的财产在支付完第一顺序的清算费用和第二顺序的职工工资后，如仍有剩余的将支付国家税务总局广州市越秀区税务局1,333.18元社会保险费用。</w:t>
      </w:r>
    </w:p>
    <w:p>
      <w:pPr>
        <w:keepNext w:val="0"/>
        <w:keepLines w:val="0"/>
        <w:pageBreakBefore w:val="0"/>
        <w:widowControl/>
        <w:kinsoku/>
        <w:overflowPunct/>
        <w:topLinePunct w:val="0"/>
        <w:autoSpaceDE/>
        <w:autoSpaceDN/>
        <w:bidi w:val="0"/>
        <w:adjustRightInd/>
        <w:snapToGrid/>
        <w:spacing w:beforeLines="0" w:line="560" w:lineRule="exact"/>
        <w:ind w:firstLine="562" w:firstLineChars="200"/>
        <w:jc w:val="both"/>
        <w:textAlignment w:val="baseline"/>
        <w:rPr>
          <w:rStyle w:val="12"/>
          <w:rFonts w:hint="eastAsia" w:ascii="仿宋" w:hAnsi="仿宋" w:eastAsia="仿宋" w:cs="仿宋"/>
          <w:b/>
          <w:bCs/>
          <w:kern w:val="2"/>
          <w:sz w:val="28"/>
          <w:szCs w:val="28"/>
          <w:lang w:val="en-US" w:eastAsia="zh-CN" w:bidi="ar-SA"/>
        </w:rPr>
      </w:pPr>
      <w:r>
        <w:rPr>
          <w:rStyle w:val="12"/>
          <w:rFonts w:hint="default" w:ascii="仿宋" w:hAnsi="仿宋" w:eastAsia="仿宋" w:cs="仿宋"/>
          <w:b/>
          <w:bCs/>
          <w:kern w:val="2"/>
          <w:sz w:val="28"/>
          <w:szCs w:val="28"/>
          <w:lang w:val="en-US" w:eastAsia="zh-CN" w:bidi="ar-SA"/>
        </w:rPr>
        <w:t>第</w:t>
      </w:r>
      <w:r>
        <w:rPr>
          <w:rStyle w:val="12"/>
          <w:rFonts w:hint="eastAsia" w:ascii="仿宋" w:hAnsi="仿宋" w:eastAsia="仿宋" w:cs="仿宋"/>
          <w:b/>
          <w:bCs/>
          <w:kern w:val="2"/>
          <w:sz w:val="28"/>
          <w:szCs w:val="28"/>
          <w:lang w:val="en-US" w:eastAsia="zh-CN" w:bidi="ar-SA"/>
        </w:rPr>
        <w:t>四</w:t>
      </w:r>
      <w:r>
        <w:rPr>
          <w:rStyle w:val="12"/>
          <w:rFonts w:hint="default" w:ascii="仿宋" w:hAnsi="仿宋" w:eastAsia="仿宋" w:cs="仿宋"/>
          <w:b/>
          <w:bCs/>
          <w:kern w:val="2"/>
          <w:sz w:val="28"/>
          <w:szCs w:val="28"/>
          <w:lang w:val="en-US" w:eastAsia="zh-CN" w:bidi="ar-SA"/>
        </w:rPr>
        <w:t>顺序</w:t>
      </w:r>
      <w:r>
        <w:rPr>
          <w:rStyle w:val="12"/>
          <w:rFonts w:hint="eastAsia" w:ascii="仿宋" w:hAnsi="仿宋" w:eastAsia="仿宋" w:cs="仿宋"/>
          <w:b/>
          <w:bCs/>
          <w:kern w:val="2"/>
          <w:sz w:val="28"/>
          <w:szCs w:val="28"/>
          <w:lang w:val="en-US" w:eastAsia="zh-CN" w:bidi="ar-SA"/>
        </w:rPr>
        <w:t>：补偿金</w:t>
      </w:r>
    </w:p>
    <w:p>
      <w:pPr>
        <w:keepNext w:val="0"/>
        <w:keepLines w:val="0"/>
        <w:pageBreakBefore w:val="0"/>
        <w:widowControl/>
        <w:kinsoku/>
        <w:overflowPunct/>
        <w:topLinePunct w:val="0"/>
        <w:autoSpaceDE/>
        <w:autoSpaceDN/>
        <w:bidi w:val="0"/>
        <w:adjustRightInd/>
        <w:snapToGrid/>
        <w:spacing w:beforeLines="0" w:line="560" w:lineRule="exact"/>
        <w:ind w:firstLine="560" w:firstLineChars="200"/>
        <w:jc w:val="both"/>
        <w:textAlignment w:val="baseline"/>
        <w:rPr>
          <w:rStyle w:val="12"/>
          <w:rFonts w:hint="default" w:ascii="仿宋" w:hAnsi="仿宋" w:eastAsia="仿宋" w:cs="仿宋"/>
          <w:kern w:val="2"/>
          <w:sz w:val="28"/>
          <w:szCs w:val="28"/>
          <w:lang w:val="en-US" w:eastAsia="zh-CN" w:bidi="ar-SA"/>
        </w:rPr>
      </w:pPr>
      <w:r>
        <w:rPr>
          <w:rStyle w:val="12"/>
          <w:rFonts w:hint="eastAsia" w:ascii="仿宋" w:hAnsi="仿宋" w:eastAsia="仿宋" w:cs="仿宋"/>
          <w:kern w:val="2"/>
          <w:sz w:val="28"/>
          <w:szCs w:val="28"/>
          <w:lang w:val="en-US" w:eastAsia="zh-CN" w:bidi="ar-SA"/>
        </w:rPr>
        <w:t>中创金融公司的财产在支付完第一顺序的清算费用、第二顺序的职工工资和第三顺位的社会保险费用后，如仍有剩余的将支付陈恒等4位职工的补偿金合计83,700.00元。如不足以支付补偿金的，</w:t>
      </w:r>
      <w:r>
        <w:rPr>
          <w:rFonts w:hint="eastAsia" w:ascii="仿宋" w:hAnsi="仿宋" w:eastAsia="仿宋" w:cs="仿宋"/>
          <w:color w:val="auto"/>
          <w:sz w:val="28"/>
          <w:szCs w:val="28"/>
          <w:highlight w:val="none"/>
          <w:lang w:val="en-US" w:eastAsia="zh-CN" w:bidi="ar"/>
        </w:rPr>
        <w:t>则按照比例支付</w:t>
      </w:r>
      <w:r>
        <w:rPr>
          <w:rStyle w:val="12"/>
          <w:rFonts w:hint="eastAsia" w:ascii="仿宋" w:hAnsi="仿宋" w:eastAsia="仿宋" w:cs="仿宋"/>
          <w:kern w:val="2"/>
          <w:sz w:val="28"/>
          <w:szCs w:val="28"/>
          <w:lang w:val="en-US" w:eastAsia="zh-CN" w:bidi="ar-SA"/>
        </w:rPr>
        <w:t>。每个职工债权人可分配金额=每个职工债权人参与分配的债权金额×职工补偿金受偿率（职工补偿金受偿率=可供分配给职工补偿金的财产÷参与分配的职工补偿金金额）。</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954"/>
        <w:gridCol w:w="1870"/>
        <w:gridCol w:w="2113"/>
        <w:gridCol w:w="1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0" w:type="dxa"/>
            <w:gridSpan w:val="5"/>
            <w:shd w:val="clear" w:color="auto" w:fill="D7D7D7" w:themeFill="background1" w:themeFillShade="D8"/>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补偿金分配表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序号</w:t>
            </w:r>
          </w:p>
        </w:tc>
        <w:tc>
          <w:tcPr>
            <w:tcW w:w="1954"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职工姓名</w:t>
            </w:r>
          </w:p>
        </w:tc>
        <w:tc>
          <w:tcPr>
            <w:tcW w:w="1870"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参与分配的金额</w:t>
            </w:r>
          </w:p>
        </w:tc>
        <w:tc>
          <w:tcPr>
            <w:tcW w:w="2113"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补偿金可分配金额</w:t>
            </w:r>
          </w:p>
        </w:tc>
        <w:tc>
          <w:tcPr>
            <w:tcW w:w="1829"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受偿率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1</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陈恒</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18"/>
                <w:szCs w:val="18"/>
                <w:highlight w:val="none"/>
                <w:u w:val="none"/>
                <w:shd w:val="clear" w:color="auto" w:fill="auto"/>
                <w:lang w:val="en-US" w:eastAsia="zh-CN" w:bidi="ar"/>
              </w:rPr>
              <w:t>28,000.00</w:t>
            </w:r>
          </w:p>
        </w:tc>
        <w:tc>
          <w:tcPr>
            <w:tcW w:w="2113"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18"/>
                <w:szCs w:val="18"/>
                <w:highlight w:val="none"/>
                <w:u w:val="none"/>
                <w:shd w:val="clear" w:color="auto" w:fill="auto"/>
                <w:lang w:val="en-US" w:eastAsia="zh-CN" w:bidi="ar"/>
              </w:rPr>
              <w:t>28,000.00</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829" w:type="dxa"/>
            <w:vMerge w:val="restart"/>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可供分配给职工补偿金的财产÷</w:t>
            </w:r>
            <w:r>
              <w:rPr>
                <w:rFonts w:hint="eastAsia" w:ascii="仿宋" w:hAnsi="仿宋" w:eastAsia="仿宋" w:cs="仿宋"/>
                <w:i w:val="0"/>
                <w:iCs w:val="0"/>
                <w:color w:val="000000"/>
                <w:kern w:val="0"/>
                <w:sz w:val="18"/>
                <w:szCs w:val="18"/>
                <w:highlight w:val="none"/>
                <w:u w:val="none"/>
                <w:shd w:val="clear" w:color="auto" w:fill="auto"/>
                <w:lang w:val="en-US" w:eastAsia="zh-CN" w:bidi="ar"/>
              </w:rPr>
              <w:t>83</w:t>
            </w:r>
            <w:r>
              <w:rPr>
                <w:rFonts w:hint="eastAsia" w:ascii="仿宋" w:hAnsi="仿宋" w:eastAsia="仿宋" w:cs="仿宋"/>
                <w:i w:val="0"/>
                <w:color w:val="000000"/>
                <w:kern w:val="0"/>
                <w:sz w:val="18"/>
                <w:szCs w:val="18"/>
                <w:highlight w:val="none"/>
                <w:u w:val="none"/>
                <w:shd w:val="clear" w:color="auto" w:fill="auto"/>
                <w:lang w:val="en-US" w:eastAsia="zh-CN" w:bidi="ar"/>
              </w:rPr>
              <w:t>,</w:t>
            </w:r>
            <w:r>
              <w:rPr>
                <w:rFonts w:hint="eastAsia" w:ascii="仿宋" w:hAnsi="仿宋" w:eastAsia="仿宋" w:cs="仿宋"/>
                <w:i w:val="0"/>
                <w:iCs w:val="0"/>
                <w:color w:val="000000"/>
                <w:kern w:val="0"/>
                <w:sz w:val="18"/>
                <w:szCs w:val="18"/>
                <w:highlight w:val="none"/>
                <w:u w:val="none"/>
                <w:shd w:val="clear" w:color="auto" w:fill="auto"/>
                <w:lang w:val="en-US" w:eastAsia="zh-CN" w:bidi="ar"/>
              </w:rPr>
              <w:t>700</w:t>
            </w:r>
            <w:r>
              <w:rPr>
                <w:rFonts w:hint="eastAsia" w:ascii="仿宋" w:hAnsi="仿宋" w:eastAsia="仿宋" w:cs="仿宋"/>
                <w:i w:val="0"/>
                <w:color w:val="000000"/>
                <w:kern w:val="0"/>
                <w:sz w:val="18"/>
                <w:szCs w:val="18"/>
                <w:highlight w:val="none"/>
                <w:u w:val="none"/>
                <w:shd w:val="clear" w:color="auto" w:fill="auto"/>
                <w:lang w:val="en-US" w:eastAsia="zh-CN"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2</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谢华</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18"/>
                <w:szCs w:val="18"/>
                <w:highlight w:val="none"/>
                <w:u w:val="none"/>
                <w:shd w:val="clear" w:color="auto" w:fill="auto"/>
                <w:lang w:val="en-US" w:eastAsia="zh-CN" w:bidi="ar"/>
              </w:rPr>
              <w:t>22,400.00</w:t>
            </w:r>
          </w:p>
        </w:tc>
        <w:tc>
          <w:tcPr>
            <w:tcW w:w="2113"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18"/>
                <w:szCs w:val="18"/>
                <w:highlight w:val="none"/>
                <w:u w:val="none"/>
                <w:shd w:val="clear" w:color="auto" w:fill="auto"/>
                <w:lang w:val="en-US" w:eastAsia="zh-CN" w:bidi="ar"/>
              </w:rPr>
              <w:t>22,400.00</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829" w:type="dxa"/>
            <w:vMerge w:val="continue"/>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3</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杨雁真</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18"/>
                <w:szCs w:val="18"/>
                <w:highlight w:val="none"/>
                <w:u w:val="none"/>
                <w:shd w:val="clear" w:color="auto" w:fill="auto"/>
                <w:lang w:val="en-US" w:eastAsia="zh-CN" w:bidi="ar"/>
              </w:rPr>
              <w:t>28,000.00</w:t>
            </w:r>
          </w:p>
        </w:tc>
        <w:tc>
          <w:tcPr>
            <w:tcW w:w="2113"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18"/>
                <w:szCs w:val="18"/>
                <w:highlight w:val="none"/>
                <w:u w:val="none"/>
                <w:shd w:val="clear" w:color="auto" w:fill="auto"/>
                <w:lang w:val="en-US" w:eastAsia="zh-CN" w:bidi="ar"/>
              </w:rPr>
              <w:t>28,000.00</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829" w:type="dxa"/>
            <w:vMerge w:val="continue"/>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4</w:t>
            </w:r>
          </w:p>
        </w:tc>
        <w:tc>
          <w:tcPr>
            <w:tcW w:w="19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韦贤君</w:t>
            </w:r>
          </w:p>
        </w:tc>
        <w:tc>
          <w:tcPr>
            <w:tcW w:w="1870"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5</w:t>
            </w:r>
            <w:r>
              <w:rPr>
                <w:rFonts w:hint="eastAsia" w:ascii="仿宋" w:hAnsi="仿宋" w:eastAsia="仿宋" w:cs="仿宋"/>
                <w:i w:val="0"/>
                <w:color w:val="000000"/>
                <w:kern w:val="0"/>
                <w:sz w:val="18"/>
                <w:szCs w:val="18"/>
                <w:highlight w:val="none"/>
                <w:u w:val="none"/>
                <w:shd w:val="clear" w:color="auto" w:fill="auto"/>
                <w:lang w:val="en-US" w:eastAsia="zh-CN" w:bidi="ar"/>
              </w:rPr>
              <w:t>,</w:t>
            </w:r>
            <w:r>
              <w:rPr>
                <w:rFonts w:hint="eastAsia" w:ascii="仿宋" w:hAnsi="仿宋" w:eastAsia="仿宋" w:cs="仿宋"/>
                <w:color w:val="000000"/>
                <w:kern w:val="0"/>
                <w:sz w:val="21"/>
                <w:szCs w:val="21"/>
                <w:highlight w:val="none"/>
                <w:u w:val="none"/>
                <w:shd w:val="clear" w:color="auto" w:fill="auto"/>
                <w:vertAlign w:val="baseline"/>
                <w:lang w:val="en-US" w:eastAsia="zh-CN" w:bidi="ar"/>
              </w:rPr>
              <w:t>300</w:t>
            </w:r>
            <w:r>
              <w:rPr>
                <w:rFonts w:hint="eastAsia" w:ascii="仿宋" w:hAnsi="仿宋" w:eastAsia="仿宋" w:cs="仿宋"/>
                <w:i w:val="0"/>
                <w:color w:val="000000"/>
                <w:kern w:val="0"/>
                <w:sz w:val="18"/>
                <w:szCs w:val="18"/>
                <w:highlight w:val="none"/>
                <w:u w:val="none"/>
                <w:shd w:val="clear" w:color="auto" w:fill="auto"/>
                <w:lang w:val="en-US" w:eastAsia="zh-CN" w:bidi="ar"/>
              </w:rPr>
              <w:t>.00</w:t>
            </w:r>
          </w:p>
        </w:tc>
        <w:tc>
          <w:tcPr>
            <w:tcW w:w="2113"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5</w:t>
            </w:r>
            <w:r>
              <w:rPr>
                <w:rFonts w:hint="eastAsia" w:ascii="仿宋" w:hAnsi="仿宋" w:eastAsia="仿宋" w:cs="仿宋"/>
                <w:i w:val="0"/>
                <w:color w:val="000000"/>
                <w:kern w:val="0"/>
                <w:sz w:val="18"/>
                <w:szCs w:val="18"/>
                <w:highlight w:val="none"/>
                <w:u w:val="none"/>
                <w:shd w:val="clear" w:color="auto" w:fill="auto"/>
                <w:lang w:val="en-US" w:eastAsia="zh-CN" w:bidi="ar"/>
              </w:rPr>
              <w:t>,</w:t>
            </w:r>
            <w:r>
              <w:rPr>
                <w:rFonts w:hint="eastAsia" w:ascii="仿宋" w:hAnsi="仿宋" w:eastAsia="仿宋" w:cs="仿宋"/>
                <w:color w:val="000000"/>
                <w:kern w:val="0"/>
                <w:sz w:val="21"/>
                <w:szCs w:val="21"/>
                <w:highlight w:val="none"/>
                <w:u w:val="none"/>
                <w:shd w:val="clear" w:color="auto" w:fill="auto"/>
                <w:vertAlign w:val="baseline"/>
                <w:lang w:val="en-US" w:eastAsia="zh-CN" w:bidi="ar"/>
              </w:rPr>
              <w:t>300</w:t>
            </w:r>
            <w:r>
              <w:rPr>
                <w:rFonts w:hint="eastAsia" w:ascii="仿宋" w:hAnsi="仿宋" w:eastAsia="仿宋" w:cs="仿宋"/>
                <w:i w:val="0"/>
                <w:color w:val="000000"/>
                <w:kern w:val="0"/>
                <w:sz w:val="18"/>
                <w:szCs w:val="18"/>
                <w:highlight w:val="none"/>
                <w:u w:val="none"/>
                <w:shd w:val="clear" w:color="auto" w:fill="auto"/>
                <w:lang w:val="en-US" w:eastAsia="zh-CN" w:bidi="ar"/>
              </w:rPr>
              <w:t>.00</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829" w:type="dxa"/>
            <w:vMerge w:val="continue"/>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708" w:type="dxa"/>
            <w:gridSpan w:val="2"/>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总计</w:t>
            </w:r>
          </w:p>
        </w:tc>
        <w:tc>
          <w:tcPr>
            <w:tcW w:w="1870" w:type="dxa"/>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仿宋" w:hAnsi="仿宋" w:eastAsia="仿宋" w:cs="仿宋"/>
                <w:i w:val="0"/>
                <w:iCs w:val="0"/>
                <w:color w:val="000000"/>
                <w:kern w:val="0"/>
                <w:sz w:val="18"/>
                <w:szCs w:val="18"/>
                <w:highlight w:val="none"/>
                <w:u w:val="none"/>
                <w:shd w:val="clear" w:color="auto" w:fill="auto"/>
                <w:lang w:val="en-US" w:eastAsia="zh-CN" w:bidi="ar"/>
              </w:rPr>
              <w:t>83</w:t>
            </w:r>
            <w:r>
              <w:rPr>
                <w:rFonts w:hint="eastAsia" w:ascii="仿宋" w:hAnsi="仿宋" w:eastAsia="仿宋" w:cs="仿宋"/>
                <w:i w:val="0"/>
                <w:color w:val="000000"/>
                <w:kern w:val="0"/>
                <w:sz w:val="18"/>
                <w:szCs w:val="18"/>
                <w:highlight w:val="none"/>
                <w:u w:val="none"/>
                <w:shd w:val="clear" w:color="auto" w:fill="auto"/>
                <w:lang w:val="en-US" w:eastAsia="zh-CN" w:bidi="ar"/>
              </w:rPr>
              <w:t>,</w:t>
            </w:r>
            <w:r>
              <w:rPr>
                <w:rFonts w:hint="eastAsia" w:ascii="仿宋" w:hAnsi="仿宋" w:eastAsia="仿宋" w:cs="仿宋"/>
                <w:i w:val="0"/>
                <w:iCs w:val="0"/>
                <w:color w:val="000000"/>
                <w:kern w:val="0"/>
                <w:sz w:val="18"/>
                <w:szCs w:val="18"/>
                <w:highlight w:val="none"/>
                <w:u w:val="none"/>
                <w:shd w:val="clear" w:color="auto" w:fill="auto"/>
                <w:lang w:val="en-US" w:eastAsia="zh-CN" w:bidi="ar"/>
              </w:rPr>
              <w:t>700</w:t>
            </w:r>
            <w:r>
              <w:rPr>
                <w:rFonts w:hint="eastAsia" w:ascii="仿宋" w:hAnsi="仿宋" w:eastAsia="仿宋" w:cs="仿宋"/>
                <w:i w:val="0"/>
                <w:color w:val="000000"/>
                <w:kern w:val="0"/>
                <w:sz w:val="18"/>
                <w:szCs w:val="18"/>
                <w:highlight w:val="none"/>
                <w:u w:val="none"/>
                <w:shd w:val="clear" w:color="auto" w:fill="auto"/>
                <w:lang w:val="en-US" w:eastAsia="zh-CN" w:bidi="ar"/>
              </w:rPr>
              <w:t>.00</w:t>
            </w:r>
          </w:p>
        </w:tc>
        <w:tc>
          <w:tcPr>
            <w:tcW w:w="2113" w:type="dxa"/>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iCs w:val="0"/>
                <w:color w:val="000000"/>
                <w:kern w:val="0"/>
                <w:sz w:val="18"/>
                <w:szCs w:val="18"/>
                <w:highlight w:val="none"/>
                <w:u w:val="none"/>
                <w:shd w:val="clear" w:color="auto" w:fill="auto"/>
                <w:lang w:val="en-US" w:eastAsia="zh-CN" w:bidi="ar"/>
              </w:rPr>
              <w:t>83</w:t>
            </w:r>
            <w:r>
              <w:rPr>
                <w:rFonts w:hint="eastAsia" w:ascii="仿宋" w:hAnsi="仿宋" w:eastAsia="仿宋" w:cs="仿宋"/>
                <w:i w:val="0"/>
                <w:color w:val="000000"/>
                <w:kern w:val="0"/>
                <w:sz w:val="18"/>
                <w:szCs w:val="18"/>
                <w:highlight w:val="none"/>
                <w:u w:val="none"/>
                <w:shd w:val="clear" w:color="auto" w:fill="auto"/>
                <w:lang w:val="en-US" w:eastAsia="zh-CN" w:bidi="ar"/>
              </w:rPr>
              <w:t>,</w:t>
            </w:r>
            <w:r>
              <w:rPr>
                <w:rFonts w:hint="eastAsia" w:ascii="仿宋" w:hAnsi="仿宋" w:eastAsia="仿宋" w:cs="仿宋"/>
                <w:i w:val="0"/>
                <w:iCs w:val="0"/>
                <w:color w:val="000000"/>
                <w:kern w:val="0"/>
                <w:sz w:val="18"/>
                <w:szCs w:val="18"/>
                <w:highlight w:val="none"/>
                <w:u w:val="none"/>
                <w:shd w:val="clear" w:color="auto" w:fill="auto"/>
                <w:lang w:val="en-US" w:eastAsia="zh-CN" w:bidi="ar"/>
              </w:rPr>
              <w:t>700</w:t>
            </w:r>
            <w:r>
              <w:rPr>
                <w:rFonts w:hint="eastAsia" w:ascii="仿宋" w:hAnsi="仿宋" w:eastAsia="仿宋" w:cs="仿宋"/>
                <w:i w:val="0"/>
                <w:color w:val="000000"/>
                <w:kern w:val="0"/>
                <w:sz w:val="18"/>
                <w:szCs w:val="18"/>
                <w:highlight w:val="none"/>
                <w:u w:val="none"/>
                <w:shd w:val="clear" w:color="auto" w:fill="auto"/>
                <w:lang w:val="en-US" w:eastAsia="zh-CN" w:bidi="ar"/>
              </w:rPr>
              <w:t>.00</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829" w:type="dxa"/>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r>
    </w:tbl>
    <w:p>
      <w:pPr>
        <w:keepNext w:val="0"/>
        <w:keepLines w:val="0"/>
        <w:pageBreakBefore w:val="0"/>
        <w:widowControl/>
        <w:kinsoku/>
        <w:overflowPunct/>
        <w:topLinePunct w:val="0"/>
        <w:autoSpaceDE/>
        <w:autoSpaceDN/>
        <w:bidi w:val="0"/>
        <w:adjustRightInd/>
        <w:snapToGrid/>
        <w:spacing w:beforeLines="0" w:line="560" w:lineRule="exact"/>
        <w:ind w:firstLine="420" w:firstLineChars="200"/>
        <w:jc w:val="right"/>
        <w:textAlignment w:val="baseline"/>
        <w:rPr>
          <w:rStyle w:val="12"/>
          <w:rFonts w:hint="default" w:ascii="仿宋" w:hAnsi="仿宋" w:eastAsia="仿宋" w:cs="仿宋"/>
          <w:b/>
          <w:bCs/>
          <w:kern w:val="2"/>
          <w:sz w:val="28"/>
          <w:szCs w:val="28"/>
          <w:lang w:val="en-US" w:eastAsia="zh-CN" w:bidi="ar-SA"/>
        </w:rPr>
      </w:pPr>
      <w:r>
        <w:rPr>
          <w:rStyle w:val="12"/>
          <w:rFonts w:hint="eastAsia" w:ascii="仿宋" w:hAnsi="仿宋" w:eastAsia="仿宋" w:cs="仿宋"/>
          <w:b w:val="0"/>
          <w:bCs w:val="0"/>
          <w:kern w:val="2"/>
          <w:sz w:val="21"/>
          <w:szCs w:val="21"/>
          <w:lang w:val="en-US" w:eastAsia="zh-CN" w:bidi="ar-SA"/>
        </w:rPr>
        <w:t>单位：人民币/元</w:t>
      </w:r>
    </w:p>
    <w:p>
      <w:pPr>
        <w:keepNext w:val="0"/>
        <w:keepLines w:val="0"/>
        <w:pageBreakBefore w:val="0"/>
        <w:widowControl/>
        <w:kinsoku/>
        <w:overflowPunct/>
        <w:topLinePunct w:val="0"/>
        <w:autoSpaceDE/>
        <w:autoSpaceDN/>
        <w:bidi w:val="0"/>
        <w:adjustRightInd/>
        <w:snapToGrid/>
        <w:spacing w:beforeLines="0" w:line="560" w:lineRule="exact"/>
        <w:ind w:firstLine="562" w:firstLineChars="200"/>
        <w:jc w:val="both"/>
        <w:textAlignment w:val="baseline"/>
        <w:rPr>
          <w:rStyle w:val="12"/>
          <w:rFonts w:hint="default" w:ascii="仿宋" w:hAnsi="仿宋" w:eastAsia="仿宋" w:cs="仿宋"/>
          <w:b/>
          <w:bCs/>
          <w:kern w:val="2"/>
          <w:sz w:val="28"/>
          <w:szCs w:val="28"/>
          <w:lang w:val="en-US" w:eastAsia="zh-CN" w:bidi="ar-SA"/>
        </w:rPr>
      </w:pPr>
      <w:r>
        <w:rPr>
          <w:rStyle w:val="12"/>
          <w:rFonts w:hint="default" w:ascii="仿宋" w:hAnsi="仿宋" w:eastAsia="仿宋" w:cs="仿宋"/>
          <w:b/>
          <w:bCs/>
          <w:kern w:val="2"/>
          <w:sz w:val="28"/>
          <w:szCs w:val="28"/>
          <w:lang w:val="en-US" w:eastAsia="zh-CN" w:bidi="ar-SA"/>
        </w:rPr>
        <w:t>第</w:t>
      </w:r>
      <w:r>
        <w:rPr>
          <w:rStyle w:val="12"/>
          <w:rFonts w:hint="eastAsia" w:ascii="仿宋" w:hAnsi="仿宋" w:eastAsia="仿宋" w:cs="仿宋"/>
          <w:b/>
          <w:bCs/>
          <w:kern w:val="2"/>
          <w:sz w:val="28"/>
          <w:szCs w:val="28"/>
          <w:lang w:val="en-US" w:eastAsia="zh-CN" w:bidi="ar-SA"/>
        </w:rPr>
        <w:t>五</w:t>
      </w:r>
      <w:r>
        <w:rPr>
          <w:rStyle w:val="12"/>
          <w:rFonts w:hint="default" w:ascii="仿宋" w:hAnsi="仿宋" w:eastAsia="仿宋" w:cs="仿宋"/>
          <w:b/>
          <w:bCs/>
          <w:kern w:val="2"/>
          <w:sz w:val="28"/>
          <w:szCs w:val="28"/>
          <w:lang w:val="en-US" w:eastAsia="zh-CN" w:bidi="ar-SA"/>
        </w:rPr>
        <w:t>顺序：</w:t>
      </w:r>
      <w:r>
        <w:rPr>
          <w:rStyle w:val="12"/>
          <w:rFonts w:hint="eastAsia" w:ascii="仿宋" w:hAnsi="仿宋" w:eastAsia="仿宋" w:cs="仿宋"/>
          <w:b/>
          <w:bCs/>
          <w:kern w:val="2"/>
          <w:sz w:val="28"/>
          <w:szCs w:val="28"/>
          <w:lang w:val="en-US" w:eastAsia="zh-CN" w:bidi="ar-SA"/>
        </w:rPr>
        <w:t>公司债务（普通债权）</w:t>
      </w:r>
    </w:p>
    <w:p>
      <w:pPr>
        <w:keepNext w:val="0"/>
        <w:keepLines w:val="0"/>
        <w:pageBreakBefore w:val="0"/>
        <w:widowControl/>
        <w:kinsoku/>
        <w:overflowPunct/>
        <w:topLinePunct w:val="0"/>
        <w:autoSpaceDE/>
        <w:autoSpaceDN/>
        <w:bidi w:val="0"/>
        <w:adjustRightInd/>
        <w:snapToGrid/>
        <w:spacing w:beforeLines="0" w:line="560" w:lineRule="exact"/>
        <w:ind w:firstLine="560" w:firstLineChars="200"/>
        <w:jc w:val="both"/>
        <w:textAlignment w:val="baseline"/>
        <w:rPr>
          <w:rStyle w:val="12"/>
          <w:rFonts w:hint="eastAsia" w:ascii="仿宋" w:hAnsi="仿宋" w:eastAsia="仿宋" w:cs="仿宋"/>
          <w:b w:val="0"/>
          <w:bCs w:val="0"/>
          <w:kern w:val="2"/>
          <w:sz w:val="28"/>
          <w:szCs w:val="28"/>
          <w:lang w:val="en-US" w:eastAsia="zh-CN" w:bidi="ar-SA"/>
        </w:rPr>
      </w:pPr>
      <w:r>
        <w:rPr>
          <w:rStyle w:val="12"/>
          <w:rFonts w:hint="eastAsia" w:ascii="仿宋" w:hAnsi="仿宋" w:eastAsia="仿宋" w:cs="仿宋"/>
          <w:kern w:val="2"/>
          <w:sz w:val="28"/>
          <w:szCs w:val="28"/>
          <w:lang w:val="en-US" w:eastAsia="zh-CN" w:bidi="ar-SA"/>
        </w:rPr>
        <w:t>中创金融公司的财产在支付完第一顺序的清算费用、第二顺序的职工工资、第三顺位的社会保险费用和第四顺位补偿金后，如仍有剩余的将支付国家税务总局广州市越秀区税务局等2位债权人的公司债务（普通债权）1,167.24元。如不足以支付公司债务（普通债权）的，</w:t>
      </w:r>
      <w:r>
        <w:rPr>
          <w:rFonts w:hint="eastAsia" w:ascii="仿宋" w:hAnsi="仿宋" w:eastAsia="仿宋" w:cs="仿宋"/>
          <w:color w:val="auto"/>
          <w:sz w:val="28"/>
          <w:szCs w:val="28"/>
          <w:highlight w:val="none"/>
          <w:lang w:val="en-US" w:eastAsia="zh-CN" w:bidi="ar"/>
        </w:rPr>
        <w:t>则按照比例支付</w:t>
      </w:r>
      <w:r>
        <w:rPr>
          <w:rStyle w:val="12"/>
          <w:rFonts w:hint="eastAsia" w:ascii="仿宋" w:hAnsi="仿宋" w:eastAsia="仿宋" w:cs="仿宋"/>
          <w:kern w:val="2"/>
          <w:sz w:val="28"/>
          <w:szCs w:val="28"/>
          <w:lang w:val="en-US" w:eastAsia="zh-CN" w:bidi="ar-SA"/>
        </w:rPr>
        <w:t>。每个普通债权人可分配金额=每个普通债权人参与分配的债权金额×普通债权受偿率（普通债权受偿率=可供分配给普通债权的财产÷参与分配的普通债权金额）。</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954"/>
        <w:gridCol w:w="1870"/>
        <w:gridCol w:w="2282"/>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0" w:type="dxa"/>
            <w:gridSpan w:val="5"/>
            <w:shd w:val="clear" w:color="auto" w:fill="D7D7D7" w:themeFill="background1" w:themeFillShade="D8"/>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普通债权分配表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序号</w:t>
            </w:r>
          </w:p>
        </w:tc>
        <w:tc>
          <w:tcPr>
            <w:tcW w:w="1954"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债权人名称</w:t>
            </w:r>
          </w:p>
        </w:tc>
        <w:tc>
          <w:tcPr>
            <w:tcW w:w="1870"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参与分配的金额</w:t>
            </w:r>
          </w:p>
        </w:tc>
        <w:tc>
          <w:tcPr>
            <w:tcW w:w="2282"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可分配金额</w:t>
            </w:r>
          </w:p>
        </w:tc>
        <w:tc>
          <w:tcPr>
            <w:tcW w:w="1660" w:type="dxa"/>
            <w:shd w:val="clear" w:color="auto" w:fill="D7D7D7" w:themeFill="background1" w:themeFillShade="D8"/>
            <w:vAlign w:val="top"/>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b/>
                <w:bCs/>
                <w:color w:val="000000"/>
                <w:kern w:val="0"/>
                <w:sz w:val="21"/>
                <w:szCs w:val="21"/>
                <w:highlight w:val="none"/>
                <w:u w:val="none"/>
                <w:shd w:val="clear" w:color="auto" w:fill="auto"/>
                <w:vertAlign w:val="baseline"/>
                <w:lang w:val="en-US" w:eastAsia="zh-CN" w:bidi="ar"/>
              </w:rPr>
            </w:pPr>
            <w:r>
              <w:rPr>
                <w:rFonts w:hint="eastAsia" w:ascii="仿宋" w:hAnsi="仿宋" w:eastAsia="仿宋" w:cs="仿宋"/>
                <w:b/>
                <w:bCs/>
                <w:color w:val="000000"/>
                <w:kern w:val="0"/>
                <w:sz w:val="21"/>
                <w:szCs w:val="21"/>
                <w:highlight w:val="none"/>
                <w:u w:val="none"/>
                <w:shd w:val="clear" w:color="auto" w:fill="auto"/>
                <w:vertAlign w:val="baseline"/>
                <w:lang w:val="en-US" w:eastAsia="zh-CN" w:bidi="ar"/>
              </w:rPr>
              <w:t>受偿率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1</w:t>
            </w:r>
          </w:p>
        </w:tc>
        <w:tc>
          <w:tcPr>
            <w:tcW w:w="1954" w:type="dxa"/>
            <w:vAlign w:val="top"/>
          </w:tcPr>
          <w:p>
            <w:pPr>
              <w:keepNext w:val="0"/>
              <w:keepLines w:val="0"/>
              <w:widowControl w:val="0"/>
              <w:numPr>
                <w:ilvl w:val="-1"/>
                <w:numId w:val="0"/>
              </w:numPr>
              <w:suppressLineNumbers w:val="0"/>
              <w:spacing w:before="0" w:beforeAutospacing="0" w:after="0" w:afterAutospacing="0" w:line="560" w:lineRule="exact"/>
              <w:ind w:left="0" w:leftChars="0" w:right="0" w:firstLine="0" w:firstLineChars="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国家税务总局广州市越秀区税务局</w:t>
            </w:r>
          </w:p>
        </w:tc>
        <w:tc>
          <w:tcPr>
            <w:tcW w:w="1870" w:type="dxa"/>
            <w:vAlign w:val="center"/>
          </w:tcPr>
          <w:p>
            <w:pPr>
              <w:keepNext w:val="0"/>
              <w:keepLines w:val="0"/>
              <w:widowControl w:val="0"/>
              <w:numPr>
                <w:ilvl w:val="-1"/>
                <w:numId w:val="0"/>
              </w:numPr>
              <w:suppressLineNumbers w:val="0"/>
              <w:spacing w:before="0" w:beforeAutospacing="0" w:after="0" w:afterAutospacing="0" w:line="560" w:lineRule="exact"/>
              <w:ind w:left="0" w:leftChars="0" w:right="0" w:firstLine="0" w:firstLineChars="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1,089.21</w:t>
            </w:r>
          </w:p>
        </w:tc>
        <w:tc>
          <w:tcPr>
            <w:tcW w:w="2282"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1,089.21</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660" w:type="dxa"/>
            <w:vMerge w:val="restart"/>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可供分配给普通债权的财产÷</w:t>
            </w:r>
            <w:r>
              <w:rPr>
                <w:rFonts w:hint="eastAsia" w:ascii="仿宋" w:hAnsi="仿宋" w:eastAsia="仿宋" w:cs="仿宋"/>
                <w:i w:val="0"/>
                <w:iCs w:val="0"/>
                <w:color w:val="000000"/>
                <w:kern w:val="0"/>
                <w:sz w:val="21"/>
                <w:szCs w:val="21"/>
                <w:highlight w:val="none"/>
                <w:u w:val="none"/>
                <w:shd w:val="clear" w:color="auto" w:fill="auto"/>
                <w:lang w:val="en-US" w:eastAsia="zh-CN" w:bidi="ar"/>
              </w:rPr>
              <w:t>1</w:t>
            </w:r>
            <w:r>
              <w:rPr>
                <w:rFonts w:hint="eastAsia" w:ascii="仿宋" w:hAnsi="仿宋" w:eastAsia="仿宋" w:cs="仿宋"/>
                <w:color w:val="000000"/>
                <w:kern w:val="0"/>
                <w:sz w:val="21"/>
                <w:szCs w:val="21"/>
                <w:highlight w:val="none"/>
                <w:u w:val="none"/>
                <w:shd w:val="clear" w:color="auto" w:fill="auto"/>
                <w:lang w:val="en-US" w:eastAsia="zh-CN" w:bidi="ar"/>
              </w:rPr>
              <w:t>,</w:t>
            </w:r>
            <w:r>
              <w:rPr>
                <w:rFonts w:hint="eastAsia" w:ascii="仿宋" w:hAnsi="仿宋" w:eastAsia="仿宋" w:cs="仿宋"/>
                <w:i w:val="0"/>
                <w:iCs w:val="0"/>
                <w:color w:val="000000"/>
                <w:kern w:val="0"/>
                <w:sz w:val="21"/>
                <w:szCs w:val="21"/>
                <w:highlight w:val="none"/>
                <w:u w:val="none"/>
                <w:shd w:val="clear" w:color="auto" w:fill="auto"/>
                <w:lang w:val="en-US" w:eastAsia="zh-CN" w:bidi="ar"/>
              </w:rPr>
              <w:t>167.24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color w:val="000000"/>
                <w:kern w:val="0"/>
                <w:sz w:val="21"/>
                <w:szCs w:val="21"/>
                <w:highlight w:val="none"/>
                <w:u w:val="none"/>
                <w:shd w:val="clear" w:color="auto" w:fill="auto"/>
                <w:lang w:val="en-US" w:eastAsia="zh-CN" w:bidi="ar"/>
              </w:rPr>
              <w:t>2</w:t>
            </w:r>
          </w:p>
        </w:tc>
        <w:tc>
          <w:tcPr>
            <w:tcW w:w="1954" w:type="dxa"/>
            <w:vAlign w:val="top"/>
          </w:tcPr>
          <w:p>
            <w:pPr>
              <w:keepNext w:val="0"/>
              <w:keepLines w:val="0"/>
              <w:widowControl w:val="0"/>
              <w:numPr>
                <w:ilvl w:val="-1"/>
                <w:numId w:val="0"/>
              </w:numPr>
              <w:suppressLineNumbers w:val="0"/>
              <w:spacing w:before="0" w:beforeAutospacing="0" w:after="0" w:afterAutospacing="0" w:line="560" w:lineRule="exact"/>
              <w:ind w:left="0" w:leftChars="0" w:right="0" w:firstLine="0" w:firstLineChars="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广州市越秀区人民法院</w:t>
            </w:r>
          </w:p>
        </w:tc>
        <w:tc>
          <w:tcPr>
            <w:tcW w:w="1870" w:type="dxa"/>
            <w:vAlign w:val="center"/>
          </w:tcPr>
          <w:p>
            <w:pPr>
              <w:keepNext w:val="0"/>
              <w:keepLines w:val="0"/>
              <w:widowControl w:val="0"/>
              <w:numPr>
                <w:ilvl w:val="-1"/>
                <w:numId w:val="0"/>
              </w:numPr>
              <w:suppressLineNumbers w:val="0"/>
              <w:spacing w:before="0" w:beforeAutospacing="0" w:after="0" w:afterAutospacing="0" w:line="560" w:lineRule="exact"/>
              <w:ind w:left="0" w:leftChars="0" w:right="0" w:firstLine="0" w:firstLineChars="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78.03</w:t>
            </w:r>
          </w:p>
        </w:tc>
        <w:tc>
          <w:tcPr>
            <w:tcW w:w="2282" w:type="dxa"/>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lang w:val="en-US" w:eastAsia="zh-CN" w:bidi="ar"/>
              </w:rPr>
              <w:t>78.03</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660" w:type="dxa"/>
            <w:vMerge w:val="continue"/>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eastAsia" w:ascii="仿宋" w:hAnsi="仿宋" w:eastAsia="仿宋" w:cs="仿宋"/>
                <w:color w:val="000000"/>
                <w:kern w:val="0"/>
                <w:sz w:val="21"/>
                <w:szCs w:val="21"/>
                <w:highlight w:val="none"/>
                <w:u w:val="none"/>
                <w:shd w:val="clear" w:color="auto" w:fill="auto"/>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708" w:type="dxa"/>
            <w:gridSpan w:val="2"/>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总计</w:t>
            </w:r>
          </w:p>
        </w:tc>
        <w:tc>
          <w:tcPr>
            <w:tcW w:w="1870" w:type="dxa"/>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仿宋" w:hAnsi="仿宋" w:eastAsia="仿宋" w:cs="仿宋"/>
                <w:i w:val="0"/>
                <w:iCs w:val="0"/>
                <w:color w:val="000000"/>
                <w:kern w:val="0"/>
                <w:sz w:val="21"/>
                <w:szCs w:val="21"/>
                <w:highlight w:val="none"/>
                <w:u w:val="none"/>
                <w:shd w:val="clear" w:color="auto" w:fill="auto"/>
                <w:lang w:val="en-US" w:eastAsia="zh-CN" w:bidi="ar"/>
              </w:rPr>
              <w:t>1</w:t>
            </w:r>
            <w:r>
              <w:rPr>
                <w:rFonts w:hint="eastAsia" w:ascii="仿宋" w:hAnsi="仿宋" w:eastAsia="仿宋" w:cs="仿宋"/>
                <w:color w:val="000000"/>
                <w:kern w:val="0"/>
                <w:sz w:val="21"/>
                <w:szCs w:val="21"/>
                <w:highlight w:val="none"/>
                <w:u w:val="none"/>
                <w:shd w:val="clear" w:color="auto" w:fill="auto"/>
                <w:lang w:val="en-US" w:eastAsia="zh-CN" w:bidi="ar"/>
              </w:rPr>
              <w:t>,</w:t>
            </w:r>
            <w:r>
              <w:rPr>
                <w:rFonts w:hint="eastAsia" w:ascii="仿宋" w:hAnsi="仿宋" w:eastAsia="仿宋" w:cs="仿宋"/>
                <w:i w:val="0"/>
                <w:iCs w:val="0"/>
                <w:color w:val="000000"/>
                <w:kern w:val="0"/>
                <w:sz w:val="21"/>
                <w:szCs w:val="21"/>
                <w:highlight w:val="none"/>
                <w:u w:val="none"/>
                <w:shd w:val="clear" w:color="auto" w:fill="auto"/>
                <w:lang w:val="en-US" w:eastAsia="zh-CN" w:bidi="ar"/>
              </w:rPr>
              <w:t>167.24</w:t>
            </w:r>
          </w:p>
        </w:tc>
        <w:tc>
          <w:tcPr>
            <w:tcW w:w="2282" w:type="dxa"/>
            <w:vAlign w:val="center"/>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i w:val="0"/>
                <w:iCs w:val="0"/>
                <w:color w:val="000000"/>
                <w:kern w:val="0"/>
                <w:sz w:val="21"/>
                <w:szCs w:val="21"/>
                <w:highlight w:val="none"/>
                <w:u w:val="none"/>
                <w:shd w:val="clear" w:color="auto" w:fill="auto"/>
                <w:lang w:val="en-US" w:eastAsia="zh-CN" w:bidi="ar"/>
              </w:rPr>
              <w:t>1</w:t>
            </w:r>
            <w:r>
              <w:rPr>
                <w:rFonts w:hint="eastAsia" w:ascii="仿宋" w:hAnsi="仿宋" w:eastAsia="仿宋" w:cs="仿宋"/>
                <w:color w:val="000000"/>
                <w:kern w:val="0"/>
                <w:sz w:val="21"/>
                <w:szCs w:val="21"/>
                <w:highlight w:val="none"/>
                <w:u w:val="none"/>
                <w:shd w:val="clear" w:color="auto" w:fill="auto"/>
                <w:lang w:val="en-US" w:eastAsia="zh-CN" w:bidi="ar"/>
              </w:rPr>
              <w:t>,</w:t>
            </w:r>
            <w:r>
              <w:rPr>
                <w:rFonts w:hint="eastAsia" w:ascii="仿宋" w:hAnsi="仿宋" w:eastAsia="仿宋" w:cs="仿宋"/>
                <w:i w:val="0"/>
                <w:iCs w:val="0"/>
                <w:color w:val="000000"/>
                <w:kern w:val="0"/>
                <w:sz w:val="21"/>
                <w:szCs w:val="21"/>
                <w:highlight w:val="none"/>
                <w:u w:val="none"/>
                <w:shd w:val="clear" w:color="auto" w:fill="auto"/>
                <w:lang w:val="en-US" w:eastAsia="zh-CN" w:bidi="ar"/>
              </w:rPr>
              <w:t>167.24</w:t>
            </w:r>
            <w:r>
              <w:rPr>
                <w:rFonts w:hint="eastAsia" w:ascii="仿宋" w:hAnsi="仿宋" w:eastAsia="仿宋" w:cs="仿宋"/>
                <w:i w:val="0"/>
                <w:color w:val="000000"/>
                <w:kern w:val="0"/>
                <w:sz w:val="21"/>
                <w:szCs w:val="21"/>
                <w:highlight w:val="none"/>
                <w:u w:val="none"/>
                <w:shd w:val="clear" w:color="auto" w:fill="auto"/>
                <w:lang w:val="en-US" w:eastAsia="zh-CN" w:bidi="ar"/>
              </w:rPr>
              <w:t>×受偿率</w:t>
            </w:r>
          </w:p>
        </w:tc>
        <w:tc>
          <w:tcPr>
            <w:tcW w:w="1660" w:type="dxa"/>
          </w:tcPr>
          <w:p>
            <w:pPr>
              <w:keepNext w:val="0"/>
              <w:keepLines w:val="0"/>
              <w:pageBreakBefore w:val="0"/>
              <w:widowControl/>
              <w:suppressLineNumbers w:val="0"/>
              <w:kinsoku/>
              <w:overflowPunct/>
              <w:topLinePunct w:val="0"/>
              <w:autoSpaceDE/>
              <w:autoSpaceDN/>
              <w:bidi w:val="0"/>
              <w:adjustRightInd/>
              <w:snapToGrid/>
              <w:spacing w:before="0" w:beforeLines="-2147483648" w:beforeAutospacing="0" w:after="0" w:afterAutospacing="0" w:line="560" w:lineRule="exact"/>
              <w:ind w:left="0" w:right="0"/>
              <w:jc w:val="center"/>
              <w:textAlignment w:val="center"/>
              <w:rPr>
                <w:rFonts w:hint="default" w:ascii="仿宋" w:hAnsi="仿宋" w:eastAsia="仿宋" w:cs="仿宋"/>
                <w:color w:val="000000"/>
                <w:kern w:val="0"/>
                <w:sz w:val="21"/>
                <w:szCs w:val="21"/>
                <w:highlight w:val="none"/>
                <w:u w:val="none"/>
                <w:shd w:val="clear" w:color="auto" w:fill="auto"/>
                <w:vertAlign w:val="baseline"/>
                <w:lang w:val="en-US" w:eastAsia="zh-CN" w:bidi="ar"/>
              </w:rPr>
            </w:pPr>
            <w:r>
              <w:rPr>
                <w:rFonts w:hint="eastAsia" w:ascii="仿宋" w:hAnsi="仿宋" w:eastAsia="仿宋" w:cs="仿宋"/>
                <w:color w:val="000000"/>
                <w:kern w:val="0"/>
                <w:sz w:val="21"/>
                <w:szCs w:val="21"/>
                <w:highlight w:val="none"/>
                <w:u w:val="none"/>
                <w:shd w:val="clear" w:color="auto" w:fill="auto"/>
                <w:vertAlign w:val="baseline"/>
                <w:lang w:val="en-US" w:eastAsia="zh-CN" w:bidi="ar"/>
              </w:rPr>
              <w:t>/</w:t>
            </w:r>
          </w:p>
        </w:tc>
      </w:tr>
    </w:tbl>
    <w:p>
      <w:pPr>
        <w:keepNext w:val="0"/>
        <w:keepLines w:val="0"/>
        <w:pageBreakBefore w:val="0"/>
        <w:widowControl/>
        <w:kinsoku/>
        <w:overflowPunct/>
        <w:topLinePunct w:val="0"/>
        <w:autoSpaceDE/>
        <w:autoSpaceDN/>
        <w:bidi w:val="0"/>
        <w:adjustRightInd/>
        <w:snapToGrid/>
        <w:spacing w:beforeLines="0" w:line="560" w:lineRule="exact"/>
        <w:ind w:firstLine="420" w:firstLineChars="200"/>
        <w:jc w:val="right"/>
        <w:textAlignment w:val="baseline"/>
        <w:rPr>
          <w:rStyle w:val="12"/>
          <w:rFonts w:hint="default" w:ascii="仿宋" w:hAnsi="仿宋" w:eastAsia="仿宋" w:cs="仿宋"/>
          <w:b w:val="0"/>
          <w:bCs w:val="0"/>
          <w:kern w:val="2"/>
          <w:sz w:val="28"/>
          <w:szCs w:val="28"/>
          <w:lang w:val="en-US" w:eastAsia="zh-CN" w:bidi="ar-SA"/>
        </w:rPr>
      </w:pPr>
      <w:r>
        <w:rPr>
          <w:rStyle w:val="12"/>
          <w:rFonts w:hint="eastAsia" w:ascii="仿宋" w:hAnsi="仿宋" w:eastAsia="仿宋" w:cs="仿宋"/>
          <w:b w:val="0"/>
          <w:bCs w:val="0"/>
          <w:kern w:val="2"/>
          <w:sz w:val="21"/>
          <w:szCs w:val="21"/>
          <w:lang w:val="en-US" w:eastAsia="zh-CN" w:bidi="ar-SA"/>
        </w:rPr>
        <w:t>单位：人民币/元</w:t>
      </w:r>
    </w:p>
    <w:p>
      <w:pPr>
        <w:keepNext w:val="0"/>
        <w:keepLines w:val="0"/>
        <w:pageBreakBefore w:val="0"/>
        <w:widowControl/>
        <w:kinsoku/>
        <w:overflowPunct/>
        <w:topLinePunct w:val="0"/>
        <w:autoSpaceDE/>
        <w:autoSpaceDN/>
        <w:bidi w:val="0"/>
        <w:adjustRightInd/>
        <w:snapToGrid/>
        <w:spacing w:beforeLines="0" w:line="560" w:lineRule="exact"/>
        <w:ind w:firstLine="562" w:firstLineChars="200"/>
        <w:jc w:val="both"/>
        <w:textAlignment w:val="baseline"/>
        <w:rPr>
          <w:rStyle w:val="12"/>
          <w:rFonts w:hint="eastAsia" w:ascii="仿宋" w:hAnsi="仿宋" w:eastAsia="仿宋" w:cs="仿宋"/>
          <w:b/>
          <w:bCs/>
          <w:sz w:val="28"/>
          <w:szCs w:val="28"/>
          <w:lang w:val="en-US" w:eastAsia="zh-CN"/>
        </w:rPr>
      </w:pPr>
      <w:r>
        <w:rPr>
          <w:rStyle w:val="12"/>
          <w:rFonts w:hint="eastAsia" w:ascii="仿宋" w:hAnsi="仿宋" w:eastAsia="仿宋" w:cs="仿宋"/>
          <w:b/>
          <w:bCs/>
          <w:sz w:val="28"/>
          <w:szCs w:val="28"/>
          <w:lang w:val="en-US" w:eastAsia="zh-CN"/>
        </w:rPr>
        <w:t>第六顺序：分配给股东</w:t>
      </w:r>
    </w:p>
    <w:p>
      <w:pPr>
        <w:spacing w:beforeLines="0" w:line="560" w:lineRule="exact"/>
        <w:ind w:firstLine="560" w:firstLineChars="200"/>
        <w:jc w:val="both"/>
        <w:rPr>
          <w:rFonts w:hint="eastAsia" w:ascii="仿宋" w:hAnsi="仿宋" w:eastAsia="仿宋" w:cs="仿宋"/>
          <w:color w:val="auto"/>
          <w:sz w:val="28"/>
          <w:szCs w:val="28"/>
          <w:lang w:bidi="ar"/>
        </w:rPr>
      </w:pPr>
      <w:r>
        <w:rPr>
          <w:rStyle w:val="12"/>
          <w:rFonts w:hint="eastAsia" w:ascii="仿宋" w:hAnsi="仿宋" w:eastAsia="仿宋" w:cs="仿宋"/>
          <w:kern w:val="2"/>
          <w:sz w:val="28"/>
          <w:szCs w:val="28"/>
          <w:lang w:val="en-US" w:eastAsia="zh-CN" w:bidi="ar-SA"/>
        </w:rPr>
        <w:t>如中创金融公司的财产在支付完清算费用、职工工资、社会保险费用、补偿金、公司债务（普通债权）后尚有剩余的，则按照股东的出资比例分配</w:t>
      </w:r>
      <w:r>
        <w:rPr>
          <w:rStyle w:val="12"/>
          <w:rFonts w:hint="eastAsia" w:ascii="仿宋" w:hAnsi="仿宋" w:eastAsia="仿宋" w:cs="仿宋"/>
          <w:sz w:val="28"/>
          <w:szCs w:val="28"/>
          <w:lang w:eastAsia="zh-CN" w:bidi="ar-SA"/>
        </w:rPr>
        <w:t>，</w:t>
      </w:r>
      <w:r>
        <w:rPr>
          <w:rStyle w:val="12"/>
          <w:rFonts w:hint="eastAsia" w:ascii="仿宋" w:hAnsi="仿宋" w:eastAsia="仿宋" w:cs="仿宋"/>
          <w:sz w:val="28"/>
          <w:szCs w:val="28"/>
          <w:lang w:val="en-US" w:eastAsia="zh-CN" w:bidi="ar-SA"/>
        </w:rPr>
        <w:t>其中：</w:t>
      </w:r>
      <w:r>
        <w:rPr>
          <w:rStyle w:val="12"/>
          <w:rFonts w:hint="eastAsia" w:ascii="仿宋" w:hAnsi="仿宋" w:eastAsia="仿宋" w:cs="仿宋"/>
          <w:sz w:val="28"/>
          <w:szCs w:val="28"/>
        </w:rPr>
        <w:t>中国机床总公司广州公司可分得剩余资产的</w:t>
      </w:r>
      <w:r>
        <w:rPr>
          <w:rStyle w:val="12"/>
          <w:rFonts w:hint="eastAsia" w:ascii="仿宋" w:hAnsi="仿宋" w:eastAsia="仿宋" w:cs="仿宋"/>
          <w:sz w:val="28"/>
          <w:szCs w:val="28"/>
          <w:lang w:val="en-US" w:eastAsia="zh-CN"/>
        </w:rPr>
        <w:t>51</w:t>
      </w:r>
      <w:r>
        <w:rPr>
          <w:rStyle w:val="12"/>
          <w:rFonts w:hint="eastAsia" w:ascii="仿宋" w:hAnsi="仿宋" w:eastAsia="仿宋" w:cs="仿宋"/>
          <w:sz w:val="28"/>
          <w:szCs w:val="28"/>
        </w:rPr>
        <w:t>%，信道安金融服务（深圳）有限公司可分得剩余资产的</w:t>
      </w:r>
      <w:r>
        <w:rPr>
          <w:rStyle w:val="12"/>
          <w:rFonts w:hint="eastAsia" w:ascii="仿宋" w:hAnsi="仿宋" w:eastAsia="仿宋" w:cs="仿宋"/>
          <w:sz w:val="28"/>
          <w:szCs w:val="28"/>
          <w:lang w:val="en-US" w:eastAsia="zh-CN"/>
        </w:rPr>
        <w:t>49</w:t>
      </w:r>
      <w:r>
        <w:rPr>
          <w:rStyle w:val="12"/>
          <w:rFonts w:hint="eastAsia" w:ascii="仿宋" w:hAnsi="仿宋" w:eastAsia="仿宋" w:cs="仿宋"/>
          <w:sz w:val="28"/>
          <w:szCs w:val="28"/>
        </w:rPr>
        <w:t>%</w:t>
      </w:r>
      <w:r>
        <w:rPr>
          <w:rStyle w:val="12"/>
          <w:rFonts w:hint="eastAsia" w:ascii="仿宋" w:hAnsi="仿宋" w:eastAsia="仿宋" w:cs="仿宋"/>
          <w:sz w:val="28"/>
          <w:szCs w:val="28"/>
          <w:lang w:bidi="ar-SA"/>
        </w:rPr>
        <w:t>。</w:t>
      </w:r>
    </w:p>
    <w:p>
      <w:pPr>
        <w:numPr>
          <w:ilvl w:val="0"/>
          <w:numId w:val="3"/>
        </w:numPr>
        <w:spacing w:before="156" w:beforeLines="50" w:line="560" w:lineRule="exact"/>
        <w:ind w:left="561"/>
        <w:jc w:val="both"/>
        <w:rPr>
          <w:rFonts w:hint="eastAsia" w:ascii="仿宋" w:hAnsi="仿宋" w:eastAsia="仿宋" w:cs="仿宋"/>
          <w:b/>
          <w:bCs/>
          <w:color w:val="auto"/>
          <w:sz w:val="28"/>
          <w:szCs w:val="28"/>
          <w:lang w:val="en-US" w:eastAsia="zh-CN" w:bidi="ar"/>
        </w:rPr>
      </w:pPr>
      <w:r>
        <w:rPr>
          <w:rFonts w:hint="eastAsia" w:ascii="仿宋" w:hAnsi="仿宋" w:eastAsia="仿宋" w:cs="仿宋"/>
          <w:b/>
          <w:bCs/>
          <w:color w:val="auto"/>
          <w:sz w:val="28"/>
          <w:szCs w:val="28"/>
          <w:lang w:val="en-US" w:eastAsia="zh-CN" w:bidi="ar"/>
        </w:rPr>
        <w:t>关于强制清算程序的终结</w:t>
      </w:r>
    </w:p>
    <w:p>
      <w:pPr>
        <w:numPr>
          <w:ilvl w:val="0"/>
          <w:numId w:val="0"/>
        </w:numPr>
        <w:spacing w:before="0" w:beforeLines="0" w:line="560" w:lineRule="exact"/>
        <w:ind w:left="0" w:firstLine="560" w:firstLineChars="200"/>
        <w:jc w:val="both"/>
        <w:rPr>
          <w:rFonts w:hint="eastAsia" w:ascii="仿宋" w:hAnsi="仿宋" w:eastAsia="仿宋" w:cs="仿宋"/>
          <w:color w:val="auto"/>
          <w:sz w:val="28"/>
          <w:szCs w:val="28"/>
          <w:lang w:bidi="ar"/>
        </w:rPr>
      </w:pPr>
      <w:r>
        <w:rPr>
          <w:rFonts w:hint="eastAsia" w:ascii="仿宋" w:hAnsi="仿宋" w:eastAsia="仿宋" w:cs="仿宋"/>
          <w:color w:val="auto"/>
          <w:sz w:val="28"/>
          <w:szCs w:val="28"/>
          <w:lang w:eastAsia="zh-CN" w:bidi="ar"/>
        </w:rPr>
        <w:t>1</w:t>
      </w:r>
      <w:r>
        <w:rPr>
          <w:rFonts w:hint="eastAsia" w:ascii="仿宋" w:hAnsi="仿宋" w:eastAsia="仿宋" w:cs="仿宋"/>
          <w:color w:val="auto"/>
          <w:sz w:val="28"/>
          <w:szCs w:val="28"/>
          <w:lang w:val="en-US" w:eastAsia="zh-CN" w:bidi="ar"/>
        </w:rPr>
        <w:t>.</w:t>
      </w:r>
      <w:r>
        <w:rPr>
          <w:rFonts w:hint="eastAsia" w:ascii="仿宋" w:hAnsi="仿宋" w:eastAsia="仿宋" w:cs="仿宋"/>
          <w:color w:val="auto"/>
          <w:sz w:val="28"/>
          <w:szCs w:val="28"/>
          <w:lang w:bidi="ar"/>
        </w:rPr>
        <w:t>由于</w:t>
      </w:r>
      <w:r>
        <w:rPr>
          <w:rFonts w:hint="eastAsia" w:ascii="仿宋" w:hAnsi="仿宋" w:eastAsia="仿宋" w:cs="仿宋"/>
          <w:color w:val="auto"/>
          <w:sz w:val="28"/>
          <w:szCs w:val="28"/>
          <w:lang w:val="en-US" w:eastAsia="zh-CN" w:bidi="ar"/>
        </w:rPr>
        <w:t>中创金融公司</w:t>
      </w:r>
      <w:r>
        <w:rPr>
          <w:rFonts w:hint="eastAsia" w:ascii="仿宋" w:hAnsi="仿宋" w:eastAsia="仿宋" w:cs="仿宋"/>
          <w:color w:val="auto"/>
          <w:sz w:val="28"/>
          <w:szCs w:val="28"/>
          <w:lang w:bidi="ar"/>
        </w:rPr>
        <w:t>的清算工作</w:t>
      </w:r>
      <w:r>
        <w:rPr>
          <w:rFonts w:hint="eastAsia" w:ascii="仿宋" w:hAnsi="仿宋" w:eastAsia="仿宋" w:cs="仿宋"/>
          <w:color w:val="auto"/>
          <w:sz w:val="28"/>
          <w:szCs w:val="28"/>
          <w:lang w:val="en-US" w:eastAsia="zh-CN" w:bidi="ar"/>
        </w:rPr>
        <w:t>已</w:t>
      </w:r>
      <w:r>
        <w:rPr>
          <w:rFonts w:hint="eastAsia" w:ascii="仿宋" w:hAnsi="仿宋" w:eastAsia="仿宋" w:cs="仿宋"/>
          <w:color w:val="auto"/>
          <w:sz w:val="28"/>
          <w:szCs w:val="28"/>
          <w:lang w:bidi="ar"/>
        </w:rPr>
        <w:t>基本完成，且清算组还会继续依法处置非货币资产并根据本清算方案进行分配。在非货币资产未变现并分配前，提请人民法院裁定终结</w:t>
      </w:r>
      <w:r>
        <w:rPr>
          <w:rFonts w:hint="eastAsia" w:ascii="仿宋" w:hAnsi="仿宋" w:eastAsia="仿宋" w:cs="仿宋"/>
          <w:color w:val="auto"/>
          <w:sz w:val="28"/>
          <w:szCs w:val="28"/>
          <w:lang w:val="en-US" w:eastAsia="zh-CN" w:bidi="ar"/>
        </w:rPr>
        <w:t>中创金融公司</w:t>
      </w:r>
      <w:r>
        <w:rPr>
          <w:rFonts w:hint="eastAsia" w:ascii="仿宋" w:hAnsi="仿宋" w:eastAsia="仿宋" w:cs="仿宋"/>
          <w:color w:val="auto"/>
          <w:sz w:val="28"/>
          <w:szCs w:val="28"/>
          <w:lang w:bidi="ar"/>
        </w:rPr>
        <w:t>的强制清算程序不会损害债权人、股东等各方的合法利益，反而能提高公司清算效率、节省司法资源，故清算组将在本清算方案经广州市</w:t>
      </w:r>
      <w:r>
        <w:rPr>
          <w:rFonts w:hint="eastAsia" w:ascii="仿宋" w:hAnsi="仿宋" w:eastAsia="仿宋" w:cs="仿宋"/>
          <w:color w:val="auto"/>
          <w:sz w:val="28"/>
          <w:szCs w:val="28"/>
          <w:lang w:val="en-US" w:eastAsia="zh-CN" w:bidi="ar"/>
        </w:rPr>
        <w:t>越秀</w:t>
      </w:r>
      <w:r>
        <w:rPr>
          <w:rFonts w:hint="eastAsia" w:ascii="仿宋" w:hAnsi="仿宋" w:eastAsia="仿宋" w:cs="仿宋"/>
          <w:color w:val="auto"/>
          <w:sz w:val="28"/>
          <w:szCs w:val="28"/>
          <w:lang w:bidi="ar"/>
        </w:rPr>
        <w:t>区人民法院裁定确认后以清算工作已基本结束为由提请人民法院裁定终结</w:t>
      </w:r>
      <w:r>
        <w:rPr>
          <w:rFonts w:hint="eastAsia" w:ascii="仿宋" w:hAnsi="仿宋" w:eastAsia="仿宋" w:cs="仿宋"/>
          <w:color w:val="auto"/>
          <w:sz w:val="28"/>
          <w:szCs w:val="28"/>
          <w:lang w:val="en-US" w:eastAsia="zh-CN" w:bidi="ar"/>
        </w:rPr>
        <w:t>中创金融公司</w:t>
      </w:r>
      <w:r>
        <w:rPr>
          <w:rFonts w:hint="eastAsia" w:ascii="仿宋" w:hAnsi="仿宋" w:eastAsia="仿宋" w:cs="仿宋"/>
          <w:color w:val="auto"/>
          <w:sz w:val="28"/>
          <w:szCs w:val="28"/>
          <w:lang w:bidi="ar"/>
        </w:rPr>
        <w:t>的强制清算程序。</w:t>
      </w:r>
    </w:p>
    <w:p>
      <w:pPr>
        <w:numPr>
          <w:ilvl w:val="0"/>
          <w:numId w:val="0"/>
        </w:numPr>
        <w:spacing w:before="0" w:beforeLines="0" w:line="560" w:lineRule="exact"/>
        <w:ind w:left="0" w:firstLine="560" w:firstLineChars="200"/>
        <w:jc w:val="both"/>
        <w:rPr>
          <w:rFonts w:hint="eastAsia" w:ascii="仿宋" w:hAnsi="仿宋" w:eastAsia="仿宋" w:cs="仿宋"/>
          <w:b/>
          <w:bCs/>
          <w:color w:val="auto"/>
          <w:sz w:val="28"/>
          <w:szCs w:val="28"/>
          <w:lang w:val="en-US" w:eastAsia="zh-CN" w:bidi="ar"/>
        </w:rPr>
      </w:pPr>
      <w:r>
        <w:rPr>
          <w:rFonts w:hint="eastAsia" w:ascii="仿宋" w:hAnsi="仿宋" w:eastAsia="仿宋" w:cs="仿宋"/>
          <w:color w:val="auto"/>
          <w:sz w:val="28"/>
          <w:szCs w:val="28"/>
          <w:lang w:val="en-US" w:eastAsia="zh-CN" w:bidi="ar"/>
        </w:rPr>
        <w:t>2.</w:t>
      </w:r>
      <w:r>
        <w:rPr>
          <w:rFonts w:hint="eastAsia" w:ascii="仿宋" w:hAnsi="仿宋" w:eastAsia="仿宋" w:cs="仿宋"/>
          <w:i w:val="0"/>
          <w:caps w:val="0"/>
          <w:color w:val="auto"/>
          <w:spacing w:val="0"/>
          <w:sz w:val="28"/>
          <w:szCs w:val="28"/>
          <w:shd w:val="clear"/>
          <w:lang w:val="en-US" w:eastAsia="zh-CN" w:bidi="ar"/>
        </w:rPr>
        <w:t>如经清算组后续发现中创金融公司的资产不足以支付其全部债务且</w:t>
      </w:r>
      <w:r>
        <w:rPr>
          <w:rFonts w:hint="eastAsia" w:ascii="仿宋" w:hAnsi="仿宋" w:eastAsia="仿宋" w:cs="仿宋"/>
          <w:color w:val="auto"/>
          <w:sz w:val="28"/>
          <w:szCs w:val="28"/>
          <w:lang w:val="en-US" w:eastAsia="zh-CN" w:bidi="ar"/>
        </w:rPr>
        <w:t>全体债权人不同意前述第五条的分配方案的情况下</w:t>
      </w:r>
      <w:r>
        <w:rPr>
          <w:rFonts w:hint="eastAsia" w:ascii="仿宋" w:hAnsi="仿宋" w:eastAsia="仿宋" w:cs="仿宋"/>
          <w:color w:val="auto"/>
          <w:sz w:val="28"/>
          <w:szCs w:val="28"/>
          <w:lang w:bidi="ar"/>
        </w:rPr>
        <w:t>将要从强制清算程序转换为破产清算程序，</w:t>
      </w:r>
      <w:r>
        <w:rPr>
          <w:rFonts w:hint="eastAsia" w:ascii="仿宋" w:hAnsi="仿宋" w:eastAsia="仿宋" w:cs="仿宋"/>
          <w:color w:val="auto"/>
          <w:sz w:val="28"/>
          <w:szCs w:val="28"/>
          <w:lang w:val="en-US" w:eastAsia="zh-CN" w:bidi="ar"/>
        </w:rPr>
        <w:t>程序的转换并不会增加中创金融公司的财产，反而会增加清算成本减少可分配财产，</w:t>
      </w:r>
      <w:r>
        <w:rPr>
          <w:rFonts w:hint="eastAsia" w:ascii="仿宋" w:hAnsi="仿宋" w:eastAsia="仿宋" w:cs="仿宋"/>
          <w:color w:val="auto"/>
          <w:sz w:val="28"/>
          <w:szCs w:val="28"/>
          <w:lang w:bidi="ar"/>
        </w:rPr>
        <w:t>最终亦是</w:t>
      </w:r>
      <w:r>
        <w:rPr>
          <w:rFonts w:hint="eastAsia" w:ascii="仿宋" w:hAnsi="仿宋" w:eastAsia="仿宋" w:cs="仿宋"/>
          <w:color w:val="auto"/>
          <w:sz w:val="28"/>
          <w:szCs w:val="28"/>
          <w:lang w:val="en-US" w:eastAsia="zh-CN" w:bidi="ar"/>
        </w:rPr>
        <w:t>按《中华人民共和国企业破产法》</w:t>
      </w:r>
      <w:r>
        <w:rPr>
          <w:rFonts w:hint="eastAsia" w:ascii="仿宋" w:hAnsi="仿宋" w:eastAsia="仿宋" w:cs="仿宋"/>
          <w:i w:val="0"/>
          <w:caps w:val="0"/>
          <w:color w:val="000000"/>
          <w:spacing w:val="0"/>
          <w:sz w:val="28"/>
          <w:szCs w:val="28"/>
          <w:shd w:val="clear" w:fill="auto"/>
          <w:lang w:bidi="ar"/>
        </w:rPr>
        <w:t>第一百一十三条</w:t>
      </w:r>
      <w:r>
        <w:rPr>
          <w:rFonts w:hint="eastAsia" w:ascii="仿宋" w:hAnsi="仿宋" w:eastAsia="仿宋" w:cs="仿宋"/>
          <w:i w:val="0"/>
          <w:caps w:val="0"/>
          <w:color w:val="auto"/>
          <w:spacing w:val="0"/>
          <w:sz w:val="28"/>
          <w:szCs w:val="28"/>
          <w:shd w:val="clear"/>
          <w:lang w:val="en-US" w:eastAsia="zh-CN" w:bidi="ar"/>
        </w:rPr>
        <w:t>规定</w:t>
      </w:r>
      <w:r>
        <w:rPr>
          <w:rStyle w:val="11"/>
          <w:rFonts w:hint="eastAsia" w:ascii="仿宋" w:hAnsi="仿宋" w:eastAsia="仿宋" w:cs="仿宋"/>
          <w:i w:val="0"/>
          <w:caps w:val="0"/>
          <w:color w:val="auto"/>
          <w:spacing w:val="0"/>
          <w:sz w:val="28"/>
          <w:szCs w:val="28"/>
          <w:shd w:val="clear"/>
          <w:lang w:val="en-US" w:eastAsia="zh-CN" w:bidi="ar"/>
        </w:rPr>
        <w:footnoteReference w:id="3"/>
      </w:r>
      <w:r>
        <w:rPr>
          <w:rFonts w:hint="eastAsia" w:ascii="仿宋" w:hAnsi="仿宋" w:eastAsia="仿宋" w:cs="仿宋"/>
          <w:i w:val="0"/>
          <w:caps w:val="0"/>
          <w:color w:val="auto"/>
          <w:spacing w:val="0"/>
          <w:sz w:val="28"/>
          <w:szCs w:val="28"/>
          <w:shd w:val="clear"/>
          <w:lang w:val="en-US" w:eastAsia="zh-CN" w:bidi="ar"/>
        </w:rPr>
        <w:t>的顺序分配完后</w:t>
      </w:r>
      <w:r>
        <w:rPr>
          <w:rFonts w:hint="eastAsia" w:ascii="仿宋" w:hAnsi="仿宋" w:eastAsia="仿宋" w:cs="仿宋"/>
          <w:color w:val="auto"/>
          <w:sz w:val="28"/>
          <w:szCs w:val="28"/>
          <w:lang w:bidi="ar"/>
        </w:rPr>
        <w:t>终结破产清算程序</w:t>
      </w:r>
      <w:r>
        <w:rPr>
          <w:rFonts w:hint="eastAsia" w:ascii="仿宋" w:hAnsi="仿宋" w:eastAsia="仿宋" w:cs="仿宋"/>
          <w:color w:val="auto"/>
          <w:sz w:val="28"/>
          <w:szCs w:val="28"/>
          <w:lang w:eastAsia="zh-CN" w:bidi="ar"/>
        </w:rPr>
        <w:t>。</w:t>
      </w:r>
      <w:r>
        <w:rPr>
          <w:rFonts w:hint="eastAsia" w:ascii="仿宋" w:hAnsi="仿宋" w:eastAsia="仿宋" w:cs="仿宋"/>
          <w:color w:val="auto"/>
          <w:sz w:val="28"/>
          <w:szCs w:val="28"/>
          <w:lang w:val="en-US" w:eastAsia="zh-CN" w:bidi="ar"/>
        </w:rPr>
        <w:t>故，</w:t>
      </w:r>
      <w:r>
        <w:rPr>
          <w:rFonts w:hint="eastAsia" w:ascii="仿宋" w:hAnsi="仿宋" w:eastAsia="仿宋" w:cs="仿宋"/>
          <w:b w:val="0"/>
          <w:bCs w:val="0"/>
          <w:color w:val="auto"/>
          <w:sz w:val="28"/>
          <w:szCs w:val="28"/>
          <w:lang w:val="en-US" w:eastAsia="zh-CN" w:bidi="ar"/>
        </w:rPr>
        <w:t>根据</w:t>
      </w:r>
      <w:r>
        <w:rPr>
          <w:rFonts w:hint="eastAsia" w:ascii="仿宋" w:hAnsi="仿宋" w:eastAsia="仿宋" w:cs="仿宋"/>
          <w:i w:val="0"/>
          <w:caps w:val="0"/>
          <w:color w:val="auto"/>
          <w:spacing w:val="0"/>
          <w:sz w:val="28"/>
          <w:szCs w:val="28"/>
          <w:shd w:val="clear"/>
          <w:lang w:eastAsia="zh-CN" w:bidi="ar"/>
        </w:rPr>
        <w:t>《</w:t>
      </w:r>
      <w:r>
        <w:rPr>
          <w:rFonts w:hint="eastAsia" w:ascii="仿宋" w:hAnsi="仿宋" w:eastAsia="仿宋" w:cs="仿宋"/>
          <w:i w:val="0"/>
          <w:caps w:val="0"/>
          <w:color w:val="000000"/>
          <w:spacing w:val="0"/>
          <w:sz w:val="28"/>
          <w:szCs w:val="28"/>
          <w:shd w:val="clear" w:fill="auto"/>
          <w:lang w:bidi="ar"/>
        </w:rPr>
        <w:t>最高人民法院关于适用</w:t>
      </w:r>
      <w:r>
        <w:rPr>
          <w:rFonts w:hint="eastAsia" w:ascii="仿宋" w:hAnsi="仿宋" w:eastAsia="仿宋" w:cs="仿宋"/>
          <w:i w:val="0"/>
          <w:caps w:val="0"/>
          <w:color w:val="auto"/>
          <w:spacing w:val="0"/>
          <w:sz w:val="28"/>
          <w:szCs w:val="28"/>
          <w:shd w:val="clear"/>
          <w:lang w:bidi="ar"/>
        </w:rPr>
        <w:t>&lt;</w:t>
      </w:r>
      <w:r>
        <w:rPr>
          <w:rFonts w:hint="eastAsia" w:ascii="仿宋" w:hAnsi="仿宋" w:eastAsia="仿宋" w:cs="仿宋"/>
          <w:i w:val="0"/>
          <w:caps w:val="0"/>
          <w:color w:val="000000"/>
          <w:spacing w:val="0"/>
          <w:sz w:val="28"/>
          <w:szCs w:val="28"/>
          <w:shd w:val="clear" w:fill="auto"/>
          <w:lang w:bidi="ar"/>
        </w:rPr>
        <w:t>中华人民共和国</w:t>
      </w:r>
      <w:r>
        <w:rPr>
          <w:rFonts w:hint="eastAsia" w:ascii="仿宋" w:hAnsi="仿宋" w:eastAsia="仿宋" w:cs="仿宋"/>
          <w:i w:val="0"/>
          <w:caps w:val="0"/>
          <w:color w:val="auto"/>
          <w:spacing w:val="0"/>
          <w:sz w:val="28"/>
          <w:szCs w:val="28"/>
          <w:shd w:val="clear" w:fill="auto"/>
          <w:lang w:bidi="ar"/>
        </w:rPr>
        <w:t>公司法</w:t>
      </w:r>
      <w:r>
        <w:rPr>
          <w:rFonts w:hint="eastAsia" w:ascii="仿宋" w:hAnsi="仿宋" w:eastAsia="仿宋" w:cs="仿宋"/>
          <w:i w:val="0"/>
          <w:caps w:val="0"/>
          <w:color w:val="auto"/>
          <w:spacing w:val="0"/>
          <w:sz w:val="28"/>
          <w:szCs w:val="28"/>
          <w:shd w:val="clear"/>
          <w:lang w:bidi="ar"/>
        </w:rPr>
        <w:t>&gt;</w:t>
      </w:r>
      <w:r>
        <w:rPr>
          <w:rFonts w:hint="eastAsia" w:ascii="仿宋" w:hAnsi="仿宋" w:eastAsia="仿宋" w:cs="仿宋"/>
          <w:i w:val="0"/>
          <w:caps w:val="0"/>
          <w:color w:val="000000"/>
          <w:spacing w:val="0"/>
          <w:sz w:val="28"/>
          <w:szCs w:val="28"/>
          <w:shd w:val="clear" w:fill="auto"/>
          <w:lang w:bidi="ar"/>
        </w:rPr>
        <w:t>若干问题的规定（二）</w:t>
      </w:r>
      <w:r>
        <w:rPr>
          <w:rFonts w:hint="eastAsia" w:ascii="仿宋" w:hAnsi="仿宋" w:eastAsia="仿宋" w:cs="仿宋"/>
          <w:i w:val="0"/>
          <w:caps w:val="0"/>
          <w:color w:val="auto"/>
          <w:spacing w:val="0"/>
          <w:sz w:val="28"/>
          <w:szCs w:val="28"/>
          <w:shd w:val="clear"/>
          <w:lang w:eastAsia="zh-CN" w:bidi="ar"/>
        </w:rPr>
        <w:t>》</w:t>
      </w:r>
      <w:r>
        <w:rPr>
          <w:rFonts w:hint="eastAsia" w:ascii="仿宋" w:hAnsi="仿宋" w:eastAsia="仿宋" w:cs="仿宋"/>
          <w:i w:val="0"/>
          <w:caps w:val="0"/>
          <w:color w:val="000000"/>
          <w:spacing w:val="0"/>
          <w:sz w:val="28"/>
          <w:szCs w:val="28"/>
          <w:shd w:val="clear" w:fill="auto"/>
          <w:lang w:bidi="ar"/>
        </w:rPr>
        <w:t>第十七条</w:t>
      </w:r>
      <w:r>
        <w:rPr>
          <w:rStyle w:val="11"/>
          <w:rFonts w:hint="eastAsia" w:ascii="仿宋" w:hAnsi="仿宋" w:eastAsia="仿宋" w:cs="仿宋"/>
          <w:i w:val="0"/>
          <w:caps w:val="0"/>
          <w:color w:val="auto"/>
          <w:spacing w:val="0"/>
          <w:sz w:val="28"/>
          <w:szCs w:val="28"/>
          <w:shd w:val="clear"/>
          <w:lang w:bidi="ar"/>
        </w:rPr>
        <w:footnoteReference w:id="4"/>
      </w:r>
      <w:r>
        <w:rPr>
          <w:rFonts w:hint="eastAsia" w:ascii="仿宋" w:hAnsi="仿宋" w:eastAsia="仿宋" w:cs="仿宋"/>
          <w:i w:val="0"/>
          <w:caps w:val="0"/>
          <w:color w:val="auto"/>
          <w:spacing w:val="0"/>
          <w:sz w:val="28"/>
          <w:szCs w:val="28"/>
          <w:shd w:val="clear"/>
          <w:lang w:val="en-US" w:eastAsia="zh-CN" w:bidi="ar"/>
        </w:rPr>
        <w:t>之规定，清算组将在</w:t>
      </w:r>
      <w:r>
        <w:rPr>
          <w:rFonts w:hint="eastAsia" w:ascii="仿宋" w:hAnsi="仿宋" w:eastAsia="仿宋" w:cs="仿宋"/>
          <w:color w:val="auto"/>
          <w:sz w:val="28"/>
          <w:szCs w:val="28"/>
          <w:lang w:val="en-US" w:eastAsia="zh-CN" w:bidi="ar"/>
        </w:rPr>
        <w:t>处置完毕中创金融公司的非货币资产后</w:t>
      </w:r>
      <w:r>
        <w:rPr>
          <w:rFonts w:hint="eastAsia" w:ascii="仿宋" w:hAnsi="仿宋" w:eastAsia="仿宋" w:cs="仿宋"/>
          <w:i w:val="0"/>
          <w:caps w:val="0"/>
          <w:color w:val="auto"/>
          <w:spacing w:val="0"/>
          <w:sz w:val="28"/>
          <w:szCs w:val="28"/>
          <w:shd w:val="clear"/>
          <w:lang w:val="en-US" w:eastAsia="zh-CN" w:bidi="ar"/>
        </w:rPr>
        <w:t>，按前述第五条的分配顺序进行清偿，如最后不足以清偿全部</w:t>
      </w:r>
      <w:r>
        <w:rPr>
          <w:rFonts w:hint="eastAsia" w:ascii="仿宋" w:hAnsi="仿宋" w:eastAsia="仿宋" w:cs="仿宋"/>
          <w:color w:val="auto"/>
          <w:sz w:val="28"/>
          <w:szCs w:val="28"/>
          <w:lang w:val="en-US" w:eastAsia="zh-CN" w:bidi="ar"/>
        </w:rPr>
        <w:t>清算费用</w:t>
      </w:r>
      <w:r>
        <w:rPr>
          <w:rFonts w:hint="eastAsia" w:ascii="仿宋" w:hAnsi="仿宋" w:eastAsia="仿宋" w:cs="仿宋"/>
          <w:color w:val="auto"/>
          <w:sz w:val="28"/>
          <w:szCs w:val="28"/>
          <w:lang w:bidi="ar"/>
        </w:rPr>
        <w:t>、</w:t>
      </w:r>
      <w:r>
        <w:rPr>
          <w:rFonts w:hint="eastAsia" w:ascii="仿宋" w:hAnsi="仿宋" w:eastAsia="仿宋" w:cs="仿宋"/>
          <w:color w:val="auto"/>
          <w:sz w:val="28"/>
          <w:szCs w:val="28"/>
          <w:lang w:val="en-US" w:eastAsia="zh-CN" w:bidi="ar"/>
        </w:rPr>
        <w:t>职工工资、社会保险费用、补偿金和</w:t>
      </w:r>
      <w:r>
        <w:rPr>
          <w:rFonts w:hint="eastAsia" w:ascii="仿宋" w:hAnsi="仿宋" w:eastAsia="仿宋" w:cs="仿宋"/>
          <w:color w:val="auto"/>
          <w:sz w:val="28"/>
          <w:szCs w:val="28"/>
          <w:lang w:bidi="ar"/>
        </w:rPr>
        <w:t>公司债务</w:t>
      </w:r>
      <w:r>
        <w:rPr>
          <w:rFonts w:hint="eastAsia" w:ascii="仿宋" w:hAnsi="仿宋" w:eastAsia="仿宋" w:cs="仿宋"/>
          <w:color w:val="auto"/>
          <w:sz w:val="28"/>
          <w:szCs w:val="28"/>
          <w:lang w:val="en-US" w:eastAsia="zh-CN" w:bidi="ar"/>
        </w:rPr>
        <w:t>的，清算组不再向人民法院申请中创金融公司破产。</w:t>
      </w:r>
    </w:p>
    <w:p>
      <w:pPr>
        <w:spacing w:before="156" w:beforeLines="50" w:line="560" w:lineRule="exact"/>
        <w:ind w:left="561"/>
        <w:jc w:val="both"/>
        <w:rPr>
          <w:rFonts w:hint="eastAsia" w:ascii="仿宋" w:hAnsi="仿宋" w:eastAsia="仿宋" w:cs="仿宋"/>
          <w:b/>
          <w:bCs/>
          <w:color w:val="auto"/>
          <w:sz w:val="28"/>
          <w:szCs w:val="28"/>
          <w:lang w:bidi="ar"/>
        </w:rPr>
      </w:pPr>
      <w:r>
        <w:rPr>
          <w:rFonts w:hint="eastAsia" w:ascii="仿宋" w:hAnsi="仿宋" w:eastAsia="仿宋" w:cs="仿宋"/>
          <w:b/>
          <w:bCs/>
          <w:color w:val="auto"/>
          <w:sz w:val="28"/>
          <w:szCs w:val="28"/>
          <w:lang w:val="en-US" w:eastAsia="zh-CN" w:bidi="ar"/>
        </w:rPr>
        <w:t>七、</w:t>
      </w:r>
      <w:r>
        <w:rPr>
          <w:rFonts w:hint="eastAsia" w:ascii="仿宋" w:hAnsi="仿宋" w:eastAsia="仿宋" w:cs="仿宋"/>
          <w:b/>
          <w:bCs/>
          <w:color w:val="auto"/>
          <w:sz w:val="28"/>
          <w:szCs w:val="28"/>
          <w:lang w:bidi="ar"/>
        </w:rPr>
        <w:t>本方案的生效及实施</w:t>
      </w:r>
    </w:p>
    <w:p>
      <w:pPr>
        <w:spacing w:line="560" w:lineRule="exact"/>
        <w:ind w:firstLine="560" w:firstLineChars="200"/>
        <w:jc w:val="both"/>
        <w:rPr>
          <w:rStyle w:val="12"/>
          <w:rFonts w:hint="eastAsia" w:ascii="仿宋" w:hAnsi="仿宋" w:eastAsia="仿宋" w:cs="仿宋"/>
          <w:kern w:val="2"/>
          <w:sz w:val="28"/>
          <w:szCs w:val="28"/>
          <w:lang w:val="en-US" w:eastAsia="zh-CN" w:bidi="ar-SA"/>
        </w:rPr>
      </w:pPr>
      <w:r>
        <w:rPr>
          <w:rFonts w:hint="eastAsia" w:ascii="仿宋" w:hAnsi="仿宋" w:eastAsia="仿宋" w:cs="仿宋"/>
          <w:color w:val="auto"/>
          <w:sz w:val="28"/>
          <w:szCs w:val="28"/>
          <w:lang w:bidi="ar"/>
        </w:rPr>
        <w:t>本方案经</w:t>
      </w:r>
      <w:r>
        <w:rPr>
          <w:rFonts w:hint="eastAsia" w:ascii="仿宋" w:hAnsi="仿宋" w:eastAsia="仿宋" w:cs="仿宋"/>
          <w:color w:val="auto"/>
          <w:sz w:val="28"/>
          <w:szCs w:val="28"/>
          <w:lang w:val="en-US" w:eastAsia="zh-CN" w:bidi="ar"/>
        </w:rPr>
        <w:t>人民法院</w:t>
      </w:r>
      <w:r>
        <w:rPr>
          <w:rFonts w:hint="eastAsia" w:ascii="仿宋" w:hAnsi="仿宋" w:eastAsia="仿宋" w:cs="仿宋"/>
          <w:color w:val="auto"/>
          <w:sz w:val="28"/>
          <w:szCs w:val="28"/>
          <w:lang w:bidi="ar"/>
        </w:rPr>
        <w:t>裁定确认后生效</w:t>
      </w:r>
      <w:r>
        <w:rPr>
          <w:rFonts w:hint="eastAsia" w:ascii="仿宋" w:hAnsi="仿宋" w:eastAsia="仿宋" w:cs="仿宋"/>
          <w:color w:val="auto"/>
          <w:sz w:val="28"/>
          <w:szCs w:val="28"/>
          <w:lang w:eastAsia="zh-CN" w:bidi="ar"/>
        </w:rPr>
        <w:t>，</w:t>
      </w:r>
      <w:r>
        <w:rPr>
          <w:rFonts w:hint="eastAsia" w:ascii="仿宋" w:hAnsi="仿宋" w:eastAsia="仿宋" w:cs="仿宋"/>
          <w:color w:val="auto"/>
          <w:sz w:val="28"/>
          <w:szCs w:val="28"/>
          <w:lang w:bidi="ar"/>
        </w:rPr>
        <w:t>在生效后的3个工作日内开始实施。</w:t>
      </w:r>
    </w:p>
    <w:p>
      <w:pPr>
        <w:spacing w:before="0" w:beforeLines="0" w:line="560" w:lineRule="exact"/>
        <w:ind w:firstLine="3373" w:firstLineChars="1200"/>
        <w:jc w:val="right"/>
        <w:rPr>
          <w:rFonts w:hint="eastAsia" w:ascii="仿宋" w:hAnsi="仿宋" w:eastAsia="仿宋" w:cs="仿宋"/>
          <w:b/>
          <w:bCs/>
          <w:color w:val="000000" w:themeColor="text1"/>
          <w:sz w:val="28"/>
          <w:szCs w:val="28"/>
          <w:lang w:eastAsia="zh-CN"/>
          <w14:textFill>
            <w14:solidFill>
              <w14:schemeClr w14:val="tx1"/>
            </w14:solidFill>
          </w14:textFill>
        </w:rPr>
      </w:pPr>
    </w:p>
    <w:p>
      <w:pPr>
        <w:spacing w:before="0" w:beforeLines="0" w:line="560" w:lineRule="exact"/>
        <w:ind w:firstLine="3373" w:firstLineChars="1200"/>
        <w:jc w:val="right"/>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广州中创金融企业服务有限公司清算组</w:t>
      </w:r>
    </w:p>
    <w:p>
      <w:pPr>
        <w:spacing w:beforeLines="0" w:line="560" w:lineRule="exact"/>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负责人：余关宝                         </w:t>
      </w:r>
    </w:p>
    <w:p>
      <w:pPr>
        <w:keepNext w:val="0"/>
        <w:keepLines w:val="0"/>
        <w:pageBreakBefore w:val="0"/>
        <w:widowControl/>
        <w:kinsoku/>
        <w:overflowPunct/>
        <w:topLinePunct w:val="0"/>
        <w:autoSpaceDE/>
        <w:autoSpaceDN/>
        <w:bidi w:val="0"/>
        <w:adjustRightInd/>
        <w:snapToGrid/>
        <w:spacing w:beforeLines="0" w:line="560" w:lineRule="exact"/>
        <w:ind w:right="0"/>
        <w:jc w:val="right"/>
        <w:textAlignment w:val="auto"/>
        <w:rPr>
          <w:rFonts w:hint="default" w:ascii="仿宋" w:hAnsi="仿宋" w:eastAsia="仿宋" w:cs="仿宋"/>
          <w:sz w:val="24"/>
          <w:szCs w:val="24"/>
          <w:highlight w:val="none"/>
          <w:lang w:val="en-US" w:eastAsia="zh-CN"/>
        </w:rPr>
      </w:pPr>
      <w:r>
        <w:rPr>
          <w:rFonts w:hint="eastAsia" w:ascii="仿宋" w:hAnsi="仿宋" w:eastAsia="仿宋" w:cs="仿宋"/>
          <w:color w:val="auto"/>
          <w:sz w:val="28"/>
          <w:szCs w:val="28"/>
          <w:lang w:val="en-US" w:eastAsia="zh-CN"/>
        </w:rPr>
        <w:t>2023</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11</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日</w:t>
      </w:r>
    </w:p>
    <w:p>
      <w:pPr>
        <w:sectPr>
          <w:footerReference r:id="rId4" w:type="default"/>
          <w:footerReference r:id="rId5" w:type="even"/>
          <w:pgSz w:w="11906" w:h="16838"/>
          <w:pgMar w:top="1440" w:right="1800" w:bottom="1440" w:left="1800" w:header="851" w:footer="992" w:gutter="0"/>
          <w:lnNumType w:countBy="0"/>
          <w:pgNumType w:fmt="decimal"/>
          <w:cols w:space="425" w:num="1"/>
          <w:vAlign w:val="top"/>
          <w:docGrid w:type="lines" w:linePitch="312" w:charSpace="0"/>
        </w:sectPr>
      </w:pPr>
    </w:p>
    <w:p>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kern w:val="2"/>
          <w:sz w:val="32"/>
          <w:szCs w:val="32"/>
        </w:rPr>
      </w:pPr>
      <w:r>
        <w:rPr>
          <w:rFonts w:hint="eastAsia" w:ascii="仿宋" w:hAnsi="仿宋" w:eastAsia="仿宋" w:cs="仿宋"/>
          <w:b/>
          <w:bCs/>
          <w:kern w:val="2"/>
          <w:sz w:val="32"/>
          <w:szCs w:val="32"/>
          <w:lang w:val="en-US" w:eastAsia="zh-CN" w:bidi="ar"/>
        </w:rPr>
        <w:t>广州中创金融企业服务有限公司清算方案</w:t>
      </w:r>
    </w:p>
    <w:p>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kern w:val="2"/>
          <w:sz w:val="32"/>
          <w:szCs w:val="32"/>
        </w:rPr>
      </w:pPr>
      <w:r>
        <w:rPr>
          <w:rFonts w:hint="eastAsia" w:ascii="仿宋" w:hAnsi="仿宋" w:eastAsia="仿宋" w:cs="仿宋"/>
          <w:b/>
          <w:bCs/>
          <w:kern w:val="2"/>
          <w:sz w:val="32"/>
          <w:szCs w:val="32"/>
          <w:lang w:val="en-US" w:eastAsia="zh-CN" w:bidi="ar"/>
        </w:rPr>
        <w:t>确认表</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kern w:val="2"/>
          <w:sz w:val="28"/>
          <w:szCs w:val="28"/>
        </w:rPr>
      </w:pPr>
      <w:r>
        <w:rPr>
          <w:rFonts w:hint="eastAsia" w:ascii="仿宋" w:hAnsi="仿宋" w:eastAsia="仿宋" w:cs="仿宋"/>
          <w:kern w:val="2"/>
          <w:sz w:val="28"/>
          <w:szCs w:val="28"/>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baseline"/>
        <w:rPr>
          <w:rFonts w:hint="eastAsia" w:ascii="仿宋" w:hAnsi="仿宋" w:eastAsia="仿宋" w:cs="仿宋"/>
          <w:kern w:val="2"/>
          <w:sz w:val="28"/>
          <w:szCs w:val="28"/>
        </w:rPr>
      </w:pPr>
      <w:r>
        <w:rPr>
          <w:rFonts w:hint="eastAsia" w:ascii="仿宋" w:hAnsi="仿宋" w:eastAsia="仿宋" w:cs="仿宋"/>
          <w:kern w:val="2"/>
          <w:sz w:val="28"/>
          <w:szCs w:val="28"/>
          <w:lang w:val="en-US" w:eastAsia="zh-CN" w:bidi="ar"/>
        </w:rPr>
        <w:t>我方已对《广州中创金融企业服务有限公司清算方案》进行审查，并知悉《中华人民共和国公司法》等相关法律法规关于股东/债权人的各项权利行使规则，现提出意见如下：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firstLine="560" w:firstLineChars="200"/>
        <w:jc w:val="both"/>
        <w:textAlignment w:val="baseline"/>
        <w:rPr>
          <w:rFonts w:hint="eastAsia" w:ascii="仿宋" w:hAnsi="仿宋" w:eastAsia="仿宋" w:cs="仿宋"/>
          <w:kern w:val="2"/>
          <w:sz w:val="28"/>
          <w:szCs w:val="28"/>
        </w:rPr>
      </w:pPr>
      <w:r>
        <w:rPr>
          <w:rFonts w:hint="eastAsia" w:ascii="仿宋" w:hAnsi="仿宋" w:eastAsia="仿宋" w:cs="仿宋"/>
          <w:kern w:val="2"/>
          <w:sz w:val="28"/>
          <w:szCs w:val="28"/>
          <w:lang w:val="en-US" w:eastAsia="zh-CN" w:bidi="ar"/>
        </w:rPr>
        <w:t>□确认《广州中创金融企业服务有限公司清算方案》。</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kern w:val="2"/>
          <w:sz w:val="28"/>
          <w:szCs w:val="28"/>
          <w:u w:val="single"/>
          <w:lang w:val="en-US" w:eastAsia="zh-CN" w:bidi="ar"/>
        </w:rPr>
      </w:pPr>
      <w:r>
        <w:rPr>
          <w:rFonts w:hint="eastAsia" w:ascii="仿宋" w:hAnsi="仿宋" w:eastAsia="仿宋" w:cs="仿宋"/>
          <w:kern w:val="2"/>
          <w:sz w:val="28"/>
          <w:szCs w:val="28"/>
          <w:lang w:val="en-US" w:eastAsia="zh-CN" w:bidi="ar"/>
        </w:rPr>
        <w:t>□不确认《广州中创金融企业服务有限公司清算方案》，原因</w:t>
      </w:r>
      <w:r>
        <w:rPr>
          <w:rFonts w:hint="eastAsia" w:ascii="仿宋" w:hAnsi="仿宋" w:eastAsia="仿宋" w:cs="仿宋"/>
          <w:kern w:val="2"/>
          <w:sz w:val="28"/>
          <w:szCs w:val="28"/>
          <w:u w:val="none"/>
          <w:lang w:val="en-US" w:eastAsia="zh-CN" w:bidi="ar"/>
        </w:rPr>
        <w:t>为：</w:t>
      </w:r>
      <w:r>
        <w:rPr>
          <w:rFonts w:hint="eastAsia" w:ascii="仿宋" w:hAnsi="仿宋" w:eastAsia="仿宋" w:cs="仿宋"/>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kern w:val="2"/>
          <w:sz w:val="28"/>
          <w:szCs w:val="28"/>
          <w:u w:val="single"/>
          <w:lang w:val="en-US" w:eastAsia="zh-CN" w:bidi="ar"/>
        </w:rPr>
      </w:pPr>
      <w:r>
        <w:rPr>
          <w:rFonts w:hint="eastAsia" w:ascii="仿宋" w:hAnsi="仿宋" w:eastAsia="仿宋" w:cs="仿宋"/>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kern w:val="2"/>
          <w:sz w:val="28"/>
          <w:szCs w:val="28"/>
          <w:u w:val="single"/>
          <w:lang w:val="en-US" w:eastAsia="zh-CN" w:bidi="ar"/>
        </w:rPr>
      </w:pPr>
      <w:r>
        <w:rPr>
          <w:rFonts w:hint="eastAsia" w:ascii="仿宋" w:hAnsi="仿宋" w:eastAsia="仿宋" w:cs="仿宋"/>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kern w:val="2"/>
          <w:sz w:val="28"/>
          <w:szCs w:val="28"/>
          <w:u w:val="single"/>
          <w:lang w:val="en-US" w:eastAsia="zh-CN" w:bidi="ar"/>
        </w:rPr>
      </w:pPr>
      <w:r>
        <w:rPr>
          <w:rFonts w:hint="eastAsia" w:ascii="仿宋" w:hAnsi="仿宋" w:eastAsia="仿宋" w:cs="仿宋"/>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kern w:val="2"/>
          <w:sz w:val="28"/>
          <w:szCs w:val="28"/>
          <w:u w:val="single"/>
          <w:lang w:val="en-US" w:eastAsia="zh-CN" w:bidi="ar"/>
        </w:rPr>
      </w:pPr>
      <w:r>
        <w:rPr>
          <w:rFonts w:hint="eastAsia" w:ascii="仿宋" w:hAnsi="仿宋" w:eastAsia="仿宋" w:cs="仿宋"/>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仿宋" w:hAnsi="仿宋" w:eastAsia="仿宋" w:cs="仿宋"/>
          <w:kern w:val="2"/>
          <w:sz w:val="28"/>
          <w:szCs w:val="28"/>
          <w:u w:val="single"/>
          <w:lang w:val="en-US" w:eastAsia="zh-CN" w:bidi="ar"/>
        </w:rPr>
      </w:pPr>
      <w:r>
        <w:rPr>
          <w:rFonts w:hint="eastAsia" w:ascii="仿宋" w:hAnsi="仿宋" w:eastAsia="仿宋" w:cs="仿宋"/>
          <w:kern w:val="2"/>
          <w:sz w:val="28"/>
          <w:szCs w:val="28"/>
          <w:u w:val="single"/>
          <w:lang w:val="en-US" w:eastAsia="zh-CN" w:bidi="ar"/>
        </w:rPr>
        <w:t xml:space="preserve">                                                        </w:t>
      </w:r>
    </w:p>
    <w:p>
      <w:pPr>
        <w:keepNext w:val="0"/>
        <w:keepLines w:val="0"/>
        <w:widowControl w:val="0"/>
        <w:suppressLineNumbers w:val="0"/>
        <w:spacing w:before="0" w:beforeAutospacing="0" w:after="0" w:afterAutospacing="0" w:line="500" w:lineRule="exact"/>
        <w:ind w:left="0" w:right="0" w:firstLine="3360" w:firstLineChars="1200"/>
        <w:jc w:val="both"/>
        <w:rPr>
          <w:rFonts w:hint="eastAsia" w:ascii="仿宋" w:hAnsi="仿宋" w:eastAsia="仿宋" w:cs="仿宋"/>
          <w:kern w:val="2"/>
          <w:sz w:val="28"/>
          <w:szCs w:val="28"/>
          <w:lang w:val="en-US" w:eastAsia="zh-CN" w:bidi="ar"/>
        </w:rPr>
      </w:pPr>
    </w:p>
    <w:p>
      <w:pPr>
        <w:keepNext w:val="0"/>
        <w:keepLines w:val="0"/>
        <w:widowControl w:val="0"/>
        <w:suppressLineNumbers w:val="0"/>
        <w:spacing w:before="0" w:beforeAutospacing="0" w:after="0" w:afterAutospacing="0" w:line="500" w:lineRule="exact"/>
        <w:ind w:left="0" w:right="0" w:firstLine="3360" w:firstLineChars="1200"/>
        <w:jc w:val="both"/>
        <w:rPr>
          <w:rFonts w:hint="eastAsia" w:ascii="仿宋" w:hAnsi="仿宋" w:eastAsia="仿宋" w:cs="仿宋"/>
          <w:kern w:val="2"/>
          <w:sz w:val="28"/>
          <w:szCs w:val="28"/>
        </w:rPr>
      </w:pPr>
      <w:r>
        <w:rPr>
          <w:rFonts w:hint="eastAsia" w:ascii="仿宋" w:hAnsi="仿宋" w:eastAsia="仿宋" w:cs="仿宋"/>
          <w:kern w:val="2"/>
          <w:sz w:val="28"/>
          <w:szCs w:val="28"/>
          <w:lang w:val="en-US" w:eastAsia="zh-CN" w:bidi="ar"/>
        </w:rPr>
        <w:t>股东/债权人（盖章、签字）：</w:t>
      </w:r>
    </w:p>
    <w:p>
      <w:pPr>
        <w:keepNext w:val="0"/>
        <w:keepLines w:val="0"/>
        <w:widowControl w:val="0"/>
        <w:suppressLineNumbers w:val="0"/>
        <w:spacing w:before="0" w:beforeAutospacing="0" w:after="0" w:afterAutospacing="0" w:line="500" w:lineRule="exact"/>
        <w:ind w:left="0" w:right="0"/>
        <w:jc w:val="both"/>
        <w:rPr>
          <w:rFonts w:hint="eastAsia" w:ascii="仿宋" w:hAnsi="仿宋" w:eastAsia="仿宋" w:cs="仿宋"/>
          <w:kern w:val="2"/>
          <w:sz w:val="28"/>
          <w:szCs w:val="28"/>
        </w:rPr>
      </w:pPr>
      <w:r>
        <w:rPr>
          <w:rFonts w:hint="eastAsia" w:ascii="仿宋" w:hAnsi="仿宋" w:eastAsia="仿宋" w:cs="仿宋"/>
          <w:kern w:val="2"/>
          <w:sz w:val="28"/>
          <w:szCs w:val="28"/>
          <w:lang w:val="en-US" w:eastAsia="zh-CN" w:bidi="ar"/>
        </w:rPr>
        <w:t xml:space="preserve"> </w:t>
      </w:r>
    </w:p>
    <w:p>
      <w:pPr>
        <w:keepNext w:val="0"/>
        <w:keepLines w:val="0"/>
        <w:widowControl w:val="0"/>
        <w:suppressLineNumbers w:val="0"/>
        <w:spacing w:before="0" w:beforeAutospacing="0" w:after="0" w:afterAutospacing="0" w:line="500" w:lineRule="exact"/>
        <w:ind w:left="0" w:right="0" w:firstLine="3360" w:firstLineChars="1200"/>
        <w:jc w:val="both"/>
        <w:rPr>
          <w:rFonts w:hint="eastAsia" w:ascii="仿宋" w:hAnsi="仿宋" w:eastAsia="仿宋" w:cs="仿宋"/>
          <w:kern w:val="2"/>
          <w:sz w:val="28"/>
          <w:szCs w:val="28"/>
        </w:rPr>
      </w:pPr>
      <w:r>
        <w:rPr>
          <w:rFonts w:hint="eastAsia" w:ascii="仿宋" w:hAnsi="仿宋" w:eastAsia="仿宋" w:cs="仿宋"/>
          <w:kern w:val="2"/>
          <w:sz w:val="28"/>
          <w:szCs w:val="28"/>
          <w:lang w:val="en-US" w:eastAsia="zh-CN" w:bidi="ar"/>
        </w:rPr>
        <w:t>日期：    年    月   日</w:t>
      </w:r>
    </w:p>
    <w:p>
      <w:pPr>
        <w:keepNext w:val="0"/>
        <w:keepLines w:val="0"/>
        <w:widowControl w:val="0"/>
        <w:suppressLineNumbers w:val="0"/>
        <w:spacing w:before="0" w:beforeAutospacing="0" w:after="0" w:afterAutospacing="0" w:line="500" w:lineRule="exact"/>
        <w:ind w:left="0" w:right="0"/>
        <w:jc w:val="both"/>
        <w:rPr>
          <w:rFonts w:hint="eastAsia" w:ascii="仿宋" w:hAnsi="仿宋" w:eastAsia="仿宋" w:cs="仿宋"/>
          <w:kern w:val="2"/>
          <w:sz w:val="28"/>
          <w:szCs w:val="28"/>
        </w:rPr>
      </w:pPr>
      <w:r>
        <w:rPr>
          <w:rFonts w:hint="eastAsia" w:ascii="仿宋" w:hAnsi="仿宋" w:eastAsia="仿宋" w:cs="仿宋"/>
          <w:kern w:val="2"/>
          <w:sz w:val="28"/>
          <w:szCs w:val="28"/>
          <w:lang w:val="en-US" w:eastAsia="zh-CN" w:bidi="ar"/>
        </w:rPr>
        <w:t xml:space="preserve"> </w:t>
      </w:r>
    </w:p>
    <w:p>
      <w:pPr>
        <w:keepNext w:val="0"/>
        <w:keepLines w:val="0"/>
        <w:widowControl w:val="0"/>
        <w:suppressLineNumbers w:val="0"/>
        <w:spacing w:before="0" w:beforeAutospacing="0" w:after="0" w:afterAutospacing="0" w:line="500" w:lineRule="exact"/>
        <w:ind w:left="0" w:right="0" w:firstLine="482" w:firstLineChars="200"/>
        <w:jc w:val="both"/>
        <w:rPr>
          <w:rFonts w:hint="eastAsia" w:ascii="仿宋" w:hAnsi="仿宋" w:eastAsia="仿宋" w:cs="仿宋"/>
          <w:b/>
          <w:bCs/>
          <w:kern w:val="2"/>
          <w:sz w:val="24"/>
          <w:szCs w:val="24"/>
        </w:rPr>
      </w:pPr>
      <w:r>
        <w:rPr>
          <w:rFonts w:hint="eastAsia" w:ascii="仿宋" w:hAnsi="仿宋" w:eastAsia="仿宋" w:cs="仿宋"/>
          <w:b/>
          <w:bCs/>
          <w:kern w:val="2"/>
          <w:sz w:val="24"/>
          <w:szCs w:val="24"/>
          <w:lang w:val="en-US" w:eastAsia="zh-CN" w:bidi="ar"/>
        </w:rPr>
        <w:t>说明：</w:t>
      </w:r>
    </w:p>
    <w:p>
      <w:pPr>
        <w:keepNext w:val="0"/>
        <w:keepLines w:val="0"/>
        <w:widowControl w:val="0"/>
        <w:suppressLineNumbers w:val="0"/>
        <w:spacing w:before="0" w:beforeAutospacing="0" w:after="0" w:afterAutospacing="0" w:line="500" w:lineRule="exact"/>
        <w:ind w:left="0" w:right="0" w:firstLine="482" w:firstLineChars="200"/>
        <w:jc w:val="both"/>
        <w:rPr>
          <w:rFonts w:hint="eastAsia" w:ascii="仿宋" w:hAnsi="仿宋" w:eastAsia="仿宋" w:cs="仿宋"/>
          <w:b/>
          <w:bCs/>
          <w:kern w:val="2"/>
          <w:sz w:val="24"/>
          <w:szCs w:val="24"/>
        </w:rPr>
      </w:pPr>
      <w:r>
        <w:rPr>
          <w:rFonts w:hint="eastAsia" w:ascii="仿宋" w:hAnsi="仿宋" w:eastAsia="仿宋" w:cs="仿宋"/>
          <w:b/>
          <w:bCs/>
          <w:kern w:val="2"/>
          <w:sz w:val="24"/>
          <w:szCs w:val="24"/>
          <w:lang w:val="en-US" w:eastAsia="zh-CN" w:bidi="ar"/>
        </w:rPr>
        <w:t>1.股东/债权人在确认或不确认前对应的方框里打“√”是股东/债权人的真实意思表示，且只能选择其中一项打“√”，否则视为确认。</w:t>
      </w:r>
    </w:p>
    <w:p>
      <w:pPr>
        <w:keepNext w:val="0"/>
        <w:keepLines w:val="0"/>
        <w:widowControl w:val="0"/>
        <w:suppressLineNumbers w:val="0"/>
        <w:spacing w:before="0" w:beforeAutospacing="0" w:after="0" w:afterAutospacing="0" w:line="500" w:lineRule="exact"/>
        <w:ind w:left="0" w:right="0" w:firstLine="482" w:firstLineChars="200"/>
        <w:jc w:val="both"/>
        <w:rPr>
          <w:rFonts w:hint="eastAsia" w:ascii="仿宋" w:hAnsi="仿宋" w:eastAsia="仿宋" w:cs="仿宋"/>
          <w:b/>
          <w:bCs/>
          <w:kern w:val="2"/>
          <w:sz w:val="24"/>
          <w:szCs w:val="24"/>
        </w:rPr>
      </w:pPr>
      <w:r>
        <w:rPr>
          <w:rFonts w:hint="eastAsia" w:ascii="仿宋" w:hAnsi="仿宋" w:eastAsia="仿宋" w:cs="仿宋"/>
          <w:b/>
          <w:bCs/>
          <w:kern w:val="2"/>
          <w:sz w:val="24"/>
          <w:szCs w:val="24"/>
          <w:lang w:val="en-US" w:eastAsia="zh-CN" w:bidi="ar"/>
        </w:rPr>
        <w:t>2.股东/债权人对清算方案不确认的，应当于2023年11月9日前在确认表中填写不确认的原因并提交给清算组（联系方</w:t>
      </w:r>
      <w:bookmarkStart w:id="0" w:name="_GoBack"/>
      <w:bookmarkEnd w:id="0"/>
      <w:r>
        <w:rPr>
          <w:rFonts w:hint="eastAsia" w:ascii="仿宋" w:hAnsi="仿宋" w:eastAsia="仿宋" w:cs="仿宋"/>
          <w:b/>
          <w:bCs/>
          <w:kern w:val="2"/>
          <w:sz w:val="24"/>
          <w:szCs w:val="24"/>
          <w:lang w:val="en-US" w:eastAsia="zh-CN" w:bidi="ar"/>
        </w:rPr>
        <w:t>式：广州市天河区天河北路189号中国市长大厦1802，联系人：胡泽林，电话18873974853），如只是不确认而没有填写不确认的原因或逾期不提交的视为确认《广州中创金融企业服务有限公司清算方案》。</w:t>
      </w:r>
    </w:p>
    <w:p/>
    <w:sectPr>
      <w:footerReference r:id="rId6" w:type="default"/>
      <w:pgSz w:w="11906" w:h="16838"/>
      <w:pgMar w:top="1440" w:right="1800" w:bottom="1440" w:left="1800" w:header="851" w:footer="992" w:gutter="0"/>
      <w:lnNumType w:countBy="0"/>
      <w:pgNumType w:fmt="decimal"/>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16"/>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12</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12</w:t>
                    </w:r>
                    <w:r>
                      <w:t xml:space="preserve"> 页</w:t>
                    </w:r>
                  </w:p>
                </w:txbxContent>
              </v:textbox>
            </v:shape>
          </w:pict>
        </mc:Fallback>
      </mc:AlternateContent>
    </w:r>
  </w:p>
  <w:p>
    <w:pPr>
      <w:pStyle w:val="3"/>
      <w:widowControl/>
      <w:snapToGrid w:val="0"/>
      <w:ind w:right="360"/>
      <w:jc w:val="left"/>
      <w:textAlignment w:val="baseline"/>
      <w:rPr>
        <w:rStyle w:val="12"/>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margin" w:hAnchor="text" w:xAlign="right" w:y="1"/>
      <w:widowControl/>
      <w:snapToGrid w:val="0"/>
      <w:jc w:val="left"/>
      <w:textAlignment w:val="baseline"/>
      <w:rPr>
        <w:rStyle w:val="16"/>
        <w:kern w:val="2"/>
        <w:sz w:val="18"/>
        <w:szCs w:val="18"/>
        <w:lang w:val="en-US" w:eastAsia="zh-CN" w:bidi="ar-SA"/>
      </w:rPr>
    </w:pPr>
  </w:p>
  <w:p>
    <w:pPr>
      <w:pStyle w:val="3"/>
      <w:widowControl/>
      <w:snapToGrid w:val="0"/>
      <w:ind w:right="360"/>
      <w:jc w:val="left"/>
      <w:textAlignment w:val="baseline"/>
      <w:rPr>
        <w:rStyle w:val="12"/>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16"/>
        <w:kern w:val="2"/>
        <w:sz w:val="18"/>
        <w:szCs w:val="18"/>
        <w:lang w:val="en-US" w:eastAsia="zh-CN" w:bidi="ar-SA"/>
      </w:rPr>
    </w:pPr>
  </w:p>
  <w:p>
    <w:pPr>
      <w:pStyle w:val="3"/>
      <w:widowControl/>
      <w:snapToGrid w:val="0"/>
      <w:ind w:right="360"/>
      <w:jc w:val="left"/>
      <w:textAlignment w:val="baseline"/>
      <w:rPr>
        <w:rStyle w:val="12"/>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0">
    <w:p>
      <w:r>
        <w:separator/>
      </w:r>
    </w:p>
  </w:footnote>
  <w:footnote w:type="continuationSeparator" w:id="11">
    <w:p>
      <w:r>
        <w:continuationSeparator/>
      </w:r>
    </w:p>
  </w:footnote>
  <w:footnote w:id="0">
    <w:p>
      <w:pPr>
        <w:pStyle w:val="5"/>
        <w:snapToGrid w:val="0"/>
        <w:rPr>
          <w:rFonts w:hint="eastAsia"/>
        </w:rPr>
      </w:pPr>
      <w:r>
        <w:rPr>
          <w:rStyle w:val="11"/>
        </w:rPr>
        <w:footnoteRef/>
      </w:r>
      <w:r>
        <w:t xml:space="preserve"> </w:t>
      </w:r>
      <w:r>
        <w:rPr>
          <w:rFonts w:hint="eastAsia"/>
        </w:rPr>
        <w:t>降价（荷兰）式：拍卖标的竞价由高到低依次递减，直到第一个竞买人应价时成交的一种拍卖方式。</w:t>
      </w:r>
    </w:p>
    <w:p>
      <w:pPr>
        <w:pStyle w:val="5"/>
        <w:snapToGrid w:val="0"/>
      </w:pPr>
      <w:r>
        <w:rPr>
          <w:rFonts w:hint="eastAsia"/>
        </w:rPr>
        <w:t>例如：标的起拍价为1000元，降价周期为10分钟，降价幅度为100元，该标的开始拍卖后按照每10分钟降价100元依次递减，在此期间有1人出价且高于保留价则当前标的即可成交。若标的当前价格达到保留价且倒计时结束仍无人应价，则标的不成交。</w:t>
      </w:r>
    </w:p>
  </w:footnote>
  <w:footnote w:id="1">
    <w:p>
      <w:pPr>
        <w:pStyle w:val="5"/>
        <w:snapToGrid w:val="0"/>
      </w:pPr>
      <w:r>
        <w:rPr>
          <w:rStyle w:val="11"/>
        </w:rPr>
        <w:footnoteRef/>
      </w:r>
      <w:r>
        <w:t xml:space="preserve"> </w:t>
      </w:r>
      <w:r>
        <w:rPr>
          <w:rFonts w:hint="eastAsia"/>
        </w:rPr>
        <w:t>《最高人民法院印发&lt;关于审理公司强制清算案件工作座谈会纪要&gt;的通知》</w:t>
      </w:r>
      <w:r>
        <w:rPr>
          <w:rFonts w:hint="eastAsia"/>
          <w:lang w:val="en-US" w:eastAsia="zh-CN"/>
        </w:rPr>
        <w:t>第39</w:t>
      </w:r>
      <w:r>
        <w:rPr>
          <w:rFonts w:hint="eastAsia"/>
        </w:rPr>
        <w:t>鉴于公司强制清算与破产清算在具体程序操作上的相似性，就公司法、公司法司法解释二，以及本会议纪要未予涉及的情形，如清算中公司的有关人员未依法妥善保管其占有和管理的财产、印章和帐簿、文书资料，清算组未及时接管清算中公司的财产、印章和帐簿、文书，清算中公司拒不向人民法院提交或者提交不真实的财产状况说明、债务清册、债权清册、有关财务会计报告以及职工工资的支付情况和社会保险费用的缴纳情况，清算中公司拒不向清算组移交财产、印章和帐簿、文书等资料，或者伪造、销毁有关财产证据材料而使财产状况不明，股东未缴足出资、抽逃出资，以及公司董事、监事、高级管理人员非法侵占公司财产等，可参照企业破产法及其司法解释的有关规定处理。</w:t>
      </w:r>
    </w:p>
  </w:footnote>
  <w:footnote w:id="2">
    <w:p>
      <w:pPr>
        <w:pStyle w:val="5"/>
        <w:snapToGrid w:val="0"/>
      </w:pPr>
      <w:r>
        <w:rPr>
          <w:rStyle w:val="11"/>
        </w:rPr>
        <w:footnoteRef/>
      </w:r>
      <w:r>
        <w:t xml:space="preserve"> </w:t>
      </w:r>
      <w:r>
        <w:rPr>
          <w:rFonts w:hint="eastAsia"/>
        </w:rPr>
        <w:t>《中华人民共和国企业破产法》第</w:t>
      </w:r>
      <w:r>
        <w:rPr>
          <w:rFonts w:hint="eastAsia"/>
          <w:lang w:val="en-US" w:eastAsia="zh-CN"/>
        </w:rPr>
        <w:t>113</w:t>
      </w:r>
      <w:r>
        <w:rPr>
          <w:rFonts w:hint="eastAsia"/>
        </w:rPr>
        <w:t>条规定：“破产财产在优先清偿破产费用和共益债务后，依照下列顺序清偿：（一）破产人所欠职工的工资和医疗、伤残补助、抚恤费用，所欠的应当划入职工个人账户的基本养老保险、基本医疗保险费用，以及法律、行政法规规定应当支付给职工的补偿金；（二）破产人欠缴的除前项规定以外的社会保险费用和破产人所欠税款；（三）普通破产债权。破产财产不足以清偿同一顺序的清偿要求的，按照比例分配。”</w:t>
      </w:r>
    </w:p>
  </w:footnote>
  <w:footnote w:id="3">
    <w:p>
      <w:pPr>
        <w:pStyle w:val="5"/>
        <w:snapToGrid w:val="0"/>
        <w:spacing w:line="360" w:lineRule="auto"/>
        <w:rPr>
          <w:rFonts w:hint="eastAsia" w:ascii="宋体" w:hAnsi="宋体" w:eastAsia="宋体" w:cs="宋体"/>
          <w:szCs w:val="18"/>
        </w:rPr>
      </w:pPr>
      <w:r>
        <w:rPr>
          <w:rStyle w:val="11"/>
          <w:rFonts w:hint="eastAsia" w:ascii="宋体" w:hAnsi="宋体" w:eastAsia="宋体" w:cs="宋体"/>
          <w:szCs w:val="18"/>
        </w:rPr>
        <w:footnoteRef/>
      </w:r>
      <w:r>
        <w:rPr>
          <w:rFonts w:hint="eastAsia" w:ascii="宋体" w:hAnsi="宋体" w:eastAsia="宋体" w:cs="宋体"/>
          <w:szCs w:val="18"/>
        </w:rPr>
        <w:t xml:space="preserve"> </w:t>
      </w:r>
      <w:r>
        <w:rPr>
          <w:rFonts w:hint="eastAsia" w:ascii="宋体" w:hAnsi="宋体" w:eastAsia="宋体" w:cs="宋体"/>
          <w:color w:val="auto"/>
          <w:sz w:val="18"/>
          <w:szCs w:val="18"/>
          <w:lang w:val="en-US" w:eastAsia="zh-CN" w:bidi="ar"/>
        </w:rPr>
        <w:t>《中华人民共和国企业破产法》</w:t>
      </w:r>
      <w:r>
        <w:rPr>
          <w:rFonts w:hint="eastAsia" w:ascii="宋体" w:hAnsi="宋体" w:eastAsia="宋体" w:cs="宋体"/>
          <w:i w:val="0"/>
          <w:caps w:val="0"/>
          <w:color w:val="auto"/>
          <w:spacing w:val="0"/>
          <w:sz w:val="18"/>
          <w:szCs w:val="18"/>
          <w:shd w:val="clear"/>
          <w:lang w:bidi="ar"/>
        </w:rPr>
        <w:t>第一百一十三条</w:t>
      </w:r>
      <w:r>
        <w:rPr>
          <w:rFonts w:hint="eastAsia" w:ascii="宋体" w:hAnsi="宋体" w:eastAsia="宋体" w:cs="宋体"/>
          <w:i w:val="0"/>
          <w:caps w:val="0"/>
          <w:color w:val="auto"/>
          <w:spacing w:val="0"/>
          <w:sz w:val="18"/>
          <w:szCs w:val="18"/>
          <w:shd w:val="clear"/>
          <w:lang w:val="en-US" w:eastAsia="zh-CN" w:bidi="ar"/>
        </w:rPr>
        <w:t>规定：</w:t>
      </w:r>
      <w:r>
        <w:rPr>
          <w:rFonts w:hint="eastAsia" w:ascii="宋体" w:hAnsi="宋体" w:eastAsia="宋体" w:cs="宋体"/>
          <w:i w:val="0"/>
          <w:caps w:val="0"/>
          <w:color w:val="auto"/>
          <w:spacing w:val="0"/>
          <w:sz w:val="18"/>
          <w:szCs w:val="18"/>
          <w:shd w:val="clear"/>
          <w:lang w:bidi="ar"/>
        </w:rPr>
        <w:t>破产财产在优先清偿破产费用和共益债务后，依照下列顺序清偿：（一）破产人所欠职工的工资和医疗、伤残补助、抚恤费用，所欠的应当划入职工个人账户的基本养老保险、基本医疗保险费用，以及法律、行政法规规定应当支付给职工的补偿金；（二）破产人欠缴的除前项规定以外的社会保险费用和破产人所欠税款；（三）普通破产债权。破产财产不足以清偿同一顺序的清偿要求的，按照比例分配</w:t>
      </w:r>
      <w:r>
        <w:rPr>
          <w:rFonts w:hint="eastAsia" w:ascii="宋体" w:hAnsi="宋体" w:eastAsia="宋体" w:cs="宋体"/>
          <w:i w:val="0"/>
          <w:caps w:val="0"/>
          <w:color w:val="auto"/>
          <w:spacing w:val="0"/>
          <w:sz w:val="18"/>
          <w:szCs w:val="18"/>
          <w:shd w:val="clear"/>
          <w:lang w:eastAsia="zh-CN" w:bidi="ar"/>
        </w:rPr>
        <w:t>。</w:t>
      </w:r>
    </w:p>
  </w:footnote>
  <w:footnote w:id="4">
    <w:p>
      <w:pPr>
        <w:pStyle w:val="5"/>
        <w:snapToGrid w:val="0"/>
        <w:spacing w:line="360" w:lineRule="auto"/>
        <w:rPr>
          <w:rFonts w:hint="eastAsia" w:ascii="宋体" w:hAnsi="宋体" w:eastAsia="宋体" w:cs="宋体"/>
        </w:rPr>
      </w:pPr>
      <w:r>
        <w:rPr>
          <w:rStyle w:val="11"/>
          <w:rFonts w:hint="eastAsia" w:ascii="宋体" w:hAnsi="宋体" w:eastAsia="宋体" w:cs="宋体"/>
        </w:rPr>
        <w:footnoteRef/>
      </w:r>
      <w:r>
        <w:rPr>
          <w:rFonts w:hint="eastAsia" w:ascii="宋体" w:hAnsi="宋体" w:eastAsia="宋体" w:cs="宋体"/>
        </w:rPr>
        <w:t xml:space="preserve"> 《最高人民法院关于适用&lt;中华人民共和国公司法&gt;若干问题的规定（二）》第十七条：人民法院指定的清算组在清理公司财产、编制资产负债表和财产清单时，发现公司财产不足清偿债务的，可以与债权人协商制作有关债务清偿方案。债务清偿方案经全体债权人确认且不损害其他利害关系人利益的，人民法院可依清算组的申请裁定予以认可。清算组依据该清偿方案清偿债务后，应当向人民法院申请裁定终结清算程序。债权人对债务清偿方案不予确认或者人民法院不予认可的，清算组应当依法向人民法院申请宣告破产。</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EC681C"/>
    <w:multiLevelType w:val="singleLevel"/>
    <w:tmpl w:val="ABEC681C"/>
    <w:lvl w:ilvl="0" w:tentative="0">
      <w:start w:val="6"/>
      <w:numFmt w:val="chineseCounting"/>
      <w:suff w:val="nothing"/>
      <w:lvlText w:val="%1、"/>
      <w:lvlJc w:val="left"/>
      <w:rPr>
        <w:rFonts w:hint="eastAsia"/>
      </w:rPr>
    </w:lvl>
  </w:abstractNum>
  <w:abstractNum w:abstractNumId="1">
    <w:nsid w:val="234A215D"/>
    <w:multiLevelType w:val="singleLevel"/>
    <w:tmpl w:val="234A215D"/>
    <w:lvl w:ilvl="0" w:tentative="0">
      <w:start w:val="1"/>
      <w:numFmt w:val="chineseCounting"/>
      <w:suff w:val="nothing"/>
      <w:lvlText w:val="（%1）"/>
      <w:lvlJc w:val="left"/>
      <w:rPr>
        <w:rFonts w:hint="eastAsia"/>
      </w:rPr>
    </w:lvl>
  </w:abstractNum>
  <w:abstractNum w:abstractNumId="2">
    <w:nsid w:val="268A5BBD"/>
    <w:multiLevelType w:val="singleLevel"/>
    <w:tmpl w:val="268A5BBD"/>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footnotePr>
    <w:footnote w:id="10"/>
    <w:footnote w:id="11"/>
  </w:footnotePr>
  <w:compat>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kMjA4ODk3NDAxY2IwOTNjNzM4MWI2YjEzMjc4NjMifQ=="/>
  </w:docVars>
  <w:rsids>
    <w:rsidRoot w:val="00000000"/>
    <w:rsid w:val="00077A8F"/>
    <w:rsid w:val="00190DF3"/>
    <w:rsid w:val="00203474"/>
    <w:rsid w:val="0025699D"/>
    <w:rsid w:val="002762F4"/>
    <w:rsid w:val="002C035D"/>
    <w:rsid w:val="00342737"/>
    <w:rsid w:val="003D0945"/>
    <w:rsid w:val="003E5D97"/>
    <w:rsid w:val="00424A9F"/>
    <w:rsid w:val="0045062C"/>
    <w:rsid w:val="004D7272"/>
    <w:rsid w:val="005A72A0"/>
    <w:rsid w:val="0060738A"/>
    <w:rsid w:val="007E231A"/>
    <w:rsid w:val="0092013C"/>
    <w:rsid w:val="00932C98"/>
    <w:rsid w:val="009504B4"/>
    <w:rsid w:val="00952F6B"/>
    <w:rsid w:val="009C60C0"/>
    <w:rsid w:val="00AB29E8"/>
    <w:rsid w:val="00B22BA0"/>
    <w:rsid w:val="00B4015C"/>
    <w:rsid w:val="00C21D69"/>
    <w:rsid w:val="00C523AD"/>
    <w:rsid w:val="00CD1BCD"/>
    <w:rsid w:val="00CD5C97"/>
    <w:rsid w:val="00D14A21"/>
    <w:rsid w:val="00D518F3"/>
    <w:rsid w:val="00E055C0"/>
    <w:rsid w:val="00E477AB"/>
    <w:rsid w:val="00E84814"/>
    <w:rsid w:val="00F0737E"/>
    <w:rsid w:val="00FE538B"/>
    <w:rsid w:val="01A544B3"/>
    <w:rsid w:val="01F946AB"/>
    <w:rsid w:val="02535CBD"/>
    <w:rsid w:val="0256755B"/>
    <w:rsid w:val="029D33DC"/>
    <w:rsid w:val="02A824AD"/>
    <w:rsid w:val="032F2286"/>
    <w:rsid w:val="03304250"/>
    <w:rsid w:val="035B4957"/>
    <w:rsid w:val="035E779F"/>
    <w:rsid w:val="03D54FA8"/>
    <w:rsid w:val="03EA43FF"/>
    <w:rsid w:val="04946F07"/>
    <w:rsid w:val="049B394B"/>
    <w:rsid w:val="04B6027A"/>
    <w:rsid w:val="04B8274F"/>
    <w:rsid w:val="05A056BD"/>
    <w:rsid w:val="06047F31"/>
    <w:rsid w:val="06BD404D"/>
    <w:rsid w:val="06DE0942"/>
    <w:rsid w:val="07A019A5"/>
    <w:rsid w:val="080B1243"/>
    <w:rsid w:val="08626C5A"/>
    <w:rsid w:val="09A73861"/>
    <w:rsid w:val="09FE0C04"/>
    <w:rsid w:val="0ADF542A"/>
    <w:rsid w:val="0B3C4B04"/>
    <w:rsid w:val="0B58598A"/>
    <w:rsid w:val="0BAC7737"/>
    <w:rsid w:val="0BC10F45"/>
    <w:rsid w:val="0C082ECB"/>
    <w:rsid w:val="0C371B77"/>
    <w:rsid w:val="0C7156BE"/>
    <w:rsid w:val="0C937D2A"/>
    <w:rsid w:val="0CCF0636"/>
    <w:rsid w:val="0D3B6780"/>
    <w:rsid w:val="0E4165E2"/>
    <w:rsid w:val="0EC75A69"/>
    <w:rsid w:val="0F4075C9"/>
    <w:rsid w:val="0F6D64A3"/>
    <w:rsid w:val="10BB33AB"/>
    <w:rsid w:val="1105494A"/>
    <w:rsid w:val="11AE2F10"/>
    <w:rsid w:val="11B534AA"/>
    <w:rsid w:val="12671F01"/>
    <w:rsid w:val="128915C5"/>
    <w:rsid w:val="12BA66A5"/>
    <w:rsid w:val="136C3083"/>
    <w:rsid w:val="13BA5B9C"/>
    <w:rsid w:val="13C44506"/>
    <w:rsid w:val="141259D8"/>
    <w:rsid w:val="144B0EEA"/>
    <w:rsid w:val="146D0E60"/>
    <w:rsid w:val="15083F21"/>
    <w:rsid w:val="153B2D0D"/>
    <w:rsid w:val="15744470"/>
    <w:rsid w:val="15B14D7D"/>
    <w:rsid w:val="17285503"/>
    <w:rsid w:val="17C74D2B"/>
    <w:rsid w:val="191D35B1"/>
    <w:rsid w:val="19520625"/>
    <w:rsid w:val="198E2689"/>
    <w:rsid w:val="1A361CF4"/>
    <w:rsid w:val="1B1C46A1"/>
    <w:rsid w:val="1BE539D2"/>
    <w:rsid w:val="1BF9297A"/>
    <w:rsid w:val="1C2754B8"/>
    <w:rsid w:val="1C3404B6"/>
    <w:rsid w:val="1C3F5989"/>
    <w:rsid w:val="1D840FC9"/>
    <w:rsid w:val="1D976F4E"/>
    <w:rsid w:val="1DC43D6B"/>
    <w:rsid w:val="1DDE5ACC"/>
    <w:rsid w:val="1EF927C0"/>
    <w:rsid w:val="1F43738D"/>
    <w:rsid w:val="1F4E188E"/>
    <w:rsid w:val="1F886DEE"/>
    <w:rsid w:val="1F9C4CF0"/>
    <w:rsid w:val="1FA140B4"/>
    <w:rsid w:val="204A0286"/>
    <w:rsid w:val="209A7B70"/>
    <w:rsid w:val="21D73DBD"/>
    <w:rsid w:val="23517B9F"/>
    <w:rsid w:val="23607D95"/>
    <w:rsid w:val="236F3428"/>
    <w:rsid w:val="23A6613D"/>
    <w:rsid w:val="24547947"/>
    <w:rsid w:val="24661428"/>
    <w:rsid w:val="24C75EFF"/>
    <w:rsid w:val="255C2529"/>
    <w:rsid w:val="259D0E7A"/>
    <w:rsid w:val="25D0124F"/>
    <w:rsid w:val="25D76FDB"/>
    <w:rsid w:val="2601765A"/>
    <w:rsid w:val="260333D3"/>
    <w:rsid w:val="26282E39"/>
    <w:rsid w:val="270511A0"/>
    <w:rsid w:val="27765087"/>
    <w:rsid w:val="277976C4"/>
    <w:rsid w:val="27906EE8"/>
    <w:rsid w:val="28D539B0"/>
    <w:rsid w:val="28E45ACF"/>
    <w:rsid w:val="29253660"/>
    <w:rsid w:val="29332221"/>
    <w:rsid w:val="29EF3C6E"/>
    <w:rsid w:val="2A10072A"/>
    <w:rsid w:val="2D170774"/>
    <w:rsid w:val="2D4F2D57"/>
    <w:rsid w:val="2DE735DA"/>
    <w:rsid w:val="2E0E6DB8"/>
    <w:rsid w:val="2E5D4DF1"/>
    <w:rsid w:val="2F0361F1"/>
    <w:rsid w:val="2F666780"/>
    <w:rsid w:val="2FA31782"/>
    <w:rsid w:val="30A35EEB"/>
    <w:rsid w:val="30AE21F1"/>
    <w:rsid w:val="31B8458F"/>
    <w:rsid w:val="32075F01"/>
    <w:rsid w:val="32794A1C"/>
    <w:rsid w:val="329A74D4"/>
    <w:rsid w:val="32BD0DAD"/>
    <w:rsid w:val="33DC1707"/>
    <w:rsid w:val="34007428"/>
    <w:rsid w:val="342866FA"/>
    <w:rsid w:val="355377A7"/>
    <w:rsid w:val="36336A3F"/>
    <w:rsid w:val="370074BA"/>
    <w:rsid w:val="3769406F"/>
    <w:rsid w:val="378E5109"/>
    <w:rsid w:val="379F0A81"/>
    <w:rsid w:val="3814146F"/>
    <w:rsid w:val="382D7D61"/>
    <w:rsid w:val="38ED3A6E"/>
    <w:rsid w:val="3971644D"/>
    <w:rsid w:val="39A95BDA"/>
    <w:rsid w:val="39F8091D"/>
    <w:rsid w:val="3A9E7716"/>
    <w:rsid w:val="3AE113B1"/>
    <w:rsid w:val="3AF17846"/>
    <w:rsid w:val="3B6224F2"/>
    <w:rsid w:val="3B673FAC"/>
    <w:rsid w:val="3B7103D2"/>
    <w:rsid w:val="3BD827B4"/>
    <w:rsid w:val="3BED2703"/>
    <w:rsid w:val="3C0636A7"/>
    <w:rsid w:val="3E3448D8"/>
    <w:rsid w:val="3E66679D"/>
    <w:rsid w:val="3EAE39DD"/>
    <w:rsid w:val="3EE80F60"/>
    <w:rsid w:val="3EF66073"/>
    <w:rsid w:val="3F0663C7"/>
    <w:rsid w:val="3F1B66A7"/>
    <w:rsid w:val="3F582E27"/>
    <w:rsid w:val="405E2F95"/>
    <w:rsid w:val="407D392A"/>
    <w:rsid w:val="40C8729B"/>
    <w:rsid w:val="41355838"/>
    <w:rsid w:val="42A81132"/>
    <w:rsid w:val="42F26851"/>
    <w:rsid w:val="43077056"/>
    <w:rsid w:val="43C81360"/>
    <w:rsid w:val="44FD2A30"/>
    <w:rsid w:val="45424E2A"/>
    <w:rsid w:val="45ED50AE"/>
    <w:rsid w:val="46252A2C"/>
    <w:rsid w:val="463C4414"/>
    <w:rsid w:val="46D86D93"/>
    <w:rsid w:val="47F84823"/>
    <w:rsid w:val="485B02E8"/>
    <w:rsid w:val="487E7EF5"/>
    <w:rsid w:val="48855A71"/>
    <w:rsid w:val="48FD385A"/>
    <w:rsid w:val="49325BF9"/>
    <w:rsid w:val="4A6D6C6D"/>
    <w:rsid w:val="4ADA20A4"/>
    <w:rsid w:val="4B315A3D"/>
    <w:rsid w:val="4B3F7FA3"/>
    <w:rsid w:val="4B571947"/>
    <w:rsid w:val="4B645E12"/>
    <w:rsid w:val="4B8B0ABF"/>
    <w:rsid w:val="4B9304A5"/>
    <w:rsid w:val="4C4C7F08"/>
    <w:rsid w:val="4CF60CEC"/>
    <w:rsid w:val="4CFE11C4"/>
    <w:rsid w:val="4D0C050F"/>
    <w:rsid w:val="4D4330D5"/>
    <w:rsid w:val="4D9549A9"/>
    <w:rsid w:val="4E0D4C23"/>
    <w:rsid w:val="4EAC290A"/>
    <w:rsid w:val="4EC015B1"/>
    <w:rsid w:val="50D66479"/>
    <w:rsid w:val="50F3630A"/>
    <w:rsid w:val="51494BB0"/>
    <w:rsid w:val="52131243"/>
    <w:rsid w:val="526E099B"/>
    <w:rsid w:val="532E7431"/>
    <w:rsid w:val="534756F2"/>
    <w:rsid w:val="53E70633"/>
    <w:rsid w:val="53F57F4F"/>
    <w:rsid w:val="54126F95"/>
    <w:rsid w:val="54633612"/>
    <w:rsid w:val="548B2661"/>
    <w:rsid w:val="55346855"/>
    <w:rsid w:val="55CC40DA"/>
    <w:rsid w:val="56293EE0"/>
    <w:rsid w:val="562948DA"/>
    <w:rsid w:val="56350EA6"/>
    <w:rsid w:val="5647080A"/>
    <w:rsid w:val="56587918"/>
    <w:rsid w:val="56C87B9D"/>
    <w:rsid w:val="572A46DE"/>
    <w:rsid w:val="57390153"/>
    <w:rsid w:val="575B3C66"/>
    <w:rsid w:val="57671164"/>
    <w:rsid w:val="579655A5"/>
    <w:rsid w:val="58B65F06"/>
    <w:rsid w:val="58FA7DB6"/>
    <w:rsid w:val="5901490D"/>
    <w:rsid w:val="59927FEE"/>
    <w:rsid w:val="5A980496"/>
    <w:rsid w:val="5B4476BC"/>
    <w:rsid w:val="5BC4082C"/>
    <w:rsid w:val="5BD82630"/>
    <w:rsid w:val="5BF31218"/>
    <w:rsid w:val="5D521F6E"/>
    <w:rsid w:val="5E2D4789"/>
    <w:rsid w:val="5EA455CD"/>
    <w:rsid w:val="60091CDA"/>
    <w:rsid w:val="601C6864"/>
    <w:rsid w:val="60913D4B"/>
    <w:rsid w:val="60CB2763"/>
    <w:rsid w:val="61844C5B"/>
    <w:rsid w:val="61930DA7"/>
    <w:rsid w:val="63AD43A2"/>
    <w:rsid w:val="645A5DA2"/>
    <w:rsid w:val="6525440C"/>
    <w:rsid w:val="65900C1B"/>
    <w:rsid w:val="65C37EAD"/>
    <w:rsid w:val="67137942"/>
    <w:rsid w:val="67166968"/>
    <w:rsid w:val="67722956"/>
    <w:rsid w:val="6773320D"/>
    <w:rsid w:val="67832A2B"/>
    <w:rsid w:val="67BE6D26"/>
    <w:rsid w:val="680E2FEA"/>
    <w:rsid w:val="697F0DAE"/>
    <w:rsid w:val="69996B00"/>
    <w:rsid w:val="69D1246D"/>
    <w:rsid w:val="69E076CB"/>
    <w:rsid w:val="6A9713F1"/>
    <w:rsid w:val="6AA32107"/>
    <w:rsid w:val="6AE34B4E"/>
    <w:rsid w:val="6B373318"/>
    <w:rsid w:val="6B6A0DCB"/>
    <w:rsid w:val="6C4B6506"/>
    <w:rsid w:val="6CBB3810"/>
    <w:rsid w:val="6D7952F5"/>
    <w:rsid w:val="6D9C6891"/>
    <w:rsid w:val="6E313187"/>
    <w:rsid w:val="6E5F417D"/>
    <w:rsid w:val="6EC73BF4"/>
    <w:rsid w:val="6F2474E3"/>
    <w:rsid w:val="6FC95672"/>
    <w:rsid w:val="7000088D"/>
    <w:rsid w:val="70845AD8"/>
    <w:rsid w:val="70A66401"/>
    <w:rsid w:val="70FB1935"/>
    <w:rsid w:val="711E32B9"/>
    <w:rsid w:val="7178712D"/>
    <w:rsid w:val="71844269"/>
    <w:rsid w:val="71E27D05"/>
    <w:rsid w:val="72985C6F"/>
    <w:rsid w:val="72B56DCF"/>
    <w:rsid w:val="733428CA"/>
    <w:rsid w:val="7379604F"/>
    <w:rsid w:val="74640AAD"/>
    <w:rsid w:val="746B4B40"/>
    <w:rsid w:val="749649DF"/>
    <w:rsid w:val="74C57072"/>
    <w:rsid w:val="74CA6436"/>
    <w:rsid w:val="755F74C6"/>
    <w:rsid w:val="75BE0ADD"/>
    <w:rsid w:val="76E9087B"/>
    <w:rsid w:val="771D55C5"/>
    <w:rsid w:val="7747352E"/>
    <w:rsid w:val="775C1F10"/>
    <w:rsid w:val="77BD2282"/>
    <w:rsid w:val="786D06F4"/>
    <w:rsid w:val="788A05AA"/>
    <w:rsid w:val="78F10436"/>
    <w:rsid w:val="7919798C"/>
    <w:rsid w:val="792C76C0"/>
    <w:rsid w:val="79305402"/>
    <w:rsid w:val="79A13C0A"/>
    <w:rsid w:val="7A265865"/>
    <w:rsid w:val="7A432F13"/>
    <w:rsid w:val="7A741EFD"/>
    <w:rsid w:val="7A85352B"/>
    <w:rsid w:val="7AEF309B"/>
    <w:rsid w:val="7AFE508C"/>
    <w:rsid w:val="7B7F61CD"/>
    <w:rsid w:val="7C13543A"/>
    <w:rsid w:val="7C2154D6"/>
    <w:rsid w:val="7C330D65"/>
    <w:rsid w:val="7CA53A11"/>
    <w:rsid w:val="7CC70D82"/>
    <w:rsid w:val="7CEC1640"/>
    <w:rsid w:val="7D1961AD"/>
    <w:rsid w:val="7D553689"/>
    <w:rsid w:val="7D8E2803"/>
    <w:rsid w:val="7DF50367"/>
    <w:rsid w:val="7E0A5F2A"/>
    <w:rsid w:val="7E361987"/>
    <w:rsid w:val="7E7A604F"/>
    <w:rsid w:val="7E8B4B6D"/>
    <w:rsid w:val="7EDE69F2"/>
    <w:rsid w:val="7FA33B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6"/>
    <w:qFormat/>
    <w:uiPriority w:val="0"/>
    <w:pPr>
      <w:jc w:val="both"/>
      <w:textAlignment w:val="baseline"/>
    </w:pPr>
    <w:rPr>
      <w:rFonts w:ascii="Calibri" w:hAnsi="Calibri" w:eastAsia="宋体" w:cstheme="minorBidi"/>
      <w:kern w:val="2"/>
      <w:sz w:val="21"/>
      <w:szCs w:val="22"/>
      <w:lang w:val="en-US" w:eastAsia="zh-CN" w:bidi="ar-SA"/>
    </w:rPr>
  </w:style>
  <w:style w:type="character" w:default="1" w:styleId="9">
    <w:name w:val="Default Paragraph Font"/>
    <w:qFormat/>
    <w:uiPriority w:val="0"/>
  </w:style>
  <w:style w:type="table" w:default="1" w:styleId="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15"/>
    <w:qFormat/>
    <w:uiPriority w:val="0"/>
    <w:pPr>
      <w:snapToGrid w:val="0"/>
      <w:jc w:val="left"/>
      <w:textAlignment w:val="baseline"/>
    </w:pPr>
    <w:rPr>
      <w:kern w:val="2"/>
      <w:sz w:val="18"/>
      <w:szCs w:val="18"/>
      <w:lang w:val="en-US" w:eastAsia="zh-CN" w:bidi="ar-SA"/>
    </w:rPr>
  </w:style>
  <w:style w:type="paragraph" w:styleId="4">
    <w:name w:val="header"/>
    <w:basedOn w:val="1"/>
    <w:link w:val="14"/>
    <w:semiHidden/>
    <w:qFormat/>
    <w:uiPriority w:val="0"/>
    <w:pPr>
      <w:pBdr>
        <w:bottom w:val="single" w:color="000000" w:sz="6" w:space="1"/>
      </w:pBdr>
      <w:snapToGrid w:val="0"/>
      <w:jc w:val="center"/>
      <w:textAlignment w:val="baseline"/>
    </w:pPr>
    <w:rPr>
      <w:kern w:val="2"/>
      <w:sz w:val="18"/>
      <w:szCs w:val="18"/>
      <w:lang w:val="en-US" w:eastAsia="zh-CN" w:bidi="ar-SA"/>
    </w:rPr>
  </w:style>
  <w:style w:type="paragraph" w:styleId="5">
    <w:name w:val="footnote text"/>
    <w:basedOn w:val="1"/>
    <w:qFormat/>
    <w:uiPriority w:val="0"/>
    <w:pPr>
      <w:snapToGrid w:val="0"/>
      <w:jc w:val="left"/>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styleId="11">
    <w:name w:val="footnote reference"/>
    <w:basedOn w:val="9"/>
    <w:qFormat/>
    <w:uiPriority w:val="0"/>
    <w:rPr>
      <w:vertAlign w:val="superscript"/>
    </w:rPr>
  </w:style>
  <w:style w:type="character" w:customStyle="1" w:styleId="12">
    <w:name w:val="NormalCharacter"/>
    <w:link w:val="1"/>
    <w:semiHidden/>
    <w:qFormat/>
    <w:uiPriority w:val="0"/>
  </w:style>
  <w:style w:type="table" w:customStyle="1" w:styleId="13">
    <w:name w:val="TableNormal"/>
    <w:semiHidden/>
    <w:qFormat/>
    <w:uiPriority w:val="0"/>
  </w:style>
  <w:style w:type="character" w:customStyle="1" w:styleId="14">
    <w:name w:val="UserStyle_0"/>
    <w:basedOn w:val="12"/>
    <w:link w:val="4"/>
    <w:semiHidden/>
    <w:qFormat/>
    <w:locked/>
    <w:uiPriority w:val="0"/>
    <w:rPr>
      <w:sz w:val="18"/>
      <w:szCs w:val="18"/>
    </w:rPr>
  </w:style>
  <w:style w:type="character" w:customStyle="1" w:styleId="15">
    <w:name w:val="UserStyle_1"/>
    <w:basedOn w:val="12"/>
    <w:link w:val="3"/>
    <w:semiHidden/>
    <w:qFormat/>
    <w:locked/>
    <w:uiPriority w:val="0"/>
    <w:rPr>
      <w:sz w:val="18"/>
      <w:szCs w:val="18"/>
    </w:rPr>
  </w:style>
  <w:style w:type="character" w:customStyle="1" w:styleId="16">
    <w:name w:val="PageNumber"/>
    <w:basedOn w:val="12"/>
    <w:link w:val="1"/>
    <w:qFormat/>
    <w:uiPriority w:val="0"/>
  </w:style>
  <w:style w:type="paragraph" w:customStyle="1" w:styleId="17">
    <w:name w:val="Acetate"/>
    <w:basedOn w:val="1"/>
    <w:link w:val="18"/>
    <w:semiHidden/>
    <w:qFormat/>
    <w:uiPriority w:val="0"/>
    <w:pPr>
      <w:jc w:val="both"/>
      <w:textAlignment w:val="baseline"/>
    </w:pPr>
    <w:rPr>
      <w:kern w:val="2"/>
      <w:sz w:val="18"/>
      <w:szCs w:val="18"/>
      <w:lang w:val="en-US" w:eastAsia="zh-CN" w:bidi="ar-SA"/>
    </w:rPr>
  </w:style>
  <w:style w:type="character" w:customStyle="1" w:styleId="18">
    <w:name w:val="UserStyle_2"/>
    <w:basedOn w:val="12"/>
    <w:link w:val="17"/>
    <w:semiHidden/>
    <w:qFormat/>
    <w:locked/>
    <w:uiPriority w:val="0"/>
    <w:rPr>
      <w:sz w:val="2"/>
    </w:rPr>
  </w:style>
  <w:style w:type="paragraph" w:customStyle="1" w:styleId="19">
    <w:name w:val="UserStyle_3"/>
    <w:basedOn w:val="1"/>
    <w:qFormat/>
    <w:uiPriority w:val="0"/>
    <w:pPr>
      <w:jc w:val="both"/>
      <w:textAlignment w:val="baseline"/>
    </w:pPr>
    <w:rPr>
      <w:rFonts w:ascii="Times New Roman" w:hAnsi="Times New Roman"/>
      <w:kern w:val="2"/>
      <w:sz w:val="21"/>
      <w:szCs w:val="21"/>
      <w:lang w:val="en-US" w:eastAsia="zh-CN" w:bidi="ar-SA"/>
    </w:rPr>
  </w:style>
  <w:style w:type="paragraph" w:customStyle="1" w:styleId="20">
    <w:name w:val="UserStyle_4"/>
    <w:basedOn w:val="1"/>
    <w:qFormat/>
    <w:uiPriority w:val="0"/>
    <w:pPr>
      <w:jc w:val="both"/>
      <w:textAlignment w:val="baseline"/>
    </w:pPr>
    <w:rPr>
      <w:rFonts w:ascii="Times New Roman" w:hAnsi="Times New Roman"/>
      <w:kern w:val="2"/>
      <w:sz w:val="21"/>
      <w:szCs w:val="21"/>
      <w:lang w:val="en-US" w:eastAsia="zh-CN" w:bidi="ar-SA"/>
    </w:rPr>
  </w:style>
  <w:style w:type="character" w:customStyle="1" w:styleId="21">
    <w:name w:val="font21"/>
    <w:basedOn w:val="9"/>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3408</Words>
  <Characters>3525</Characters>
  <TotalTime>43</TotalTime>
  <ScaleCrop>false</ScaleCrop>
  <LinksUpToDate>false</LinksUpToDate>
  <CharactersWithSpaces>3710</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2021-03-24T06:31:00Z</dcterms:created>
  <dc:creator>noone</dc:creator>
  <cp:lastModifiedBy>林泽徐</cp:lastModifiedBy>
  <cp:lastPrinted>2023-11-08T06:35:59Z</cp:lastPrinted>
  <dcterms:modified xsi:type="dcterms:W3CDTF">2023-11-08T06:36:33Z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E49C30CECCF94DB984B1F371A828B436_13</vt:lpwstr>
  </property>
</Properties>
</file>