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shd w:val="clear" w:color="auto" w:fill="FFFFFF"/>
        <w:spacing w:before="0" w:beforeAutospacing="0" w:after="0" w:afterAutospacing="0" w:line="500" w:lineRule="atLeast"/>
        <w:jc w:val="center"/>
        <w:rPr>
          <w:rFonts w:ascii="Helvetica" w:hAnsi="Helvetica" w:cs="Helvetica"/>
          <w:color w:val="666666"/>
          <w:sz w:val="21"/>
          <w:szCs w:val="21"/>
        </w:rPr>
      </w:pPr>
      <w:r>
        <w:rPr>
          <w:rFonts w:ascii="Helvetica" w:hAnsi="Helvetica" w:cs="Helvetica"/>
          <w:b/>
          <w:bCs/>
          <w:color w:val="000000"/>
        </w:rPr>
        <w:t> </w:t>
      </w:r>
      <w:r>
        <w:rPr>
          <w:rFonts w:ascii="Helvetica" w:hAnsi="Helvetica" w:cs="Helvetica"/>
          <w:b/>
          <w:bCs/>
          <w:color w:val="000000"/>
          <w:sz w:val="32"/>
          <w:szCs w:val="32"/>
        </w:rPr>
        <w:t>竞买公告</w:t>
      </w:r>
    </w:p>
    <w:p>
      <w:pPr>
        <w:pStyle w:val="2"/>
        <w:widowControl w:val="0"/>
        <w:shd w:val="clear" w:color="auto" w:fill="FFFFFF"/>
        <w:spacing w:before="0" w:beforeAutospacing="0" w:after="0" w:afterAutospacing="0" w:line="500" w:lineRule="atLeast"/>
        <w:rPr>
          <w:rFonts w:ascii="Helvetica" w:hAnsi="Helvetica" w:cs="Helvetica"/>
          <w:color w:val="666666"/>
          <w:sz w:val="21"/>
          <w:szCs w:val="21"/>
        </w:rPr>
      </w:pPr>
      <w:r>
        <w:rPr>
          <w:rFonts w:ascii="Helvetica" w:hAnsi="Helvetica" w:cs="Helvetica"/>
          <w:color w:val="000000"/>
        </w:rPr>
        <w:t> </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大连油脂化学厂管理人（以下简称“管理人”）将于</w:t>
      </w:r>
      <w:r>
        <w:rPr>
          <w:rFonts w:ascii="Helvetica" w:hAnsi="Helvetica" w:cs="Helvetica"/>
          <w:color w:val="FF0000"/>
        </w:rPr>
        <w:t>2023年</w:t>
      </w:r>
      <w:r>
        <w:rPr>
          <w:rFonts w:hint="eastAsia" w:ascii="Helvetica" w:hAnsi="Helvetica" w:cs="Helvetica"/>
          <w:color w:val="FF0000"/>
        </w:rPr>
        <w:t>11</w:t>
      </w:r>
      <w:r>
        <w:rPr>
          <w:rFonts w:ascii="Helvetica" w:hAnsi="Helvetica" w:cs="Helvetica"/>
          <w:color w:val="FF0000"/>
        </w:rPr>
        <w:t>月</w:t>
      </w:r>
      <w:r>
        <w:rPr>
          <w:rFonts w:hint="eastAsia" w:ascii="Helvetica" w:hAnsi="Helvetica" w:cs="Helvetica"/>
          <w:color w:val="FF0000"/>
        </w:rPr>
        <w:t>27</w:t>
      </w:r>
      <w:r>
        <w:rPr>
          <w:rFonts w:ascii="Helvetica" w:hAnsi="Helvetica" w:cs="Helvetica"/>
          <w:color w:val="FF0000"/>
        </w:rPr>
        <w:t>日10时至2023年</w:t>
      </w:r>
      <w:r>
        <w:rPr>
          <w:rFonts w:hint="eastAsia" w:ascii="Helvetica" w:hAnsi="Helvetica" w:cs="Helvetica"/>
          <w:color w:val="FF0000"/>
        </w:rPr>
        <w:t>11</w:t>
      </w:r>
      <w:r>
        <w:rPr>
          <w:rFonts w:ascii="Helvetica" w:hAnsi="Helvetica" w:cs="Helvetica"/>
          <w:color w:val="FF0000"/>
        </w:rPr>
        <w:t>月</w:t>
      </w:r>
      <w:r>
        <w:rPr>
          <w:rFonts w:hint="eastAsia" w:ascii="Helvetica" w:hAnsi="Helvetica" w:cs="Helvetica"/>
          <w:color w:val="FF0000"/>
        </w:rPr>
        <w:t>28</w:t>
      </w:r>
      <w:r>
        <w:rPr>
          <w:rFonts w:ascii="Helvetica" w:hAnsi="Helvetica" w:cs="Helvetica"/>
          <w:color w:val="FF0000"/>
        </w:rPr>
        <w:t>日10时</w:t>
      </w:r>
      <w:r>
        <w:rPr>
          <w:rFonts w:ascii="Helvetica" w:hAnsi="Helvetica" w:cs="Helvetica"/>
          <w:color w:val="000000"/>
        </w:rPr>
        <w:t>止（延时成交除外）在淘宝网阿里拍卖平台（网址：</w:t>
      </w:r>
      <w:r>
        <w:fldChar w:fldCharType="begin"/>
      </w:r>
      <w:r>
        <w:instrText xml:space="preserve"> HYPERLINK "https://susong.taobao.com/" </w:instrText>
      </w:r>
      <w:r>
        <w:fldChar w:fldCharType="separate"/>
      </w:r>
      <w:r>
        <w:rPr>
          <w:rStyle w:val="5"/>
          <w:rFonts w:ascii="Helvetica" w:hAnsi="Helvetica" w:cs="Helvetica"/>
          <w:color w:val="000000"/>
          <w:u w:val="none"/>
        </w:rPr>
        <w:t>https://susong.taobao.com/</w:t>
      </w:r>
      <w:r>
        <w:rPr>
          <w:rStyle w:val="5"/>
          <w:rFonts w:ascii="Helvetica" w:hAnsi="Helvetica" w:cs="Helvetica"/>
          <w:color w:val="000000"/>
          <w:u w:val="none"/>
        </w:rPr>
        <w:fldChar w:fldCharType="end"/>
      </w:r>
      <w:r>
        <w:rPr>
          <w:rFonts w:ascii="Helvetica" w:hAnsi="Helvetica" w:cs="Helvetica"/>
          <w:color w:val="000000"/>
        </w:rPr>
        <w:t>）对大连油脂化学厂破产清算涉及的部分报废资产进行</w:t>
      </w:r>
      <w:r>
        <w:rPr>
          <w:rFonts w:ascii="Helvetica" w:hAnsi="Helvetica" w:cs="Helvetica"/>
          <w:color w:val="FF0000"/>
        </w:rPr>
        <w:t>第一次</w:t>
      </w:r>
      <w:r>
        <w:rPr>
          <w:rFonts w:ascii="Helvetica" w:hAnsi="Helvetica" w:cs="Helvetica"/>
          <w:color w:val="000000"/>
        </w:rPr>
        <w:t>整体公开拍卖，现公告如下：</w:t>
      </w:r>
    </w:p>
    <w:p>
      <w:pPr>
        <w:pStyle w:val="2"/>
        <w:widowControl w:val="0"/>
        <w:shd w:val="clear" w:color="auto" w:fill="FFFFFF"/>
        <w:spacing w:before="0" w:beforeAutospacing="0" w:after="0" w:afterAutospacing="0" w:line="500" w:lineRule="atLeast"/>
        <w:ind w:firstLine="482" w:firstLineChars="200"/>
        <w:rPr>
          <w:rFonts w:ascii="Helvetica" w:hAnsi="Helvetica" w:cs="Helvetica"/>
          <w:color w:val="666666"/>
          <w:sz w:val="21"/>
          <w:szCs w:val="21"/>
        </w:rPr>
      </w:pPr>
      <w:r>
        <w:rPr>
          <w:rFonts w:ascii="Helvetica" w:hAnsi="Helvetica" w:cs="Helvetica"/>
          <w:b/>
          <w:bCs/>
          <w:color w:val="000000"/>
        </w:rPr>
        <w:t>一、重要提示</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(一）本次拍卖活动系管理人依法履行管理人职责并依照大连市中级人民法院关于《破产财产网络拍卖的实施办法（试行）》独立在淘宝网阿里拍卖平台处置破产企业财产。</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（二）竞买人在竞拍前请务必遵照《竞买公告》《竞买须知》要求，自行或委托专业机构与拍卖服务商共同至现场看样并调查标的物信息（</w:t>
      </w:r>
      <w:r>
        <w:rPr>
          <w:rFonts w:ascii="Helvetica" w:hAnsi="Helvetica" w:cs="Helvetica"/>
          <w:color w:val="000000"/>
          <w:u w:val="single"/>
          <w:shd w:val="clear" w:color="auto" w:fill="FFFFFF"/>
        </w:rPr>
        <w:t>如拍卖标的实物、资产评估报告、拆卸费、</w:t>
      </w:r>
      <w:r>
        <w:rPr>
          <w:rFonts w:ascii="Helvetica" w:hAnsi="Helvetica" w:cs="Helvetica"/>
          <w:color w:val="FF0000"/>
          <w:u w:val="single"/>
          <w:shd w:val="clear" w:color="auto" w:fill="FFFFFF"/>
        </w:rPr>
        <w:t>称重费</w:t>
      </w:r>
      <w:r>
        <w:rPr>
          <w:rFonts w:ascii="Helvetica" w:hAnsi="Helvetica" w:cs="Helvetica"/>
          <w:color w:val="000000"/>
          <w:u w:val="single"/>
          <w:shd w:val="clear" w:color="auto" w:fill="FFFFFF"/>
        </w:rPr>
        <w:t>、搬迁费、运输费、人工费等费用</w:t>
      </w:r>
      <w:r>
        <w:rPr>
          <w:rFonts w:ascii="Helvetica" w:hAnsi="Helvetica" w:cs="Helvetica"/>
          <w:color w:val="000000"/>
          <w:u w:val="single"/>
        </w:rPr>
        <w:t>）。如违反相关约定，竞买保证金不予返还并承担其产生的法律责任，请理性参拍。</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三）本次《竞买公告》所作的情况说明，仅为竞买人参与竞买提供参考，不能作为竞买人判断、权衡价值的最终依据，竞买人根据自身需求可自行调查、了解、核实。未尽事宜，管理人不承担任何保证和瑕疵担保责任。</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四）本次拍卖标的物以其现状为准，管理人不承担拍卖标的物的瑕疵保证责任。除拍卖文件披露外，竞买人应对拍卖标的的实际状况以及瑕疵（含显性、隐性瑕疵）等自行调查核实、承担投资风险。凡参与竞拍，即视为竞买人了解并认可标的物现状交付。本次拍卖标的物可能存在的争议和风险由买受人自行考察、甄别、判断和承受。</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（五）在正式拍卖前，管理人有权随时撤回/中止本次拍卖。管理人撤回/中止拍卖的，竞买人已缴纳的保证金原路无息退回。</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二、拍卖标的</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大连油脂化学厂破产清算涉及的部分报废资产——废电机。</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标的详情见附件《资产评估报告》（辽宁中恒信资评字[2023]第91号。</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起拍价：5,000元/吨，保证金：10,000元，增价幅度：20元及其整数倍。</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三、咨询、展示看样时间与咨询方式</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展示看样时间为</w:t>
      </w:r>
      <w:r>
        <w:rPr>
          <w:rFonts w:ascii="Helvetica" w:hAnsi="Helvetica" w:cs="Helvetica"/>
          <w:color w:val="FF0000"/>
        </w:rPr>
        <w:t>2023年</w:t>
      </w:r>
      <w:r>
        <w:rPr>
          <w:rFonts w:hint="eastAsia" w:ascii="Helvetica" w:hAnsi="Helvetica" w:cs="Helvetica"/>
          <w:color w:val="FF0000"/>
        </w:rPr>
        <w:t>11</w:t>
      </w:r>
      <w:r>
        <w:rPr>
          <w:rFonts w:ascii="Helvetica" w:hAnsi="Helvetica" w:cs="Helvetica"/>
          <w:color w:val="FF0000"/>
        </w:rPr>
        <w:t>月</w:t>
      </w:r>
      <w:r>
        <w:rPr>
          <w:rFonts w:hint="eastAsia" w:ascii="Helvetica" w:hAnsi="Helvetica" w:cs="Helvetica"/>
          <w:color w:val="FF0000"/>
        </w:rPr>
        <w:t>20</w:t>
      </w:r>
      <w:r>
        <w:rPr>
          <w:rFonts w:ascii="Helvetica" w:hAnsi="Helvetica" w:cs="Helvetica"/>
          <w:color w:val="FF0000"/>
        </w:rPr>
        <w:t>日至2023年</w:t>
      </w:r>
      <w:r>
        <w:rPr>
          <w:rFonts w:hint="eastAsia" w:ascii="Helvetica" w:hAnsi="Helvetica" w:cs="Helvetica"/>
          <w:color w:val="FF0000"/>
        </w:rPr>
        <w:t>11</w:t>
      </w:r>
      <w:r>
        <w:rPr>
          <w:rFonts w:ascii="Helvetica" w:hAnsi="Helvetica" w:cs="Helvetica"/>
          <w:color w:val="FF0000"/>
        </w:rPr>
        <w:t>月</w:t>
      </w:r>
      <w:r>
        <w:rPr>
          <w:rFonts w:hint="eastAsia" w:ascii="Helvetica" w:hAnsi="Helvetica" w:cs="Helvetica"/>
          <w:color w:val="FF0000"/>
        </w:rPr>
        <w:t>24</w:t>
      </w:r>
      <w:r>
        <w:rPr>
          <w:rFonts w:ascii="Helvetica" w:hAnsi="Helvetica" w:cs="Helvetica"/>
          <w:color w:val="FF0000"/>
        </w:rPr>
        <w:t>日</w:t>
      </w:r>
      <w:r>
        <w:rPr>
          <w:rFonts w:ascii="Helvetica" w:hAnsi="Helvetica" w:cs="Helvetica"/>
          <w:color w:val="000000"/>
        </w:rPr>
        <w:t>(节假日除外)。</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联系人：吴先生，13842839111。</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四、竞买条件  </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一）具备完全民事行为能力的中华人民共和国公民、法人和其他组织均可参与竞买；但法律、行政法规、司法解释对买受人资格或条件有特殊规定的，竞买人应当具备规定的资格或条件。因不符合条件参加竞买的，由竞买人自行承担相应法律责任。</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二）竞买人可委托代理人（具备完全民事行为能力的自然人）以其个人账户代为竞买，但须在竞买开始前与管理人联系办理委托手续登记；如未登记、委托手续不全或不符合要求的，竞买活动视作委托代理人的个人行为。</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（三）若竞买人是自然人的，拍卖成交款的付款人、拍卖标的的交付和变更等均为该自然人。</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五、优先购买权人</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一）拍卖标的如若存在优先购买权人，参与竞买的优先购买权人应于竞价活动开始5个工作日前向管理人提交合法有效的优先购买权证明，资格经管理人确认后才能以优先购买权人的身份参与竞买，逾期不提交的，视为放弃对本标的物享有优先购买权。本标的优先购买权人未参加竞价，亦视为放弃优先购买权。</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（二）优先购买权人参与竞买的，以与其他竞买人相同价格出价且没有更高出价者，拍卖标的由优先购买权人竞得。</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（三）顺序不同的优先购买权人以相同价格出价的，竞价财产由顺序在先的优先购买权人竞得；顺序相同的优先购买权人以相同价格出价的，竞价财产由出价在先的优先购买权人竞得。</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六、对上述标的权属有异议者，竞价开始前5日与管理人联系。</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七、竞价方式</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（一）竞价从起拍价开始以递增出价方式竞价，增价幅度由管理人确定，竞买人以低于起拍价出价的无效。</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（二）本次拍卖活动设置延时出价功能，在拍卖活动结束前，每最后5分钟如果有竞买人出价，就自动延迟5分钟（循环往复至最后5分钟内无人出价）。</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八、保证金与余款交纳</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一）第一次出价前，意向竞买人须在淘宝注册账号并通过实名认证（已注册淘宝账号需通过实名认证），在线支付竞买保证金，支付后系统自动冻结该笔保证金。拍卖成交的，本标的物竞得者（以下称“买受人”）冻结的保证金将自动转为部分成交款，由淘宝结算给管理人指定账户；拍卖结束后，未能竞得者的保证金以及竞价未成交的（即流拍的）竞买人的保证金在拍卖活动结束后即时解冻，保证金冻结期间不计利息。</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二）拍卖成交后，标的物买受人原锁定的保证金自动转入管理人指定账户。买受人应于现场称重确定交易总价之日起5日内将竞价成交价余款（扣除保证金后的余款）缴入管理人指定账户【户名：大连油脂化学厂管理人；开户银行：大连银行股份有限公司中山支行；账号：800228000000834】；款项性质为“破产财产拍卖尾款”。逾期则视为买受人违约，竞买保证金不予退还。</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买受人逾期未足额支付拍卖款或未办理交接手续，视为悔拍。买受人悔拍的，交纳的保证金不予退还，依次用于支付拍卖产生的费用损失、拍卖服务费、弥补重新拍卖价款低于原拍卖价款的差价等。因买受人悔拍的，管理人可重新拍卖。重新拍卖时，原买受人不得参加竞买。重新拍卖的价款若低于原拍卖价款所造成的差价、费用等损失，由原买受人承担。若原买受人所缴纳的保证金足以弥补该差价、费用等损失的，则以该保证金填补差价、费用等损失；若其缴纳的保证金不足以弥补该差价、费用等损失，则由原买受人承担不足部分的全部损失，拒不补交的，有权通过司法途径主张追偿。</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（三）本次拍卖买受人须承担拍卖成交价款，同时另行支付标的拍卖成交总额2%综合服务费及</w:t>
      </w:r>
      <w:r>
        <w:rPr>
          <w:rFonts w:ascii="Helvetica" w:hAnsi="Helvetica" w:cs="Helvetica"/>
          <w:color w:val="000000"/>
          <w:shd w:val="clear" w:color="auto" w:fill="FFFFFF"/>
        </w:rPr>
        <w:t>阿</w:t>
      </w:r>
      <w:r>
        <w:rPr>
          <w:rFonts w:ascii="Helvetica" w:hAnsi="Helvetica" w:cs="Helvetica"/>
          <w:color w:val="000000"/>
        </w:rPr>
        <w:t>里平台0.5％软件</w:t>
      </w:r>
      <w:r>
        <w:rPr>
          <w:rFonts w:ascii="Helvetica" w:hAnsi="Helvetica" w:cs="Helvetica"/>
          <w:color w:val="000000"/>
          <w:shd w:val="clear" w:color="auto" w:fill="FFFFFF"/>
        </w:rPr>
        <w:t>服务费。</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综合服务费由拍卖服务商收取，买受人须在成交当日将综合服务费</w:t>
      </w:r>
      <w:r>
        <w:rPr>
          <w:rFonts w:ascii="Helvetica" w:hAnsi="Helvetica" w:cs="Helvetica"/>
          <w:color w:val="000000"/>
          <w:shd w:val="clear" w:color="auto" w:fill="FFFFFF"/>
        </w:rPr>
        <w:t>缴至服务商指定账户【户名：辽宁嘉禾国际拍卖有限公司；开户银行：中国农业银行大连中山支行；银行账号：34092001040024330】。</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软件服务费由阿里拍卖平台收取，付费方式及软件服务费金额等请详见《阿里拍卖平台破产资产处置频道收费规则》。买受人须于成交后通过线上完成相应费用的支付。</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综合服务费和软件服务费，买受人逾期未全额缴纳的，拍卖服务商和阿里拍卖平台可对其进行依法追缴。买受人缴纳相关费用后如需索取发票的，综合服务费买受人可与拍卖服务商联系开具，软件服务费由买受人联系阿里拍卖平台开具。</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九、移交</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买受人在支付全部成交款、综合服务费及阿里拍卖平台软件服务费后2个工作日内，持付款凭证及相关身份材料、委托手续等原件到管理人处签署《成交确认书》。</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买受人竞得标的物后，自行负责拆卸、</w:t>
      </w:r>
      <w:r>
        <w:rPr>
          <w:rFonts w:ascii="Helvetica" w:hAnsi="Helvetica" w:cs="Helvetica"/>
          <w:color w:val="FF0000"/>
          <w:shd w:val="clear" w:color="auto" w:fill="FFFFFF"/>
        </w:rPr>
        <w:t>称重</w:t>
      </w:r>
      <w:r>
        <w:rPr>
          <w:rFonts w:hint="eastAsia" w:ascii="Helvetica" w:hAnsi="Helvetica" w:cs="Helvetica"/>
          <w:color w:val="000000"/>
          <w:shd w:val="clear" w:color="auto" w:fill="FFFFFF"/>
        </w:rPr>
        <w:t>、</w:t>
      </w:r>
      <w:r>
        <w:rPr>
          <w:rFonts w:ascii="Helvetica" w:hAnsi="Helvetica" w:cs="Helvetica"/>
          <w:color w:val="000000"/>
        </w:rPr>
        <w:t>运输、安装、调试标的物，因此产生的所有费用及相关责任全部由买受人承担。并于交货起五日内按照标的所在厂房的所有权人要求完成场地清理和所有垃圾的清运工作。</w:t>
      </w:r>
    </w:p>
    <w:p>
      <w:pPr>
        <w:pStyle w:val="2"/>
        <w:widowControl w:val="0"/>
        <w:shd w:val="clear" w:color="auto" w:fill="FFFFFF"/>
        <w:spacing w:before="0" w:beforeAutospacing="0" w:after="0" w:afterAutospacing="0" w:line="500" w:lineRule="atLeast"/>
        <w:ind w:firstLine="482" w:firstLineChars="200"/>
        <w:rPr>
          <w:rFonts w:ascii="Helvetica" w:hAnsi="Helvetica" w:cs="Helvetica"/>
          <w:color w:val="666666"/>
          <w:sz w:val="21"/>
          <w:szCs w:val="21"/>
        </w:rPr>
      </w:pPr>
      <w:r>
        <w:rPr>
          <w:rFonts w:ascii="Helvetica" w:hAnsi="Helvetica" w:cs="Helvetica"/>
          <w:b/>
          <w:bCs/>
          <w:color w:val="000000"/>
        </w:rPr>
        <w:t>十、特别提醒</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（一）本次拍卖标的为现状整体拍卖。</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二）本次拍卖所涉标的物的名称、数量、新旧程度、安全性能等均以实物现状为准，管理人对此次竞价标的物所作的说明和提供的图片、文字资料等，不构成对标的物的任何担保，不作为对竞买人参与此次竞价的依据，仅供竞买人参考。竞买人须充分考虑拍卖标的显性和隐性的瑕疵风险以及市场价格的波动。</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000000"/>
          <w:u w:val="single"/>
        </w:rPr>
      </w:pPr>
      <w:r>
        <w:rPr>
          <w:rFonts w:ascii="Helvetica" w:hAnsi="Helvetica" w:cs="Helvetica"/>
          <w:color w:val="000000"/>
          <w:u w:val="single"/>
        </w:rPr>
        <w:t>（三）管理人对拍卖标的外观、结构、成分含量、内在质量及瑕疵等情况不作担保，由此产生的问题也不影响拍卖成交结果及成交价格，拍卖标的以交付时现场实有数量为准。请竞买人须在参与竞拍前实地看样，未看样的竞买人视为对本标的物现状的确认，竞买人一旦作出竞买决定，即表明已完全了解，并接受标的物的现状和一切已知及未知的瑕疵</w:t>
      </w:r>
      <w:bookmarkStart w:id="0" w:name="_GoBack"/>
      <w:bookmarkEnd w:id="0"/>
      <w:r>
        <w:rPr>
          <w:rFonts w:ascii="Helvetica" w:hAnsi="Helvetica" w:cs="Helvetica"/>
          <w:color w:val="000000"/>
          <w:u w:val="single"/>
        </w:rPr>
        <w:t>，责任自负。</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四）拍卖的价格为标的单价，拍卖总价以现场实际过重为准。标的物的称重，由管理人确定，买受人不对管理人确定的称重方式提出任何异议。买受人使用的运输工具驶离移交现场后，管理人不再对标的数量承担任何责任。</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w:t>
      </w:r>
      <w:r>
        <w:rPr>
          <w:rFonts w:hint="eastAsia" w:ascii="Helvetica" w:hAnsi="Helvetica" w:cs="Helvetica"/>
          <w:color w:val="000000"/>
          <w:u w:val="single"/>
          <w:lang w:val="en-US" w:eastAsia="zh-CN"/>
        </w:rPr>
        <w:t>五</w:t>
      </w:r>
      <w:r>
        <w:rPr>
          <w:rFonts w:ascii="Helvetica" w:hAnsi="Helvetica" w:cs="Helvetica"/>
          <w:color w:val="000000"/>
          <w:u w:val="single"/>
        </w:rPr>
        <w:t>）买受人不可超出本次拍卖标的范围提取拍卖标的，否则将承担相应赔偿责任。</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w:t>
      </w:r>
      <w:r>
        <w:rPr>
          <w:rFonts w:hint="eastAsia" w:ascii="Helvetica" w:hAnsi="Helvetica" w:cs="Helvetica"/>
          <w:color w:val="000000"/>
          <w:u w:val="single"/>
          <w:lang w:val="en-US" w:eastAsia="zh-CN"/>
        </w:rPr>
        <w:t>六</w:t>
      </w:r>
      <w:r>
        <w:rPr>
          <w:rFonts w:ascii="Helvetica" w:hAnsi="Helvetica" w:cs="Helvetica"/>
          <w:color w:val="000000"/>
          <w:u w:val="single"/>
        </w:rPr>
        <w:t>）拍卖标的在拆装、运输时，必须遵守国家有关安全操作规程。如在拆装、运输过程中发生安全事故或造成人员、财产损失的一切不利后果全部由买受人承担。在对标的拆除、搬运、装卸过程中存在有减损其价值等情形，由买受人自行承担。</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w:t>
      </w:r>
      <w:r>
        <w:rPr>
          <w:rFonts w:hint="eastAsia" w:ascii="Helvetica" w:hAnsi="Helvetica" w:cs="Helvetica"/>
          <w:color w:val="000000"/>
          <w:u w:val="single"/>
          <w:lang w:val="en-US" w:eastAsia="zh-CN"/>
        </w:rPr>
        <w:t>七</w:t>
      </w:r>
      <w:r>
        <w:rPr>
          <w:rFonts w:ascii="Helvetica" w:hAnsi="Helvetica" w:cs="Helvetica"/>
          <w:color w:val="000000"/>
          <w:u w:val="single"/>
        </w:rPr>
        <w:t>）交割过程中产生的所有费用（包括但不限于已发生的及因交割而产生的拆卸费、</w:t>
      </w:r>
      <w:r>
        <w:rPr>
          <w:rFonts w:ascii="Helvetica" w:hAnsi="Helvetica" w:cs="Helvetica"/>
          <w:color w:val="FF0000"/>
          <w:u w:val="single"/>
          <w:shd w:val="clear" w:color="auto" w:fill="FFFFFF"/>
        </w:rPr>
        <w:t>称重费</w:t>
      </w:r>
      <w:r>
        <w:rPr>
          <w:rFonts w:hint="eastAsia" w:ascii="Helvetica" w:hAnsi="Helvetica" w:cs="Helvetica"/>
          <w:color w:val="000000"/>
          <w:u w:val="single"/>
          <w:shd w:val="clear" w:color="auto" w:fill="FFFFFF"/>
        </w:rPr>
        <w:t>、</w:t>
      </w:r>
      <w:r>
        <w:rPr>
          <w:rFonts w:ascii="Helvetica" w:hAnsi="Helvetica" w:cs="Helvetica"/>
          <w:color w:val="000000"/>
          <w:u w:val="single"/>
        </w:rPr>
        <w:t>仓储费、保管费、搬迁费、运输费、人工费等费用）均由买受人自行承担。</w:t>
      </w:r>
    </w:p>
    <w:p>
      <w:pPr>
        <w:pStyle w:val="2"/>
        <w:widowControl w:val="0"/>
        <w:shd w:val="clear" w:color="auto" w:fill="FFFFFF"/>
        <w:spacing w:before="0" w:beforeAutospacing="0" w:after="0" w:afterAutospacing="0" w:line="500" w:lineRule="atLeast"/>
        <w:ind w:firstLine="480" w:firstLineChars="200"/>
        <w:rPr>
          <w:rFonts w:hint="eastAsia" w:ascii="Helvetica" w:hAnsi="Helvetica" w:cs="Helvetica"/>
          <w:color w:val="000000"/>
          <w:u w:val="single"/>
          <w:lang w:eastAsia="zh-CN"/>
        </w:rPr>
      </w:pPr>
      <w:r>
        <w:rPr>
          <w:rFonts w:ascii="Helvetica" w:hAnsi="Helvetica" w:cs="Helvetica"/>
          <w:color w:val="000000"/>
          <w:u w:val="single"/>
        </w:rPr>
        <w:t>（</w:t>
      </w:r>
      <w:r>
        <w:rPr>
          <w:rFonts w:hint="eastAsia" w:ascii="Helvetica" w:hAnsi="Helvetica" w:cs="Helvetica"/>
          <w:color w:val="000000"/>
          <w:u w:val="single"/>
          <w:lang w:val="en-US" w:eastAsia="zh-CN"/>
        </w:rPr>
        <w:t>八</w:t>
      </w:r>
      <w:r>
        <w:rPr>
          <w:rFonts w:ascii="Helvetica" w:hAnsi="Helvetica" w:cs="Helvetica"/>
          <w:color w:val="000000"/>
          <w:u w:val="single"/>
        </w:rPr>
        <w:t>）所有标的提取完毕，</w:t>
      </w:r>
      <w:r>
        <w:rPr>
          <w:rFonts w:hint="eastAsia" w:ascii="Helvetica" w:hAnsi="Helvetica" w:cs="Helvetica"/>
          <w:color w:val="000000"/>
          <w:u w:val="single"/>
          <w:lang w:val="en-US" w:eastAsia="zh-CN"/>
        </w:rPr>
        <w:t>买受人</w:t>
      </w:r>
      <w:r>
        <w:rPr>
          <w:rFonts w:ascii="Helvetica" w:hAnsi="Helvetica" w:cs="Helvetica"/>
          <w:color w:val="000000"/>
          <w:u w:val="single"/>
        </w:rPr>
        <w:t>要确保厂区内建筑物及设备设施无损坏，如有损坏须于提取全部标的之日起15日内将其恢复原状或等价赔偿</w:t>
      </w:r>
      <w:r>
        <w:rPr>
          <w:rFonts w:hint="eastAsia" w:ascii="Helvetica" w:hAnsi="Helvetica" w:cs="Helvetica"/>
          <w:color w:val="000000"/>
          <w:u w:val="single"/>
          <w:lang w:eastAsia="zh-CN"/>
        </w:rPr>
        <w:t>。</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000000"/>
          <w:u w:val="single"/>
        </w:rPr>
      </w:pPr>
      <w:r>
        <w:rPr>
          <w:rFonts w:ascii="Helvetica" w:hAnsi="Helvetica" w:cs="Helvetica"/>
          <w:color w:val="000000"/>
          <w:u w:val="single"/>
        </w:rPr>
        <w:t>（</w:t>
      </w:r>
      <w:r>
        <w:rPr>
          <w:rFonts w:hint="eastAsia" w:ascii="Helvetica" w:hAnsi="Helvetica" w:cs="Helvetica"/>
          <w:color w:val="000000"/>
          <w:u w:val="single"/>
          <w:lang w:val="en-US" w:eastAsia="zh-CN"/>
        </w:rPr>
        <w:t>九</w:t>
      </w:r>
      <w:r>
        <w:rPr>
          <w:rFonts w:ascii="Helvetica" w:hAnsi="Helvetica" w:cs="Helvetica"/>
          <w:color w:val="000000"/>
          <w:u w:val="single"/>
        </w:rPr>
        <w:t>）买受人应于</w:t>
      </w:r>
      <w:r>
        <w:rPr>
          <w:rFonts w:hint="eastAsia" w:ascii="Helvetica" w:hAnsi="Helvetica" w:cs="Helvetica"/>
          <w:color w:val="000000"/>
          <w:u w:val="single"/>
          <w:lang w:val="en-US" w:eastAsia="zh-CN"/>
        </w:rPr>
        <w:t>竞买成交</w:t>
      </w:r>
      <w:r>
        <w:rPr>
          <w:rFonts w:ascii="Helvetica" w:hAnsi="Helvetica" w:cs="Helvetica"/>
          <w:color w:val="000000"/>
          <w:u w:val="single"/>
        </w:rPr>
        <w:t>5日内与管理人、拍卖服务商共同至现场进行称重确认总价。称重后买受人应支付拍卖尾款，管理人在收到拍卖尾款后与买受人办理交接手续。买受人须自交接之日起</w:t>
      </w:r>
      <w:r>
        <w:rPr>
          <w:rFonts w:hint="eastAsia" w:ascii="Helvetica" w:hAnsi="Helvetica" w:cs="Helvetica"/>
          <w:color w:val="000000"/>
          <w:u w:val="single"/>
          <w:lang w:val="en-US" w:eastAsia="zh-CN"/>
        </w:rPr>
        <w:t>2</w:t>
      </w:r>
      <w:r>
        <w:rPr>
          <w:rFonts w:ascii="Helvetica" w:hAnsi="Helvetica" w:cs="Helvetica"/>
          <w:color w:val="000000"/>
          <w:u w:val="single"/>
        </w:rPr>
        <w:t>日内将标的全部提走，每延迟1日须向管理人支付成交总价款的1%作为违约金。</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（十）自标的交接之日起，标的物毁损、灭失的风险及新增产生的费用均由买受人自行承担并负责解决。</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u w:val="single"/>
        </w:rPr>
        <w:t>（十</w:t>
      </w:r>
      <w:r>
        <w:rPr>
          <w:rFonts w:hint="eastAsia" w:ascii="Helvetica" w:hAnsi="Helvetica" w:cs="Helvetica"/>
          <w:color w:val="000000"/>
          <w:u w:val="single"/>
          <w:lang w:val="en-US" w:eastAsia="zh-CN"/>
        </w:rPr>
        <w:t>一</w:t>
      </w:r>
      <w:r>
        <w:rPr>
          <w:rFonts w:ascii="Helvetica" w:hAnsi="Helvetica" w:cs="Helvetica"/>
          <w:color w:val="000000"/>
          <w:u w:val="single"/>
        </w:rPr>
        <w:t>）由于网络拍卖的特殊性，拍卖开始后，不排除个别网络竞买人发生网络故障（包括但不限于网速慢、电路故障、系统故障）以及被网络黑客恶意攻击等情况。如若发生上述情况或因竞买人本人操作失误等原因造成网上竞买受阻的，不影响其他网络竞买人的竞买活动持续有效，由此存在的风险及责任，由竞买人自行承担。</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十一、本次拍卖所涉及《竞买公告》《竞买须知》等标的物相关文件将在全国企业破产重整案件信息网、阿里拍卖平台公开展示，请仔细阅读。管理人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十二、竞买人在竞价前请务必仔细阅读相应标的《竞买须知》。本公告其他未尽事宜，请向管理人和拍卖服务商咨询。</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服务商：辽宁嘉禾国际拍卖有限公司</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咨询电话：吴先生 13842839111</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凡发现竞价中有违规行为，可如实举报。</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淘宝技术咨询：400-822-2870</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此公告在全国企业破产重整案件信息网、“淘宝网阿里拍卖平台”上发布，</w:t>
      </w:r>
    </w:p>
    <w:p>
      <w:pPr>
        <w:pStyle w:val="2"/>
        <w:widowControl w:val="0"/>
        <w:shd w:val="clear" w:color="auto" w:fill="FFFFFF"/>
        <w:spacing w:before="0" w:beforeAutospacing="0" w:after="0" w:afterAutospacing="0" w:line="500" w:lineRule="atLeast"/>
        <w:ind w:firstLine="480" w:firstLineChars="200"/>
        <w:rPr>
          <w:rFonts w:ascii="Helvetica" w:hAnsi="Helvetica" w:cs="Helvetica"/>
          <w:color w:val="666666"/>
          <w:sz w:val="21"/>
          <w:szCs w:val="21"/>
        </w:rPr>
      </w:pPr>
      <w:r>
        <w:rPr>
          <w:rFonts w:ascii="Helvetica" w:hAnsi="Helvetica" w:cs="Helvetica"/>
          <w:color w:val="000000"/>
        </w:rPr>
        <w:t>网址:http://pccz.court.gov.cn/pcajxxw/index/xxwsy 、https://susong.taobao.com/。</w:t>
      </w:r>
    </w:p>
    <w:p>
      <w:pPr>
        <w:pStyle w:val="2"/>
        <w:widowControl w:val="0"/>
        <w:shd w:val="clear" w:color="auto" w:fill="FFFFFF"/>
        <w:spacing w:before="0" w:beforeAutospacing="0" w:after="0" w:afterAutospacing="0" w:line="500" w:lineRule="atLeast"/>
        <w:rPr>
          <w:rFonts w:ascii="Helvetica" w:hAnsi="Helvetica" w:cs="Helvetica"/>
          <w:color w:val="666666"/>
          <w:sz w:val="21"/>
          <w:szCs w:val="21"/>
        </w:rPr>
      </w:pPr>
      <w:r>
        <w:rPr>
          <w:rFonts w:ascii="Helvetica" w:hAnsi="Helvetica" w:cs="Helvetica"/>
          <w:color w:val="000000"/>
        </w:rPr>
        <w:t> </w:t>
      </w:r>
    </w:p>
    <w:p>
      <w:pPr>
        <w:pStyle w:val="2"/>
        <w:widowControl w:val="0"/>
        <w:shd w:val="clear" w:color="auto" w:fill="FFFFFF"/>
        <w:spacing w:before="0" w:beforeAutospacing="0" w:after="0" w:afterAutospacing="0" w:line="500" w:lineRule="atLeast"/>
        <w:jc w:val="right"/>
        <w:rPr>
          <w:rFonts w:ascii="Helvetica" w:hAnsi="Helvetica" w:cs="Helvetica"/>
          <w:color w:val="666666"/>
          <w:sz w:val="21"/>
          <w:szCs w:val="21"/>
        </w:rPr>
      </w:pPr>
      <w:r>
        <w:rPr>
          <w:rFonts w:ascii="Helvetica" w:hAnsi="Helvetica" w:cs="Helvetica"/>
          <w:color w:val="000000"/>
        </w:rPr>
        <w:t>大连油脂化学厂管理人</w:t>
      </w:r>
    </w:p>
    <w:p>
      <w:pPr>
        <w:pStyle w:val="2"/>
        <w:widowControl w:val="0"/>
        <w:shd w:val="clear" w:color="auto" w:fill="FFFFFF"/>
        <w:spacing w:before="0" w:beforeAutospacing="0" w:after="0" w:afterAutospacing="0" w:line="500" w:lineRule="atLeast"/>
        <w:jc w:val="right"/>
        <w:rPr>
          <w:rFonts w:ascii="Helvetica" w:hAnsi="Helvetica" w:cs="Helvetica"/>
          <w:color w:val="FF0000"/>
          <w:sz w:val="21"/>
          <w:szCs w:val="21"/>
        </w:rPr>
      </w:pPr>
      <w:r>
        <w:rPr>
          <w:rFonts w:ascii="Helvetica" w:hAnsi="Helvetica" w:cs="Helvetica"/>
          <w:color w:val="FF0000"/>
        </w:rPr>
        <w:t>二零二三年</w:t>
      </w:r>
      <w:r>
        <w:rPr>
          <w:rFonts w:hint="eastAsia" w:ascii="Helvetica" w:hAnsi="Helvetica" w:cs="Helvetica"/>
          <w:color w:val="FF0000"/>
        </w:rPr>
        <w:t>十一</w:t>
      </w:r>
      <w:r>
        <w:rPr>
          <w:rFonts w:ascii="Helvetica" w:hAnsi="Helvetica" w:cs="Helvetica"/>
          <w:color w:val="FF0000"/>
        </w:rPr>
        <w:t>月</w:t>
      </w:r>
      <w:r>
        <w:rPr>
          <w:rFonts w:hint="eastAsia" w:ascii="Helvetica" w:hAnsi="Helvetica" w:cs="Helvetica"/>
          <w:color w:val="FF0000"/>
        </w:rPr>
        <w:t>十</w:t>
      </w:r>
      <w:r>
        <w:rPr>
          <w:rFonts w:ascii="Helvetica" w:hAnsi="Helvetica" w:cs="Helvetica"/>
          <w:color w:val="FF0000"/>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w:panose1 w:val="020B0504020202030204"/>
    <w:charset w:val="00"/>
    <w:family w:val="swiss"/>
    <w:pitch w:val="default"/>
    <w:sig w:usb0="00000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0NjcxYzEyYTM5MTMwMDQ5N2RjYmRkMTc0M2I0YTIifQ=="/>
  </w:docVars>
  <w:rsids>
    <w:rsidRoot w:val="00A47D6B"/>
    <w:rsid w:val="001637D5"/>
    <w:rsid w:val="0039331B"/>
    <w:rsid w:val="0087383D"/>
    <w:rsid w:val="008D1B2A"/>
    <w:rsid w:val="009C3A68"/>
    <w:rsid w:val="00A47D6B"/>
    <w:rsid w:val="00B37956"/>
    <w:rsid w:val="00F85AF3"/>
    <w:rsid w:val="097117E0"/>
    <w:rsid w:val="1ED402FB"/>
    <w:rsid w:val="21F506E7"/>
    <w:rsid w:val="53962C94"/>
    <w:rsid w:val="577B3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Hyperlink"/>
    <w:basedOn w:val="4"/>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685</Words>
  <Characters>3910</Characters>
  <Lines>32</Lines>
  <Paragraphs>9</Paragraphs>
  <TotalTime>119</TotalTime>
  <ScaleCrop>false</ScaleCrop>
  <LinksUpToDate>false</LinksUpToDate>
  <CharactersWithSpaces>4586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2023-11-08T05:28:00Z</dcterms:created>
  <dc:creator>xb21cn</dc:creator>
  <cp:lastModifiedBy>方昂昂昂</cp:lastModifiedBy>
  <dcterms:modified xsi:type="dcterms:W3CDTF">2023-11-09T02:38:12Z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21F0FCAD5F9C43C8B807C4886ED4B95B_12</vt:lpwstr>
  </property>
</Properties>
</file>