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ascii="楷体" w:hAnsi="楷体" w:eastAsia="楷体" w:cs="楷体"/>
          <w:i w:val="0"/>
          <w:iCs w:val="0"/>
          <w:caps w:val="0"/>
          <w:color w:val="000000"/>
          <w:spacing w:val="0"/>
          <w:sz w:val="31"/>
          <w:szCs w:val="31"/>
          <w:shd w:val="clear" w:fill="FFFFFF"/>
        </w:rPr>
        <w:t>光大国际建设工程总公司破产清算案，北京市平谷区人民法院已于</w:t>
      </w:r>
      <w:r>
        <w:rPr>
          <w:rFonts w:hint="eastAsia" w:ascii="楷体" w:hAnsi="楷体" w:eastAsia="楷体" w:cs="楷体"/>
          <w:i w:val="0"/>
          <w:iCs w:val="0"/>
          <w:caps w:val="0"/>
          <w:color w:val="000000"/>
          <w:spacing w:val="0"/>
          <w:sz w:val="31"/>
          <w:szCs w:val="31"/>
          <w:shd w:val="clear" w:fill="FFFFFF"/>
        </w:rPr>
        <w:t>2017年6月21日裁定受理，并于2017年12月18日指定北京市金台律师事务所担任管理人（以下简称“破产管理人”）。</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破产管理人在北京产权交易所通过诉讼资产平台（网址https://otc.cbex.com/page/sszc/index.html）于2023年11月28日10时至2023年11月29日10时止（延时即限时周期除外）以网络竞价方式公开进行竞价处置活动。现公告如下：</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shd w:val="clear" w:fill="FFFFFF"/>
        </w:rPr>
        <w:t>一、拍卖标的</w:t>
      </w:r>
      <w:r>
        <w:rPr>
          <w:rFonts w:hint="eastAsia" w:ascii="楷体" w:hAnsi="楷体" w:eastAsia="楷体" w:cs="楷体"/>
          <w:i w:val="0"/>
          <w:iCs w:val="0"/>
          <w:caps w:val="0"/>
          <w:color w:val="000000"/>
          <w:spacing w:val="0"/>
          <w:sz w:val="31"/>
          <w:szCs w:val="31"/>
          <w:shd w:val="clear" w:fill="FFFFFF"/>
        </w:rPr>
        <w:t>：</w:t>
      </w:r>
      <w:r>
        <w:rPr>
          <w:rStyle w:val="5"/>
          <w:rFonts w:hint="eastAsia" w:ascii="楷体" w:hAnsi="楷体" w:eastAsia="楷体" w:cs="楷体"/>
          <w:i w:val="0"/>
          <w:iCs w:val="0"/>
          <w:caps w:val="0"/>
          <w:color w:val="000000"/>
          <w:spacing w:val="0"/>
          <w:sz w:val="31"/>
          <w:szCs w:val="31"/>
          <w:shd w:val="clear" w:fill="FFFFFF"/>
        </w:rPr>
        <w:t>中约瑟企业发展（上海）有限公司100%股权</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起拍价：1元；保证金：1000元；增价幅度：500元（或整数倍）。</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标的所涉目标公司描述：中约瑟企业发展（上海）有限公司经营范围：工艺品、珠宝首饰、电气成套设备、电线电缆、机电设备、电子产品、仪器仪表、金属材料、化工产品及原料（除危险化学品、监控化学品、民用爆炸物品、易制毒化学品）、建筑装潢材料、木材的销售，市场营销策划，电脑图文设计制作，展览展示服务，企业管理咨询，商务信息咨询，电子商务（不得从事金融业务），园林绿化，从事计算机科技领域内的技术开发、技术咨询、技术服务、技术转让，从事货物及技术的进出口业务。</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光大国际建设工程总公司对中约瑟企业发展（上海）有限公司持有100%股权，</w:t>
      </w:r>
      <w:r>
        <w:rPr>
          <w:rFonts w:hint="eastAsia" w:ascii="楷体" w:hAnsi="楷体" w:eastAsia="楷体" w:cs="楷体"/>
          <w:i w:val="0"/>
          <w:iCs w:val="0"/>
          <w:caps w:val="0"/>
          <w:color w:val="FF0000"/>
          <w:spacing w:val="0"/>
          <w:sz w:val="31"/>
          <w:szCs w:val="31"/>
          <w:shd w:val="clear" w:fill="FFFFFF"/>
        </w:rPr>
        <w:t>破产管理人不保证光大国际建设工程总公司是否对该100%股权是否出资及出资是否到位，</w:t>
      </w:r>
      <w:r>
        <w:rPr>
          <w:rFonts w:hint="eastAsia" w:ascii="楷体" w:hAnsi="楷体" w:eastAsia="楷体" w:cs="楷体"/>
          <w:i w:val="0"/>
          <w:iCs w:val="0"/>
          <w:caps w:val="0"/>
          <w:color w:val="000000"/>
          <w:spacing w:val="0"/>
          <w:sz w:val="31"/>
          <w:szCs w:val="31"/>
          <w:shd w:val="clear" w:fill="FFFFFF"/>
        </w:rPr>
        <w:t>企业目前登记状态为：存续，注册资本为认缴30000万元。</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b/>
          <w:bCs/>
          <w:i w:val="0"/>
          <w:iCs w:val="0"/>
          <w:caps w:val="0"/>
          <w:color w:val="000000"/>
          <w:spacing w:val="0"/>
          <w:sz w:val="31"/>
          <w:szCs w:val="31"/>
        </w:rPr>
        <w:t>二、</w:t>
      </w:r>
      <w:r>
        <w:rPr>
          <w:rStyle w:val="5"/>
          <w:rFonts w:hint="eastAsia" w:ascii="楷体" w:hAnsi="楷体" w:eastAsia="楷体" w:cs="楷体"/>
          <w:i w:val="0"/>
          <w:iCs w:val="0"/>
          <w:caps w:val="0"/>
          <w:color w:val="000000"/>
          <w:spacing w:val="0"/>
          <w:sz w:val="31"/>
          <w:szCs w:val="31"/>
        </w:rPr>
        <w:t>竞买人条件</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竞买人应具备完全民事行为能力，法律、行政法规、司法解释对买受人资格或者条件有特殊规定的，竞买人应当具备规定的资格或者条件。如参与竞买人未开设北交互联账户，可委托代理人进行，但必须在竞价程序开始前向破产管理人提交委托材料，经破产管理人确认后可参与竞买。受理本案的人民法院、本案破产管理人、本案的网络拍卖平台及其近亲属不得参与竞买，并且不得委托他人代为竞买与其行为相关的拍卖标的物。因不符合条件参加竞买的，由竞买人自行承担相应的法律责任。</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FF0000"/>
          <w:spacing w:val="0"/>
          <w:sz w:val="31"/>
          <w:szCs w:val="31"/>
          <w:shd w:val="clear" w:fill="FFFFFF"/>
        </w:rPr>
        <w:t>竞买人在竞拍前请务必自行确认是否具备持股资格，能否办理股权变更登记手续，相应股权变更登记手续请竞买人自行到有关部门咨询核实。一旦参加竞拍，即视为对本次拍卖标的投资入股条件的确认，如不符合条件参加竞拍，或者拍卖成交后不能办理变更登记的，买受人自行承担风险。</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对上述标的权属有异议者，请于竞价开始前三个工作日与破产管理人联系。</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优先购买权人及他人代为竞买的，须在竞价开始前一个工作日提交经破产管理人认可的相应证明材料，经北交所确认通过后，方可办理登记手续获得相应资格。</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三、保证金交纳</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竞价前，竞买人须在北交互联注册账号并通过实名认证（已注册北交互联账号的需通过实名认证）。</w:t>
      </w:r>
    </w:p>
    <w:p>
      <w:pPr>
        <w:pStyle w:val="2"/>
        <w:keepNext w:val="0"/>
        <w:keepLines w:val="0"/>
        <w:widowControl/>
        <w:suppressLineNumbers w:val="0"/>
        <w:shd w:val="clear" w:fill="FFFFFF"/>
        <w:spacing w:before="0" w:beforeAutospacing="0" w:after="0" w:afterAutospacing="0"/>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意向竞买人应在平台阅读《竞价须知》、《标的物调查表》等竞买文件，</w:t>
      </w:r>
      <w:r>
        <w:rPr>
          <w:rStyle w:val="5"/>
          <w:rFonts w:hint="eastAsia" w:ascii="楷体" w:hAnsi="楷体" w:eastAsia="楷体" w:cs="楷体"/>
          <w:i w:val="0"/>
          <w:iCs w:val="0"/>
          <w:caps w:val="0"/>
          <w:color w:val="000000"/>
          <w:spacing w:val="0"/>
          <w:sz w:val="31"/>
          <w:szCs w:val="31"/>
          <w:shd w:val="clear" w:fill="FFFFFF"/>
        </w:rPr>
        <w:t>在竞价程序结束前交纳保证金取得竞买资格</w:t>
      </w:r>
      <w:r>
        <w:rPr>
          <w:rFonts w:hint="eastAsia" w:ascii="楷体" w:hAnsi="楷体" w:eastAsia="楷体" w:cs="楷体"/>
          <w:i w:val="0"/>
          <w:iCs w:val="0"/>
          <w:caps w:val="0"/>
          <w:color w:val="000000"/>
          <w:spacing w:val="0"/>
          <w:sz w:val="31"/>
          <w:szCs w:val="31"/>
          <w:shd w:val="clear" w:fill="FFFFFF"/>
        </w:rPr>
        <w:t>。竞价保证金金额一般较大，建议提前1-2天报名交纳保证金，以免错过竞价时间。具体要求请阅读竞价页面内的《竞价须知》及北京产权交易所诉讼资产平台页面的相关准则。保证金服务热线:400-689-1566。</w:t>
      </w:r>
    </w:p>
    <w:p>
      <w:pPr>
        <w:pStyle w:val="2"/>
        <w:keepNext w:val="0"/>
        <w:keepLines w:val="0"/>
        <w:widowControl/>
        <w:suppressLineNumbers w:val="0"/>
        <w:spacing w:before="105" w:beforeAutospacing="0" w:after="105" w:afterAutospacing="0" w:line="270" w:lineRule="atLeast"/>
        <w:ind w:left="0" w:firstLine="55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竞价标的保证金金额在1000万及以上的，或企业参与竞买，建议竞买人提前3个工作日完成报名及保证金交纳手续。如因竞买人未按此条提示规定的时间完成报名及保证金交纳手续，导致北京产权交易所在拍卖结束前未能全额收到竞买人交纳的保证金，无法为竞买人开通竞买权限，所产生的一切后果由竞买人自行承担，破产管理人与北京产权交易所均不就此承担任何责任。</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shd w:val="clear" w:fill="FFFFFF"/>
        </w:rPr>
        <w:t>四、咨询、展示时间与方式：</w:t>
      </w:r>
      <w:r>
        <w:rPr>
          <w:rFonts w:hint="eastAsia" w:ascii="楷体" w:hAnsi="楷体" w:eastAsia="楷体" w:cs="楷体"/>
          <w:i w:val="0"/>
          <w:iCs w:val="0"/>
          <w:caps w:val="0"/>
          <w:color w:val="000000"/>
          <w:spacing w:val="0"/>
          <w:sz w:val="31"/>
          <w:szCs w:val="31"/>
          <w:shd w:val="clear" w:fill="FFFFFF"/>
        </w:rPr>
        <w:t>有意者可于2023年11月20日至11月29日工作时间内参加破产管理人组织的预展，向破产管理人咨询上述标的的相关情况。联系人：荣经理，张经理电话：13520411571、13520348027。</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shd w:val="clear" w:fill="FFFFFF"/>
        </w:rPr>
        <w:t>五、拍卖方式：</w:t>
      </w:r>
      <w:r>
        <w:rPr>
          <w:rFonts w:hint="eastAsia" w:ascii="楷体" w:hAnsi="楷体" w:eastAsia="楷体" w:cs="楷体"/>
          <w:i w:val="0"/>
          <w:iCs w:val="0"/>
          <w:caps w:val="0"/>
          <w:color w:val="000000"/>
          <w:spacing w:val="0"/>
          <w:sz w:val="31"/>
          <w:szCs w:val="31"/>
          <w:shd w:val="clear" w:fill="FFFFFF"/>
        </w:rPr>
        <w:t>设有保留价的增价拍卖方式，保留价即为起拍价，至少一人报名且出价不低于起拍价，方可成交。</w:t>
      </w:r>
      <w:r>
        <w:rPr>
          <w:rStyle w:val="5"/>
          <w:rFonts w:hint="eastAsia" w:ascii="楷体" w:hAnsi="楷体" w:eastAsia="楷体" w:cs="楷体"/>
          <w:i w:val="0"/>
          <w:iCs w:val="0"/>
          <w:caps w:val="0"/>
          <w:color w:val="000000"/>
          <w:spacing w:val="0"/>
          <w:sz w:val="31"/>
          <w:szCs w:val="31"/>
          <w:shd w:val="clear" w:fill="FFFFFF"/>
        </w:rPr>
        <w:t>本次拍卖活动设置延时出价功能，在拍卖活动结束前，每最后5分钟如果有竞买人出价，将自动延迟5分钟。</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shd w:val="clear" w:fill="FFFFFF"/>
        </w:rPr>
        <w:t>六、特别提醒（税费负担、瑕疵、</w:t>
      </w:r>
      <w:r>
        <w:rPr>
          <w:rFonts w:hint="eastAsia" w:ascii="楷体" w:hAnsi="楷体" w:eastAsia="楷体" w:cs="楷体"/>
          <w:i w:val="0"/>
          <w:iCs w:val="0"/>
          <w:caps w:val="0"/>
          <w:color w:val="000000"/>
          <w:spacing w:val="0"/>
          <w:sz w:val="31"/>
          <w:szCs w:val="31"/>
          <w:shd w:val="clear" w:fill="FFFFFF"/>
        </w:rPr>
        <w:t>权利负担等</w:t>
      </w:r>
      <w:r>
        <w:rPr>
          <w:rStyle w:val="5"/>
          <w:rFonts w:hint="eastAsia" w:ascii="楷体" w:hAnsi="楷体" w:eastAsia="楷体" w:cs="楷体"/>
          <w:i w:val="0"/>
          <w:iCs w:val="0"/>
          <w:caps w:val="0"/>
          <w:color w:val="000000"/>
          <w:spacing w:val="0"/>
          <w:sz w:val="31"/>
          <w:szCs w:val="31"/>
          <w:shd w:val="clear" w:fill="FFFFFF"/>
        </w:rPr>
        <w:t>）：</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rPr>
        <w:t>1、</w:t>
      </w:r>
      <w:r>
        <w:rPr>
          <w:rFonts w:hint="eastAsia" w:ascii="楷体" w:hAnsi="楷体" w:eastAsia="楷体" w:cs="楷体"/>
          <w:i w:val="0"/>
          <w:iCs w:val="0"/>
          <w:caps w:val="0"/>
          <w:color w:val="000000"/>
          <w:spacing w:val="0"/>
          <w:sz w:val="31"/>
          <w:szCs w:val="31"/>
        </w:rPr>
        <w:t>标的物按现状交付拍卖，破产管理人不承担本标的物瑕疵保证。除拍卖文件披露外，竞买人应对拍卖标的物的实际状况以及瑕疵（含显性、隐形瑕疵）等自行调查核实，并承担全部风险。破产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作出竞买决定，则表明其已完全了解、并接受拍卖标的物的现状和一切已知及未知瑕疵。</w:t>
      </w:r>
      <w:r>
        <w:rPr>
          <w:rStyle w:val="5"/>
          <w:rFonts w:hint="eastAsia" w:ascii="楷体" w:hAnsi="楷体" w:eastAsia="楷体" w:cs="楷体"/>
          <w:i w:val="0"/>
          <w:iCs w:val="0"/>
          <w:caps w:val="0"/>
          <w:color w:val="000000"/>
          <w:spacing w:val="0"/>
          <w:sz w:val="31"/>
          <w:szCs w:val="31"/>
        </w:rPr>
        <w:t>破产管理人及拍卖平台不承担拍卖标的物的瑕疵保证责任。</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2、因拍卖标的物的现状及存在瑕疵等原因不能或者延迟办理股权转让手续造成的费用及风险由买受人自行承担，破产管理人不作变更过户的任何承诺，破产管理人协助买受人办理股权转让手续。</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3、竞价成交时，成交价不包含交易服务费、转让时双方的一切税费；交易过程中及股权转让时所产生的转让双方的税、费由买受人承担。上述一切税、费的具体金额由竞买人自行向相关主管部门咨询。</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4、本次拍卖的股权以工商登记部门登记的为准。竞买人缴纳保证金参与本次拍卖的，视为接受标的物现状及所有瑕疵，破产管理人不承担标的物涉及的风险及瑕疵保证，由标的物风险及瑕疵引起的一切责任由竞买人承担，标的物瑕疵及风险包括但不限于目标公司资产负债状况、经营状况、诉讼仲裁状况、财务资料是否保存完好、文件资料是否齐全、标的股权是否能够过户、相应股权是否出资，等等风险。</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5、股权拍卖成交款将作为光大国际建设工程总公司的破产财产依法予以分配，不作为出资。拍卖成交后，买受人仍应依法承担光大国际建设工程总公司对相应股权可能存在的出资义务及相关责任。</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rPr>
        <w:t>七、优先购买人：</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竞价标的如若存在优先购买权人，优先购买权人参加竞买的，应在规定时间内向北交所提交经破产管理人确认的合法有效证明（登记的证件信息必须与北交互联实名认证相一致），经确认后才能以优先购买权人的身份参与竞买，逾期不提交的，视为放弃对本标的物享有优先购买权。本标的优先购买权人未参加竞价，亦视为放弃优先购买权。</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rPr>
        <w:t>八、</w:t>
      </w:r>
      <w:r>
        <w:rPr>
          <w:rStyle w:val="5"/>
          <w:rFonts w:hint="eastAsia" w:ascii="楷体" w:hAnsi="楷体" w:eastAsia="楷体" w:cs="楷体"/>
          <w:i w:val="0"/>
          <w:iCs w:val="0"/>
          <w:caps w:val="0"/>
          <w:color w:val="000000"/>
          <w:spacing w:val="0"/>
          <w:sz w:val="31"/>
          <w:szCs w:val="31"/>
          <w:shd w:val="clear" w:fill="FFFFFF"/>
        </w:rPr>
        <w:t>拍卖余款</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意向竞买人在线支付竞买保证金，竞价成交的，买受人的保证金将转为部分成交款，由北交互联转入破产管理人指定账户，</w:t>
      </w:r>
      <w:r>
        <w:rPr>
          <w:rStyle w:val="5"/>
          <w:rFonts w:hint="eastAsia" w:ascii="楷体" w:hAnsi="楷体" w:eastAsia="楷体" w:cs="楷体"/>
          <w:i w:val="0"/>
          <w:iCs w:val="0"/>
          <w:caps w:val="0"/>
          <w:color w:val="000000"/>
          <w:spacing w:val="0"/>
          <w:sz w:val="31"/>
          <w:szCs w:val="31"/>
          <w:shd w:val="clear" w:fill="FFFFFF"/>
        </w:rPr>
        <w:t>拍卖余款（成交价减去保证金差额）买受人应在2023年12月9日前缴入破产管理人指定账户（户名：光大国际建设工程总公司破产管理人），开户银行：交通银行股份有限公司北京马连道支行，帐号：110061036018800013771）。</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rPr>
        <w:t>综合服务费成交价的1%于拍卖成交后买受人应在2023年12月9日前汇款至（户名：京道华硕（北京）企业管理有限公司，开户银行；中国工商银行股份有限公司北京海淀支行，账号：0200049609201452284）。</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rPr>
        <w:t>未能竞得的竞买人交纳的保证金在竞价程序结束后二十四小时内发起原路径返还，具体到账时间以银行信息为准。</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rPr>
        <w:t>九、服务费</w:t>
      </w:r>
    </w:p>
    <w:p>
      <w:pPr>
        <w:pStyle w:val="2"/>
        <w:keepNext w:val="0"/>
        <w:keepLines w:val="0"/>
        <w:widowControl/>
        <w:suppressLineNumbers w:val="0"/>
        <w:spacing w:line="270" w:lineRule="atLeast"/>
        <w:ind w:left="0" w:firstLine="645"/>
        <w:rPr>
          <w:rFonts w:hint="eastAsia" w:ascii="宋体" w:hAnsi="宋体" w:eastAsia="宋体" w:cs="宋体"/>
          <w:i w:val="0"/>
          <w:iCs w:val="0"/>
          <w:caps w:val="0"/>
          <w:color w:val="000000"/>
          <w:spacing w:val="0"/>
          <w:sz w:val="18"/>
          <w:szCs w:val="18"/>
        </w:rPr>
      </w:pPr>
      <w:r>
        <w:rPr>
          <w:rStyle w:val="5"/>
          <w:rFonts w:hint="eastAsia" w:ascii="楷体" w:hAnsi="楷体" w:eastAsia="楷体" w:cs="楷体"/>
          <w:i w:val="0"/>
          <w:iCs w:val="0"/>
          <w:caps w:val="0"/>
          <w:color w:val="000000"/>
          <w:spacing w:val="0"/>
          <w:sz w:val="31"/>
          <w:szCs w:val="31"/>
        </w:rPr>
        <w:t>交易服务费按照成交价款的0.5%收取且不低于1000元人民币，由北交所收取。竞价成交后系统会按照公示费率计算交易服务费具体金额，买受人应在规定时间内在线支付该笔订单。综合服务费由辅拍机构收取，按照成交价的1%收取。</w:t>
      </w:r>
    </w:p>
    <w:p>
      <w:pPr>
        <w:pStyle w:val="2"/>
        <w:keepNext w:val="0"/>
        <w:keepLines w:val="0"/>
        <w:widowControl/>
        <w:suppressLineNumbers w:val="0"/>
        <w:spacing w:before="105" w:beforeAutospacing="0" w:after="105" w:afterAutospacing="0" w:line="270" w:lineRule="atLeast"/>
        <w:ind w:left="0" w:firstLine="55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十、</w:t>
      </w:r>
      <w:r>
        <w:rPr>
          <w:rStyle w:val="5"/>
          <w:rFonts w:hint="eastAsia" w:ascii="楷体" w:hAnsi="楷体" w:eastAsia="楷体" w:cs="楷体"/>
          <w:i w:val="0"/>
          <w:iCs w:val="0"/>
          <w:caps w:val="0"/>
          <w:color w:val="000000"/>
          <w:spacing w:val="0"/>
          <w:sz w:val="31"/>
          <w:szCs w:val="31"/>
        </w:rPr>
        <w:t>成交结果公示</w:t>
      </w:r>
    </w:p>
    <w:p>
      <w:pPr>
        <w:pStyle w:val="2"/>
        <w:keepNext w:val="0"/>
        <w:keepLines w:val="0"/>
        <w:widowControl/>
        <w:suppressLineNumbers w:val="0"/>
        <w:spacing w:before="105" w:beforeAutospacing="0" w:after="105" w:afterAutospacing="0" w:line="270" w:lineRule="atLeast"/>
        <w:ind w:left="0" w:firstLine="55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竞买人成功竞得标的物后，北交所诉讼资产平台将生成相应《竞价成功确认书》并公示，确认书中载明实际买受人姓名、竞买号等信息（申请不公示的除外）。</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十一、</w:t>
      </w:r>
      <w:r>
        <w:rPr>
          <w:rStyle w:val="5"/>
          <w:rFonts w:hint="eastAsia" w:ascii="楷体" w:hAnsi="楷体" w:eastAsia="楷体" w:cs="楷体"/>
          <w:i w:val="0"/>
          <w:iCs w:val="0"/>
          <w:caps w:val="0"/>
          <w:color w:val="000000"/>
          <w:spacing w:val="0"/>
          <w:sz w:val="31"/>
          <w:szCs w:val="31"/>
          <w:shd w:val="clear" w:fill="FFFFFF"/>
        </w:rPr>
        <w:t>其他事项</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竞买人在拍卖竞价前请务必再仔细阅读破产管理人发布的《竞价须知》、《标的物调查表》等竞买文件。</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本规则其他未尽事宜，请向破产管理人咨询。</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破产管理人咨询联系电话：18610715762</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北交所联系电话：裴经理010-83143106</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辅拍机构咨询联系电话：荣经理13520411571</w:t>
      </w:r>
    </w:p>
    <w:p>
      <w:pPr>
        <w:pStyle w:val="2"/>
        <w:keepNext w:val="0"/>
        <w:keepLines w:val="0"/>
        <w:widowControl/>
        <w:suppressLineNumbers w:val="0"/>
        <w:shd w:val="clear" w:fill="FFFFFF"/>
        <w:spacing w:line="270" w:lineRule="atLeast"/>
        <w:ind w:left="0" w:firstLine="415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张经理13520348027</w:t>
      </w:r>
    </w:p>
    <w:p>
      <w:pPr>
        <w:pStyle w:val="2"/>
        <w:keepNext w:val="0"/>
        <w:keepLines w:val="0"/>
        <w:widowControl/>
        <w:suppressLineNumbers w:val="0"/>
        <w:spacing w:before="105" w:beforeAutospacing="0" w:after="105" w:afterAutospacing="0" w:line="270" w:lineRule="atLeast"/>
        <w:ind w:left="0" w:firstLine="55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北交所技术咨询：400-612-1717转3</w:t>
      </w:r>
    </w:p>
    <w:p>
      <w:pPr>
        <w:pStyle w:val="2"/>
        <w:keepNext w:val="0"/>
        <w:keepLines w:val="0"/>
        <w:widowControl/>
        <w:suppressLineNumbers w:val="0"/>
        <w:shd w:val="clear" w:fill="FFFFFF"/>
        <w:spacing w:line="270" w:lineRule="atLeast"/>
        <w:ind w:left="0" w:firstLine="645"/>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法院监督电话：010-89966631</w:t>
      </w:r>
    </w:p>
    <w:p>
      <w:pPr>
        <w:pStyle w:val="2"/>
        <w:keepNext w:val="0"/>
        <w:keepLines w:val="0"/>
        <w:widowControl/>
        <w:suppressLineNumbers w:val="0"/>
        <w:shd w:val="clear" w:fill="FFFFFF"/>
        <w:spacing w:line="270" w:lineRule="atLeast"/>
        <w:ind w:left="0" w:firstLine="645"/>
        <w:jc w:val="right"/>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shd w:val="clear" w:fill="FFFFFF"/>
        </w:rPr>
        <w:t>光大国际建设工程总公司破产管理人</w:t>
      </w:r>
    </w:p>
    <w:p>
      <w:pPr>
        <w:pStyle w:val="2"/>
        <w:keepNext w:val="0"/>
        <w:keepLines w:val="0"/>
        <w:widowControl/>
        <w:suppressLineNumbers w:val="0"/>
        <w:ind w:left="0" w:firstLine="0"/>
        <w:jc w:val="right"/>
        <w:rPr>
          <w:rFonts w:hint="eastAsia" w:ascii="宋体" w:hAnsi="宋体" w:eastAsia="宋体" w:cs="宋体"/>
          <w:i w:val="0"/>
          <w:iCs w:val="0"/>
          <w:caps w:val="0"/>
          <w:color w:val="000000"/>
          <w:spacing w:val="0"/>
          <w:sz w:val="18"/>
          <w:szCs w:val="18"/>
        </w:rPr>
      </w:pPr>
      <w:r>
        <w:rPr>
          <w:rFonts w:hint="eastAsia" w:ascii="楷体" w:hAnsi="楷体" w:eastAsia="楷体" w:cs="楷体"/>
          <w:i w:val="0"/>
          <w:iCs w:val="0"/>
          <w:caps w:val="0"/>
          <w:color w:val="000000"/>
          <w:spacing w:val="0"/>
          <w:sz w:val="31"/>
          <w:szCs w:val="31"/>
        </w:rPr>
        <w:t>二〇二三年十一月二十日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jZWE5ZmJhZWI4ZTVlN2MyNDlkNjVmNWZlYWY0M2MifQ=="/>
  </w:docVars>
  <w:rsids>
    <w:rsidRoot w:val="00000000"/>
    <w:rsid w:val="047C1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2023-11-20T10:27:33Z</dcterms:created>
  <dc:creator>86186</dc:creator>
  <cp:lastModifiedBy>我叫小螃蟹</cp:lastModifiedBy>
  <dcterms:modified xsi:type="dcterms:W3CDTF">2023-11-20T10:27:36Z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DB15E74574E54CF3BF08F4E947092AFE_12</vt:lpwstr>
  </property>
</Properties>
</file>