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四川宜宾华富房地产开发有限责任公司重整案</w:t>
      </w:r>
    </w:p>
    <w:p>
      <w:pPr>
        <w:snapToGrid w:val="0"/>
        <w:spacing w:line="360" w:lineRule="auto"/>
        <w:jc w:val="center"/>
        <w:rPr>
          <w:rFonts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重整投资人招募公告</w:t>
      </w:r>
    </w:p>
    <w:p>
      <w:pPr>
        <w:snapToGrid w:val="0"/>
        <w:spacing w:line="360" w:lineRule="auto"/>
        <w:jc w:val="center"/>
        <w:rPr>
          <w:rFonts w:ascii="方正小标宋_GBK" w:hAnsi="方正小标宋_GBK" w:eastAsia="方正小标宋_GBK" w:cs="方正小标宋_GBK"/>
          <w:sz w:val="40"/>
          <w:szCs w:val="40"/>
        </w:rPr>
      </w:pPr>
    </w:p>
    <w:p>
      <w:pPr>
        <w:snapToGrid w:val="0"/>
        <w:spacing w:line="360" w:lineRule="auto"/>
        <w:ind w:firstLine="560"/>
      </w:pPr>
      <w:r>
        <w:rPr>
          <w:rFonts w:hint="eastAsia" w:ascii="仿宋" w:hAnsi="仿宋" w:eastAsia="仿宋" w:cs="仿宋"/>
          <w:sz w:val="28"/>
          <w:szCs w:val="28"/>
        </w:rPr>
        <w:t>2023年11月14日，四川省宜宾市叙州区人民法院作出（2023）川1521破申4号《民事裁定书》裁定受理四川宜宾华富房地产开发有限责任公司（以下称“华富公司”）破产重整一案，于同日作出（2023）川1521破3号《决定书》，指定四川晏州律师事务所与北京中银（成都）律师事务所联合担任其管理人（以下称“管理人”）。</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为最大限度地保护债权人、债务人和其他各方当事人的合法权益，实现资源整合，管理人在公平、公开、公正的原则下，依照《中华人民共和国企业破产法》及相关法律规定，面向社会公开招募重整投资人。现就招募事项公告如下：</w:t>
      </w:r>
    </w:p>
    <w:p>
      <w:pPr>
        <w:snapToGrid w:val="0"/>
        <w:spacing w:line="360" w:lineRule="auto"/>
        <w:ind w:firstLine="561"/>
        <w:rPr>
          <w:rFonts w:ascii="黑体" w:hAnsi="黑体" w:eastAsia="黑体" w:cs="黑体"/>
          <w:sz w:val="28"/>
          <w:szCs w:val="28"/>
        </w:rPr>
      </w:pPr>
      <w:r>
        <w:rPr>
          <w:rFonts w:hint="eastAsia" w:ascii="黑体" w:hAnsi="黑体" w:eastAsia="黑体" w:cs="黑体"/>
          <w:sz w:val="28"/>
          <w:szCs w:val="28"/>
        </w:rPr>
        <w:t>一、招募须知</w:t>
      </w:r>
    </w:p>
    <w:p>
      <w:pPr>
        <w:snapToGrid w:val="0"/>
        <w:spacing w:line="360" w:lineRule="auto"/>
        <w:ind w:firstLine="561"/>
        <w:rPr>
          <w:rFonts w:ascii="仿宋" w:hAnsi="仿宋" w:eastAsia="仿宋" w:cs="仿宋"/>
          <w:sz w:val="28"/>
          <w:szCs w:val="28"/>
        </w:rPr>
      </w:pPr>
      <w:r>
        <w:rPr>
          <w:rFonts w:hint="eastAsia" w:ascii="仿宋" w:hAnsi="仿宋" w:eastAsia="仿宋" w:cs="仿宋"/>
          <w:sz w:val="28"/>
          <w:szCs w:val="28"/>
        </w:rPr>
        <w:t>（一）本招募公告的最终解释权归管理人。</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（二）本次招募以公开、公平、公正为原则，面向社会公开招募重整投资人，本招募公告之内容对全体重整投资人平等适用。</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三）本招募公告并不替代重整投资人的尽职调查，公告内载明的债权债务信息为管理人根据现有资料整理并公布。投资人在考虑参与投资时，除参考本招募公告披露的信息外，需自行决定是否聘请专业投资顾问或法律顾问进行尽职调查、出具投资意见等，投资人向管理人提交投资方案的，视为同意按照债务人现状进行投资，相关投资风险自行承担。</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（四）本次招募并非要约文件，不具有投资协议的约束性效力。</w:t>
      </w:r>
    </w:p>
    <w:p>
      <w:pPr>
        <w:snapToGrid w:val="0"/>
        <w:spacing w:line="360" w:lineRule="auto"/>
        <w:ind w:firstLine="560"/>
        <w:rPr>
          <w:rFonts w:ascii="黑体" w:hAnsi="黑体" w:eastAsia="黑体" w:cs="黑体"/>
          <w:sz w:val="28"/>
          <w:szCs w:val="28"/>
        </w:rPr>
      </w:pPr>
      <w:r>
        <w:rPr>
          <w:rFonts w:hint="eastAsia" w:ascii="黑体" w:hAnsi="黑体" w:eastAsia="黑体" w:cs="黑体"/>
          <w:sz w:val="28"/>
          <w:szCs w:val="28"/>
        </w:rPr>
        <w:t>二、企业工商登记情况</w:t>
      </w:r>
    </w:p>
    <w:p>
      <w:pPr>
        <w:pStyle w:val="3"/>
        <w:tabs>
          <w:tab w:val="left" w:pos="0"/>
        </w:tabs>
        <w:snapToGrid w:val="0"/>
        <w:spacing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（一）华富公司基本情况</w:t>
      </w:r>
    </w:p>
    <w:p>
      <w:pPr>
        <w:pStyle w:val="3"/>
        <w:tabs>
          <w:tab w:val="left" w:pos="0"/>
        </w:tabs>
        <w:snapToGrid w:val="0"/>
        <w:spacing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四川宜宾华富房地产开发有限责任公司（以下简称“华富公司”）于2001年4月13日经宜宾市叙州区市场监督管理局批准成立，监管单位为柏溪市场监督管理二所，法定代表人为何忠林，注册地址为四川省宜宾市叙州区柏溪街道迎宾路祥和花园1-2-4号，注册资本8500万元（已实缴），公司股东为郑忠华、周隆华、郑杰。其中，郑忠华持有公司91.8118%的股权（认缴出资额7804万元），为公司的控股股东、实际控制人。主要人员有何忠林，系华富公司执行董事、总经理，郑杰，系华富公司监事。公司经营范围为：房地产开发（壹级）、土地整治（凭有效资质证经营）。建材、钢材批发零售。停车场服务。（依法须经批准的项目，经有关部门批准后方可开展经营活动）</w:t>
      </w:r>
    </w:p>
    <w:p>
      <w:pPr>
        <w:pStyle w:val="3"/>
        <w:tabs>
          <w:tab w:val="left" w:pos="0"/>
        </w:tabs>
        <w:snapToGrid w:val="0"/>
        <w:spacing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宜宾市叙州区市场监督管理局登记的华富公司股东及股权结构如下：</w:t>
      </w:r>
    </w:p>
    <w:tbl>
      <w:tblPr>
        <w:tblStyle w:val="7"/>
        <w:tblW w:w="861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081"/>
        <w:gridCol w:w="2526"/>
        <w:gridCol w:w="2763"/>
        <w:gridCol w:w="1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7" w:hRule="exact"/>
          <w:tblHeader/>
        </w:trPr>
        <w:tc>
          <w:tcPr>
            <w:tcW w:w="804"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序号</w:t>
            </w:r>
          </w:p>
        </w:tc>
        <w:tc>
          <w:tcPr>
            <w:tcW w:w="1081"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姓 名</w:t>
            </w:r>
          </w:p>
        </w:tc>
        <w:tc>
          <w:tcPr>
            <w:tcW w:w="2526"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认缴出资额（万元）</w:t>
            </w:r>
          </w:p>
        </w:tc>
        <w:tc>
          <w:tcPr>
            <w:tcW w:w="2763"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实缴出资额（万元）</w:t>
            </w:r>
          </w:p>
        </w:tc>
        <w:tc>
          <w:tcPr>
            <w:tcW w:w="1444"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804" w:type="dxa"/>
            <w:shd w:val="clear" w:color="auto" w:fill="auto"/>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1</w:t>
            </w:r>
          </w:p>
        </w:tc>
        <w:tc>
          <w:tcPr>
            <w:tcW w:w="1081"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郑忠华</w:t>
            </w:r>
          </w:p>
        </w:tc>
        <w:tc>
          <w:tcPr>
            <w:tcW w:w="2526"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7804.00</w:t>
            </w:r>
          </w:p>
        </w:tc>
        <w:tc>
          <w:tcPr>
            <w:tcW w:w="2763"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7804.00</w:t>
            </w:r>
          </w:p>
        </w:tc>
        <w:tc>
          <w:tcPr>
            <w:tcW w:w="1444"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91.8118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804" w:type="dxa"/>
            <w:shd w:val="clear" w:color="auto" w:fill="auto"/>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2</w:t>
            </w:r>
          </w:p>
        </w:tc>
        <w:tc>
          <w:tcPr>
            <w:tcW w:w="1081"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周隆华</w:t>
            </w:r>
          </w:p>
        </w:tc>
        <w:tc>
          <w:tcPr>
            <w:tcW w:w="2526"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598.00</w:t>
            </w:r>
          </w:p>
        </w:tc>
        <w:tc>
          <w:tcPr>
            <w:tcW w:w="2763"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598.00</w:t>
            </w:r>
          </w:p>
        </w:tc>
        <w:tc>
          <w:tcPr>
            <w:tcW w:w="1444"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7,0353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804" w:type="dxa"/>
            <w:shd w:val="clear" w:color="auto" w:fill="auto"/>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3</w:t>
            </w:r>
          </w:p>
        </w:tc>
        <w:tc>
          <w:tcPr>
            <w:tcW w:w="1081"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郑  杰</w:t>
            </w:r>
          </w:p>
        </w:tc>
        <w:tc>
          <w:tcPr>
            <w:tcW w:w="2526"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98.00</w:t>
            </w:r>
          </w:p>
        </w:tc>
        <w:tc>
          <w:tcPr>
            <w:tcW w:w="2763"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98.00</w:t>
            </w:r>
          </w:p>
        </w:tc>
        <w:tc>
          <w:tcPr>
            <w:tcW w:w="1444" w:type="dxa"/>
            <w:shd w:val="clear" w:color="auto" w:fill="auto"/>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1.1529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804"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合计</w:t>
            </w:r>
          </w:p>
        </w:tc>
        <w:tc>
          <w:tcPr>
            <w:tcW w:w="1081"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w:t>
            </w:r>
          </w:p>
        </w:tc>
        <w:tc>
          <w:tcPr>
            <w:tcW w:w="2526"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8500.00</w:t>
            </w:r>
          </w:p>
        </w:tc>
        <w:tc>
          <w:tcPr>
            <w:tcW w:w="2763"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8500.00</w:t>
            </w:r>
          </w:p>
        </w:tc>
        <w:tc>
          <w:tcPr>
            <w:tcW w:w="1444" w:type="dxa"/>
            <w:shd w:val="clear" w:color="auto" w:fill="BFBFBF"/>
            <w:vAlign w:val="center"/>
          </w:tcPr>
          <w:p>
            <w:pPr>
              <w:pStyle w:val="3"/>
              <w:tabs>
                <w:tab w:val="left" w:pos="0"/>
              </w:tabs>
              <w:snapToGrid w:val="0"/>
              <w:spacing w:line="360" w:lineRule="auto"/>
              <w:ind w:firstLine="0" w:firstLineChars="0"/>
              <w:jc w:val="center"/>
              <w:rPr>
                <w:rFonts w:ascii="仿宋" w:hAnsi="仿宋" w:eastAsia="仿宋" w:cs="仿宋"/>
                <w:sz w:val="28"/>
                <w:szCs w:val="28"/>
              </w:rPr>
            </w:pPr>
            <w:r>
              <w:rPr>
                <w:rFonts w:hint="eastAsia" w:ascii="仿宋" w:hAnsi="仿宋" w:eastAsia="仿宋" w:cs="仿宋"/>
                <w:sz w:val="28"/>
                <w:szCs w:val="28"/>
              </w:rPr>
              <w:t>100</w:t>
            </w:r>
          </w:p>
        </w:tc>
      </w:tr>
    </w:tbl>
    <w:p>
      <w:pPr>
        <w:pStyle w:val="3"/>
        <w:tabs>
          <w:tab w:val="left" w:pos="0"/>
        </w:tabs>
        <w:snapToGrid w:val="0"/>
        <w:spacing w:line="360" w:lineRule="auto"/>
        <w:ind w:firstLine="560" w:firstLineChars="200"/>
        <w:jc w:val="both"/>
        <w:rPr>
          <w:rFonts w:ascii="仿宋" w:hAnsi="仿宋" w:eastAsia="仿宋" w:cs="仿宋"/>
          <w:sz w:val="28"/>
          <w:szCs w:val="28"/>
        </w:rPr>
      </w:pPr>
    </w:p>
    <w:p>
      <w:pPr>
        <w:pStyle w:val="3"/>
        <w:tabs>
          <w:tab w:val="left" w:pos="0"/>
        </w:tabs>
        <w:snapToGrid w:val="0"/>
        <w:spacing w:line="360" w:lineRule="auto"/>
        <w:ind w:firstLine="560" w:firstLineChars="200"/>
        <w:jc w:val="both"/>
        <w:rPr>
          <w:rFonts w:ascii="黑体" w:hAnsi="黑体" w:eastAsia="黑体" w:cs="黑体"/>
          <w:sz w:val="28"/>
          <w:szCs w:val="28"/>
        </w:rPr>
      </w:pPr>
      <w:r>
        <w:rPr>
          <w:rFonts w:hint="eastAsia" w:ascii="黑体" w:hAnsi="黑体" w:eastAsia="黑体" w:cs="黑体"/>
          <w:sz w:val="28"/>
          <w:szCs w:val="28"/>
        </w:rPr>
        <w:t>三、企业资产及负债概况</w:t>
      </w:r>
    </w:p>
    <w:p>
      <w:pPr>
        <w:pStyle w:val="3"/>
        <w:tabs>
          <w:tab w:val="left" w:pos="0"/>
        </w:tabs>
        <w:snapToGrid w:val="0"/>
        <w:spacing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（一）资产情况</w:t>
      </w:r>
    </w:p>
    <w:p>
      <w:pPr>
        <w:pStyle w:val="3"/>
        <w:tabs>
          <w:tab w:val="left" w:pos="0"/>
        </w:tabs>
        <w:snapToGrid w:val="0"/>
        <w:spacing w:line="360" w:lineRule="auto"/>
        <w:ind w:firstLine="560" w:firstLineChars="200"/>
        <w:jc w:val="both"/>
        <w:rPr>
          <w:rFonts w:ascii="仿宋" w:hAnsi="仿宋" w:eastAsia="仿宋" w:cs="仿宋"/>
          <w:b/>
          <w:bCs/>
          <w:sz w:val="28"/>
          <w:szCs w:val="28"/>
        </w:rPr>
      </w:pPr>
      <w:r>
        <w:rPr>
          <w:rFonts w:hint="eastAsia" w:ascii="仿宋" w:hAnsi="仿宋" w:eastAsia="仿宋" w:cs="仿宋"/>
          <w:sz w:val="28"/>
          <w:szCs w:val="28"/>
        </w:rPr>
        <w:t>华富公司主要资产类型为房地产等不动产、车辆、办公及电子设备、长期股权投资等。具体为：</w:t>
      </w:r>
    </w:p>
    <w:p>
      <w:pPr>
        <w:pStyle w:val="3"/>
        <w:numPr>
          <w:ilvl w:val="0"/>
          <w:numId w:val="1"/>
        </w:numPr>
        <w:tabs>
          <w:tab w:val="left" w:pos="0"/>
        </w:tabs>
        <w:snapToGrid w:val="0"/>
        <w:spacing w:line="360" w:lineRule="auto"/>
        <w:ind w:hanging="360" w:firstLineChars="0"/>
        <w:jc w:val="both"/>
        <w:rPr>
          <w:rFonts w:ascii="仿宋" w:hAnsi="仿宋" w:eastAsia="仿宋" w:cs="仿宋"/>
          <w:b w:val="0"/>
          <w:bCs w:val="0"/>
          <w:sz w:val="28"/>
          <w:szCs w:val="28"/>
          <w:u w:val="single"/>
        </w:rPr>
      </w:pPr>
      <w:r>
        <w:rPr>
          <w:rFonts w:hint="eastAsia" w:ascii="仿宋" w:hAnsi="仿宋" w:eastAsia="仿宋" w:cs="仿宋"/>
          <w:b/>
          <w:bCs/>
          <w:sz w:val="28"/>
          <w:szCs w:val="28"/>
          <w:u w:val="single"/>
        </w:rPr>
        <w:t>房地产：</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1）</w:t>
      </w:r>
      <w:r>
        <w:rPr>
          <w:rFonts w:hint="eastAsia" w:ascii="仿宋" w:hAnsi="仿宋" w:eastAsia="仿宋" w:cs="仿宋"/>
          <w:b w:val="0"/>
          <w:bCs w:val="0"/>
          <w:sz w:val="28"/>
          <w:szCs w:val="28"/>
          <w:u w:val="none"/>
        </w:rPr>
        <w:t>华富商业城</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位于叙州区柏溪街道翠柏大道488号，建筑</w:t>
      </w:r>
      <w:r>
        <w:rPr>
          <w:rFonts w:hint="eastAsia" w:ascii="仿宋" w:hAnsi="仿宋" w:eastAsia="仿宋" w:cs="仿宋"/>
          <w:b w:val="0"/>
          <w:bCs w:val="0"/>
          <w:sz w:val="28"/>
          <w:szCs w:val="28"/>
          <w:u w:val="none"/>
        </w:rPr>
        <w:t>面积为34978.77㎡，车位266个</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其中已售面积16732.16</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2）</w:t>
      </w:r>
      <w:r>
        <w:rPr>
          <w:rFonts w:hint="eastAsia" w:ascii="仿宋" w:hAnsi="仿宋" w:eastAsia="仿宋" w:cs="仿宋"/>
          <w:b w:val="0"/>
          <w:bCs w:val="0"/>
          <w:sz w:val="28"/>
          <w:szCs w:val="28"/>
          <w:u w:val="none"/>
        </w:rPr>
        <w:t>祥和花园</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位于柏溪镇迎宾路，建筑</w:t>
      </w:r>
      <w:r>
        <w:rPr>
          <w:rFonts w:hint="eastAsia" w:ascii="仿宋" w:hAnsi="仿宋" w:eastAsia="仿宋" w:cs="仿宋"/>
          <w:b w:val="0"/>
          <w:bCs w:val="0"/>
          <w:sz w:val="28"/>
          <w:szCs w:val="28"/>
          <w:u w:val="none"/>
        </w:rPr>
        <w:t>面积为1897.06㎡</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含17个车位），无出售情况</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3）</w:t>
      </w:r>
      <w:r>
        <w:rPr>
          <w:rFonts w:hint="eastAsia" w:ascii="仿宋" w:hAnsi="仿宋" w:eastAsia="仿宋" w:cs="仿宋"/>
          <w:b w:val="0"/>
          <w:bCs w:val="0"/>
          <w:sz w:val="28"/>
          <w:szCs w:val="28"/>
          <w:u w:val="none"/>
        </w:rPr>
        <w:t>滨江花园</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位于柏溪镇育才路南段，建筑</w:t>
      </w:r>
      <w:r>
        <w:rPr>
          <w:rFonts w:hint="eastAsia" w:ascii="仿宋" w:hAnsi="仿宋" w:eastAsia="仿宋" w:cs="仿宋"/>
          <w:b w:val="0"/>
          <w:bCs w:val="0"/>
          <w:sz w:val="28"/>
          <w:szCs w:val="28"/>
          <w:u w:val="none"/>
        </w:rPr>
        <w:t>面积为3151.6㎡</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含1个车位），其中已售面积514.92</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4）</w:t>
      </w:r>
      <w:r>
        <w:rPr>
          <w:rFonts w:hint="eastAsia" w:ascii="仿宋" w:hAnsi="仿宋" w:eastAsia="仿宋" w:cs="仿宋"/>
          <w:b w:val="0"/>
          <w:bCs w:val="0"/>
          <w:sz w:val="28"/>
          <w:szCs w:val="28"/>
          <w:u w:val="none"/>
        </w:rPr>
        <w:t>横江生态苑</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位于横江镇正义街，建筑</w:t>
      </w:r>
      <w:r>
        <w:rPr>
          <w:rFonts w:hint="eastAsia" w:ascii="仿宋" w:hAnsi="仿宋" w:eastAsia="仿宋" w:cs="仿宋"/>
          <w:b w:val="0"/>
          <w:bCs w:val="0"/>
          <w:sz w:val="28"/>
          <w:szCs w:val="28"/>
          <w:u w:val="none"/>
        </w:rPr>
        <w:t>面积为2421.37㎡，其中商业部分1940.36㎡</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其中已售面积101.62</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5）</w:t>
      </w:r>
      <w:r>
        <w:rPr>
          <w:rFonts w:hint="eastAsia" w:ascii="仿宋" w:hAnsi="仿宋" w:eastAsia="仿宋" w:cs="仿宋"/>
          <w:b w:val="0"/>
          <w:bCs w:val="0"/>
          <w:sz w:val="28"/>
          <w:szCs w:val="28"/>
          <w:u w:val="none"/>
        </w:rPr>
        <w:t>华富小区</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位于柏溪镇振兴路，建筑</w:t>
      </w:r>
      <w:r>
        <w:rPr>
          <w:rFonts w:hint="eastAsia" w:ascii="仿宋" w:hAnsi="仿宋" w:eastAsia="仿宋" w:cs="仿宋"/>
          <w:b w:val="0"/>
          <w:bCs w:val="0"/>
          <w:sz w:val="28"/>
          <w:szCs w:val="28"/>
          <w:u w:val="none"/>
        </w:rPr>
        <w:t>面积为469.43㎡，其中商业部分74.4㎡</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无出售情况</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6）</w:t>
      </w:r>
      <w:r>
        <w:rPr>
          <w:rFonts w:hint="eastAsia" w:ascii="仿宋" w:hAnsi="仿宋" w:eastAsia="仿宋" w:cs="仿宋"/>
          <w:b w:val="0"/>
          <w:bCs w:val="0"/>
          <w:sz w:val="28"/>
          <w:szCs w:val="28"/>
          <w:u w:val="none"/>
        </w:rPr>
        <w:t>华富振兴大厦</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位于柏溪镇振兴路3幢-1层，</w:t>
      </w:r>
      <w:r>
        <w:rPr>
          <w:rFonts w:hint="eastAsia" w:ascii="仿宋" w:hAnsi="仿宋" w:eastAsia="仿宋" w:cs="仿宋"/>
          <w:b w:val="0"/>
          <w:bCs w:val="0"/>
          <w:sz w:val="28"/>
          <w:szCs w:val="28"/>
          <w:u w:val="none"/>
        </w:rPr>
        <w:t>车位94个</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已售88个</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7）</w:t>
      </w:r>
      <w:r>
        <w:rPr>
          <w:rFonts w:hint="eastAsia" w:ascii="仿宋" w:hAnsi="仿宋" w:eastAsia="仿宋" w:cs="仿宋"/>
          <w:b w:val="0"/>
          <w:bCs w:val="0"/>
          <w:sz w:val="28"/>
          <w:szCs w:val="28"/>
          <w:u w:val="none"/>
        </w:rPr>
        <w:t>金沙尚品</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位于柏溪镇振兴路，建筑</w:t>
      </w:r>
      <w:r>
        <w:rPr>
          <w:rFonts w:hint="eastAsia" w:ascii="仿宋" w:hAnsi="仿宋" w:eastAsia="仿宋" w:cs="仿宋"/>
          <w:b w:val="0"/>
          <w:bCs w:val="0"/>
          <w:sz w:val="28"/>
          <w:szCs w:val="28"/>
          <w:u w:val="none"/>
        </w:rPr>
        <w:t>面积为7926.6㎡</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含228个车位）</w:t>
      </w:r>
      <w:r>
        <w:rPr>
          <w:rFonts w:hint="eastAsia" w:ascii="仿宋" w:hAnsi="仿宋" w:eastAsia="仿宋" w:cs="仿宋"/>
          <w:b w:val="0"/>
          <w:bCs w:val="0"/>
          <w:sz w:val="28"/>
          <w:szCs w:val="28"/>
          <w:u w:val="none"/>
        </w:rPr>
        <w:t>，其中商业部分1281.21㎡</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已售4895.11㎡（含车位）</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8）</w:t>
      </w:r>
      <w:r>
        <w:rPr>
          <w:rFonts w:hint="eastAsia" w:ascii="仿宋" w:hAnsi="仿宋" w:eastAsia="仿宋" w:cs="仿宋"/>
          <w:b w:val="0"/>
          <w:bCs w:val="0"/>
          <w:sz w:val="28"/>
          <w:szCs w:val="28"/>
          <w:u w:val="none"/>
        </w:rPr>
        <w:t>观音南部兴城</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位于叙州区观音镇三溪口，建筑</w:t>
      </w:r>
      <w:r>
        <w:rPr>
          <w:rFonts w:hint="eastAsia" w:ascii="仿宋" w:hAnsi="仿宋" w:eastAsia="仿宋" w:cs="仿宋"/>
          <w:b w:val="0"/>
          <w:bCs w:val="0"/>
          <w:sz w:val="28"/>
          <w:szCs w:val="28"/>
          <w:u w:val="none"/>
        </w:rPr>
        <w:t>面积为</w:t>
      </w:r>
      <w:r>
        <w:rPr>
          <w:rFonts w:hint="eastAsia" w:ascii="仿宋" w:hAnsi="仿宋" w:eastAsia="仿宋" w:cs="仿宋"/>
          <w:b w:val="0"/>
          <w:bCs w:val="0"/>
          <w:sz w:val="28"/>
          <w:szCs w:val="28"/>
          <w:u w:val="none"/>
          <w:lang w:val="en-US" w:eastAsia="zh-CN"/>
        </w:rPr>
        <w:t>5746.2</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含车位）</w:t>
      </w:r>
      <w:r>
        <w:rPr>
          <w:rFonts w:hint="eastAsia" w:ascii="仿宋" w:hAnsi="仿宋" w:eastAsia="仿宋" w:cs="仿宋"/>
          <w:b w:val="0"/>
          <w:bCs w:val="0"/>
          <w:sz w:val="28"/>
          <w:szCs w:val="28"/>
          <w:u w:val="none"/>
        </w:rPr>
        <w:t>，车位</w:t>
      </w:r>
      <w:r>
        <w:rPr>
          <w:rFonts w:hint="eastAsia" w:ascii="仿宋" w:hAnsi="仿宋" w:eastAsia="仿宋" w:cs="仿宋"/>
          <w:b w:val="0"/>
          <w:bCs w:val="0"/>
          <w:sz w:val="28"/>
          <w:szCs w:val="28"/>
          <w:u w:val="none"/>
          <w:lang w:val="en-US" w:eastAsia="zh-CN"/>
        </w:rPr>
        <w:t>122</w:t>
      </w:r>
      <w:r>
        <w:rPr>
          <w:rFonts w:hint="eastAsia" w:ascii="仿宋" w:hAnsi="仿宋" w:eastAsia="仿宋" w:cs="仿宋"/>
          <w:b w:val="0"/>
          <w:bCs w:val="0"/>
          <w:sz w:val="28"/>
          <w:szCs w:val="28"/>
          <w:u w:val="none"/>
        </w:rPr>
        <w:t>个</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已售1302.81㎡（含车位）</w:t>
      </w:r>
      <w:r>
        <w:rPr>
          <w:rFonts w:hint="eastAsia" w:ascii="仿宋" w:hAnsi="仿宋" w:eastAsia="仿宋" w:cs="仿宋"/>
          <w:b w:val="0"/>
          <w:bCs w:val="0"/>
          <w:sz w:val="28"/>
          <w:szCs w:val="28"/>
          <w:u w:val="none"/>
        </w:rPr>
        <w:t>；</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9）二二四洗车场：位于</w:t>
      </w:r>
      <w:r>
        <w:rPr>
          <w:rFonts w:hint="eastAsia" w:ascii="仿宋" w:hAnsi="仿宋" w:eastAsia="仿宋" w:cs="仿宋"/>
          <w:b w:val="0"/>
          <w:bCs w:val="0"/>
          <w:sz w:val="28"/>
          <w:szCs w:val="28"/>
          <w:u w:val="none"/>
        </w:rPr>
        <w:t>黄桷庄电厂段B1-1-04号地块1-2层224</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rPr>
        <w:t>面积为1950.08㎡</w:t>
      </w:r>
      <w:r>
        <w:rPr>
          <w:rFonts w:hint="eastAsia" w:ascii="仿宋" w:hAnsi="仿宋" w:eastAsia="仿宋" w:cs="仿宋"/>
          <w:b w:val="0"/>
          <w:bCs w:val="0"/>
          <w:sz w:val="28"/>
          <w:szCs w:val="28"/>
          <w:u w:val="none"/>
          <w:lang w:eastAsia="zh-CN"/>
        </w:rPr>
        <w:t>，</w:t>
      </w:r>
      <w:r>
        <w:rPr>
          <w:rFonts w:hint="eastAsia" w:ascii="仿宋" w:hAnsi="仿宋" w:eastAsia="仿宋" w:cs="仿宋"/>
          <w:b w:val="0"/>
          <w:bCs w:val="0"/>
          <w:sz w:val="28"/>
          <w:szCs w:val="28"/>
          <w:u w:val="none"/>
          <w:lang w:val="en-US" w:eastAsia="zh-CN"/>
        </w:rPr>
        <w:t>无出售信息</w:t>
      </w:r>
      <w:r>
        <w:rPr>
          <w:rFonts w:hint="eastAsia" w:ascii="仿宋" w:hAnsi="仿宋" w:eastAsia="仿宋" w:cs="仿宋"/>
          <w:b w:val="0"/>
          <w:bCs w:val="0"/>
          <w:sz w:val="28"/>
          <w:szCs w:val="28"/>
          <w:u w:val="none"/>
        </w:rPr>
        <w:t>。</w:t>
      </w:r>
    </w:p>
    <w:p>
      <w:pPr>
        <w:pStyle w:val="3"/>
        <w:numPr>
          <w:ilvl w:val="0"/>
          <w:numId w:val="1"/>
        </w:numPr>
        <w:tabs>
          <w:tab w:val="left" w:pos="0"/>
        </w:tabs>
        <w:snapToGrid w:val="0"/>
        <w:spacing w:line="360" w:lineRule="auto"/>
        <w:ind w:firstLineChars="0"/>
        <w:jc w:val="both"/>
        <w:rPr>
          <w:rFonts w:ascii="仿宋" w:hAnsi="仿宋" w:eastAsia="仿宋" w:cs="仿宋"/>
          <w:b w:val="0"/>
          <w:bCs w:val="0"/>
          <w:sz w:val="28"/>
          <w:szCs w:val="28"/>
          <w:u w:val="single"/>
        </w:rPr>
      </w:pPr>
      <w:r>
        <w:rPr>
          <w:rFonts w:hint="eastAsia" w:ascii="仿宋" w:hAnsi="仿宋" w:eastAsia="仿宋" w:cs="仿宋"/>
          <w:b/>
          <w:bCs/>
          <w:sz w:val="28"/>
          <w:szCs w:val="28"/>
          <w:u w:val="single"/>
        </w:rPr>
        <w:t>车辆：</w:t>
      </w:r>
      <w:r>
        <w:rPr>
          <w:rFonts w:hint="eastAsia" w:ascii="仿宋" w:hAnsi="仿宋" w:eastAsia="仿宋" w:cs="仿宋"/>
          <w:b w:val="0"/>
          <w:bCs w:val="0"/>
          <w:sz w:val="28"/>
          <w:szCs w:val="28"/>
          <w:u w:val="none"/>
        </w:rPr>
        <w:t>海马汽车一辆、丰田汽车一辆</w:t>
      </w:r>
      <w:r>
        <w:rPr>
          <w:rFonts w:hint="eastAsia" w:ascii="仿宋" w:hAnsi="仿宋" w:eastAsia="仿宋" w:cs="仿宋"/>
          <w:b w:val="0"/>
          <w:bCs w:val="0"/>
          <w:sz w:val="28"/>
          <w:szCs w:val="28"/>
          <w:u w:val="none"/>
          <w:lang w:eastAsia="zh-CN"/>
        </w:rPr>
        <w:t>。</w:t>
      </w:r>
    </w:p>
    <w:p>
      <w:pPr>
        <w:pStyle w:val="3"/>
        <w:numPr>
          <w:ilvl w:val="0"/>
          <w:numId w:val="1"/>
        </w:numPr>
        <w:tabs>
          <w:tab w:val="left" w:pos="0"/>
        </w:tabs>
        <w:snapToGrid w:val="0"/>
        <w:spacing w:line="360" w:lineRule="auto"/>
        <w:ind w:hanging="360" w:firstLineChars="0"/>
        <w:jc w:val="left"/>
        <w:rPr>
          <w:rFonts w:hint="eastAsia" w:ascii="仿宋" w:hAnsi="仿宋" w:eastAsia="仿宋" w:cs="仿宋"/>
          <w:b w:val="0"/>
          <w:bCs w:val="0"/>
          <w:sz w:val="28"/>
          <w:szCs w:val="28"/>
          <w:u w:val="none"/>
        </w:rPr>
      </w:pPr>
      <w:r>
        <w:rPr>
          <w:rFonts w:hint="eastAsia" w:ascii="仿宋" w:hAnsi="仿宋" w:eastAsia="仿宋" w:cs="仿宋"/>
          <w:b/>
          <w:bCs/>
          <w:sz w:val="28"/>
          <w:szCs w:val="28"/>
          <w:u w:val="single"/>
        </w:rPr>
        <w:t>长期股权投资：</w:t>
      </w:r>
      <w:r>
        <w:rPr>
          <w:rFonts w:hint="eastAsia" w:ascii="仿宋" w:hAnsi="仿宋" w:eastAsia="仿宋" w:cs="仿宋"/>
          <w:b w:val="0"/>
          <w:bCs w:val="0"/>
          <w:sz w:val="28"/>
          <w:szCs w:val="28"/>
          <w:u w:val="none"/>
        </w:rPr>
        <w:t>屏山县农商银行股份有限公司股份7007681.66股</w:t>
      </w:r>
      <w:r>
        <w:rPr>
          <w:rFonts w:hint="eastAsia" w:ascii="仿宋" w:hAnsi="仿宋" w:eastAsia="仿宋" w:cs="仿宋"/>
          <w:b w:val="0"/>
          <w:bCs w:val="0"/>
          <w:sz w:val="28"/>
          <w:szCs w:val="28"/>
          <w:u w:val="none"/>
          <w:lang w:eastAsia="zh-CN"/>
        </w:rPr>
        <w:t>。</w:t>
      </w:r>
    </w:p>
    <w:p>
      <w:pPr>
        <w:pStyle w:val="3"/>
        <w:tabs>
          <w:tab w:val="left" w:pos="0"/>
        </w:tabs>
        <w:snapToGrid w:val="0"/>
        <w:spacing w:line="360" w:lineRule="auto"/>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（二）负债情况</w:t>
      </w:r>
    </w:p>
    <w:p>
      <w:pPr>
        <w:pStyle w:val="3"/>
        <w:tabs>
          <w:tab w:val="left" w:pos="0"/>
        </w:tabs>
        <w:snapToGrid w:val="0"/>
        <w:spacing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2023年11月14日，四川省宜宾市叙州区人民法院在其微信公众号上发布了《公告》，通知债权人向管理人申报债权，并确定债权申报截止日为2024年1月8日。</w:t>
      </w:r>
    </w:p>
    <w:p>
      <w:pPr>
        <w:pStyle w:val="3"/>
        <w:tabs>
          <w:tab w:val="left" w:pos="0"/>
        </w:tabs>
        <w:snapToGrid w:val="0"/>
        <w:spacing w:line="360" w:lineRule="auto"/>
        <w:ind w:firstLine="560" w:firstLineChars="200"/>
        <w:jc w:val="both"/>
        <w:rPr>
          <w:rFonts w:ascii="仿宋" w:hAnsi="仿宋" w:eastAsia="仿宋" w:cs="仿宋"/>
          <w:b/>
          <w:bCs/>
          <w:sz w:val="28"/>
          <w:szCs w:val="28"/>
          <w:u w:val="single"/>
        </w:rPr>
      </w:pPr>
      <w:r>
        <w:rPr>
          <w:rFonts w:hint="eastAsia" w:ascii="仿宋" w:hAnsi="仿宋" w:eastAsia="仿宋" w:cs="仿宋"/>
          <w:sz w:val="28"/>
          <w:szCs w:val="28"/>
        </w:rPr>
        <w:t>管理人结合华富公司的财务账目，通过向华富公司进行核实等方式对上述申报的债权进行了初步审查，债权利息计算至重整受理之日（即2023年11月14日）。初步审查结果如下：</w:t>
      </w:r>
    </w:p>
    <w:tbl>
      <w:tblPr>
        <w:tblStyle w:val="7"/>
        <w:tblW w:w="7939" w:type="dxa"/>
        <w:jc w:val="center"/>
        <w:tblLayout w:type="autofit"/>
        <w:tblCellMar>
          <w:top w:w="0" w:type="dxa"/>
          <w:left w:w="108" w:type="dxa"/>
          <w:bottom w:w="0" w:type="dxa"/>
          <w:right w:w="108" w:type="dxa"/>
        </w:tblCellMar>
      </w:tblPr>
      <w:tblGrid>
        <w:gridCol w:w="1129"/>
        <w:gridCol w:w="3266"/>
        <w:gridCol w:w="3544"/>
      </w:tblGrid>
      <w:tr>
        <w:trPr>
          <w:trHeight w:val="680" w:hRule="atLeast"/>
          <w:jc w:val="center"/>
        </w:trPr>
        <w:tc>
          <w:tcPr>
            <w:tcW w:w="7939" w:type="dxa"/>
            <w:gridSpan w:val="3"/>
            <w:tcBorders>
              <w:top w:val="single" w:color="auto" w:sz="4" w:space="0"/>
              <w:left w:val="single" w:color="auto" w:sz="4" w:space="0"/>
              <w:bottom w:val="single" w:color="auto" w:sz="4" w:space="0"/>
              <w:right w:val="single" w:color="auto" w:sz="4" w:space="0"/>
            </w:tcBorders>
            <w:shd w:val="clear" w:color="auto" w:fill="A5A5A5" w:themeFill="background1" w:themeFillShade="A6"/>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华富公司负债明细（初审）</w:t>
            </w:r>
          </w:p>
        </w:tc>
      </w:tr>
      <w:tr>
        <w:trPr>
          <w:trHeight w:val="680" w:hRule="atLeast"/>
          <w:jc w:val="center"/>
        </w:trPr>
        <w:tc>
          <w:tcPr>
            <w:tcW w:w="11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序号</w:t>
            </w:r>
          </w:p>
        </w:tc>
        <w:tc>
          <w:tcPr>
            <w:tcW w:w="3266" w:type="dxa"/>
            <w:tcBorders>
              <w:top w:val="single" w:color="auto" w:sz="4" w:space="0"/>
              <w:left w:val="nil"/>
              <w:bottom w:val="single" w:color="auto" w:sz="4" w:space="0"/>
              <w:right w:val="single" w:color="auto" w:sz="4" w:space="0"/>
            </w:tcBorders>
            <w:shd w:val="clear" w:color="auto" w:fill="FFFFFF" w:themeFill="background1"/>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债权分类</w:t>
            </w:r>
          </w:p>
        </w:tc>
        <w:tc>
          <w:tcPr>
            <w:tcW w:w="3544" w:type="dxa"/>
            <w:tcBorders>
              <w:top w:val="single" w:color="auto" w:sz="4" w:space="0"/>
              <w:left w:val="nil"/>
              <w:bottom w:val="single" w:color="auto" w:sz="4" w:space="0"/>
              <w:right w:val="single" w:color="auto" w:sz="4" w:space="0"/>
            </w:tcBorders>
            <w:shd w:val="clear" w:color="auto" w:fill="FFFFFF" w:themeFill="background1"/>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金额（元）</w:t>
            </w:r>
          </w:p>
        </w:tc>
      </w:tr>
      <w:tr>
        <w:trPr>
          <w:trHeight w:val="680" w:hRule="atLeast"/>
          <w:jc w:val="center"/>
        </w:trPr>
        <w:tc>
          <w:tcPr>
            <w:tcW w:w="1129" w:type="dxa"/>
            <w:tcBorders>
              <w:top w:val="nil"/>
              <w:left w:val="single" w:color="auto" w:sz="4" w:space="0"/>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1</w:t>
            </w:r>
          </w:p>
        </w:tc>
        <w:tc>
          <w:tcPr>
            <w:tcW w:w="3266"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有特定财产担保债权</w:t>
            </w:r>
          </w:p>
        </w:tc>
        <w:tc>
          <w:tcPr>
            <w:tcW w:w="3544"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265040039.73</w:t>
            </w:r>
          </w:p>
        </w:tc>
      </w:tr>
      <w:tr>
        <w:trPr>
          <w:trHeight w:val="680" w:hRule="atLeast"/>
          <w:jc w:val="center"/>
        </w:trPr>
        <w:tc>
          <w:tcPr>
            <w:tcW w:w="1129" w:type="dxa"/>
            <w:tcBorders>
              <w:top w:val="nil"/>
              <w:left w:val="single" w:color="auto" w:sz="4" w:space="0"/>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2</w:t>
            </w:r>
          </w:p>
        </w:tc>
        <w:tc>
          <w:tcPr>
            <w:tcW w:w="3266"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税款债权</w:t>
            </w:r>
          </w:p>
        </w:tc>
        <w:tc>
          <w:tcPr>
            <w:tcW w:w="3544"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26804159.67</w:t>
            </w:r>
          </w:p>
        </w:tc>
      </w:tr>
      <w:tr>
        <w:trPr>
          <w:trHeight w:val="680" w:hRule="atLeast"/>
          <w:jc w:val="center"/>
        </w:trPr>
        <w:tc>
          <w:tcPr>
            <w:tcW w:w="1129" w:type="dxa"/>
            <w:tcBorders>
              <w:top w:val="nil"/>
              <w:left w:val="single" w:color="auto" w:sz="4" w:space="0"/>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3</w:t>
            </w:r>
          </w:p>
        </w:tc>
        <w:tc>
          <w:tcPr>
            <w:tcW w:w="3266"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建设工程款债权</w:t>
            </w:r>
          </w:p>
        </w:tc>
        <w:tc>
          <w:tcPr>
            <w:tcW w:w="3544"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0.00</w:t>
            </w:r>
          </w:p>
        </w:tc>
      </w:tr>
      <w:tr>
        <w:trPr>
          <w:trHeight w:val="754" w:hRule="atLeast"/>
          <w:jc w:val="center"/>
        </w:trPr>
        <w:tc>
          <w:tcPr>
            <w:tcW w:w="1129" w:type="dxa"/>
            <w:tcBorders>
              <w:top w:val="nil"/>
              <w:left w:val="single" w:color="auto" w:sz="4" w:space="0"/>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4</w:t>
            </w:r>
          </w:p>
        </w:tc>
        <w:tc>
          <w:tcPr>
            <w:tcW w:w="3266"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拆迁户申报</w:t>
            </w:r>
          </w:p>
        </w:tc>
        <w:tc>
          <w:tcPr>
            <w:tcW w:w="3544" w:type="dxa"/>
            <w:tcBorders>
              <w:top w:val="single" w:color="auto" w:sz="4" w:space="0"/>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w:t>
            </w:r>
          </w:p>
        </w:tc>
      </w:tr>
      <w:tr>
        <w:trPr>
          <w:trHeight w:val="680" w:hRule="atLeast"/>
          <w:jc w:val="center"/>
        </w:trPr>
        <w:tc>
          <w:tcPr>
            <w:tcW w:w="1129" w:type="dxa"/>
            <w:tcBorders>
              <w:top w:val="nil"/>
              <w:left w:val="single" w:color="auto" w:sz="4" w:space="0"/>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5</w:t>
            </w:r>
          </w:p>
        </w:tc>
        <w:tc>
          <w:tcPr>
            <w:tcW w:w="3266"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普通债权</w:t>
            </w:r>
          </w:p>
        </w:tc>
        <w:tc>
          <w:tcPr>
            <w:tcW w:w="3544" w:type="dxa"/>
            <w:tcBorders>
              <w:top w:val="nil"/>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36462355.36</w:t>
            </w:r>
          </w:p>
        </w:tc>
      </w:tr>
      <w:tr>
        <w:trPr>
          <w:trHeight w:val="680" w:hRule="atLeast"/>
          <w:jc w:val="center"/>
        </w:trPr>
        <w:tc>
          <w:tcPr>
            <w:tcW w:w="11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合计</w:t>
            </w:r>
          </w:p>
        </w:tc>
        <w:tc>
          <w:tcPr>
            <w:tcW w:w="3266" w:type="dxa"/>
            <w:tcBorders>
              <w:top w:val="single" w:color="auto" w:sz="4" w:space="0"/>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w:t>
            </w:r>
          </w:p>
        </w:tc>
        <w:tc>
          <w:tcPr>
            <w:tcW w:w="3544" w:type="dxa"/>
            <w:tcBorders>
              <w:top w:val="single" w:color="auto" w:sz="4" w:space="0"/>
              <w:left w:val="nil"/>
              <w:bottom w:val="single" w:color="auto" w:sz="4" w:space="0"/>
              <w:right w:val="single" w:color="auto" w:sz="4" w:space="0"/>
            </w:tcBorders>
            <w:shd w:val="clear" w:color="auto" w:fill="auto"/>
            <w:vAlign w:val="center"/>
          </w:tcPr>
          <w:p>
            <w:pPr>
              <w:pStyle w:val="3"/>
              <w:tabs>
                <w:tab w:val="left" w:pos="0"/>
              </w:tabs>
              <w:snapToGrid w:val="0"/>
              <w:spacing w:line="360" w:lineRule="auto"/>
              <w:ind w:firstLine="0" w:firstLineChars="0"/>
              <w:jc w:val="both"/>
              <w:rPr>
                <w:rFonts w:ascii="仿宋" w:hAnsi="仿宋" w:eastAsia="仿宋" w:cs="仿宋"/>
                <w:b/>
                <w:bCs/>
                <w:sz w:val="28"/>
                <w:szCs w:val="28"/>
              </w:rPr>
            </w:pPr>
            <w:r>
              <w:rPr>
                <w:rFonts w:hint="eastAsia" w:ascii="仿宋" w:hAnsi="仿宋" w:eastAsia="仿宋" w:cs="仿宋"/>
                <w:b/>
                <w:bCs/>
                <w:sz w:val="28"/>
                <w:szCs w:val="28"/>
              </w:rPr>
              <w:t>328306554.76</w:t>
            </w:r>
          </w:p>
        </w:tc>
      </w:tr>
    </w:tbl>
    <w:p>
      <w:pPr>
        <w:pStyle w:val="3"/>
        <w:tabs>
          <w:tab w:val="left" w:pos="0"/>
        </w:tabs>
        <w:snapToGrid w:val="0"/>
        <w:spacing w:line="360" w:lineRule="auto"/>
        <w:ind w:firstLine="562" w:firstLineChars="200"/>
        <w:jc w:val="both"/>
        <w:rPr>
          <w:rFonts w:ascii="仿宋" w:hAnsi="仿宋" w:eastAsia="仿宋" w:cs="仿宋"/>
          <w:b/>
          <w:bCs/>
          <w:sz w:val="28"/>
          <w:szCs w:val="28"/>
          <w:u w:val="single"/>
        </w:rPr>
      </w:pPr>
    </w:p>
    <w:p>
      <w:pPr>
        <w:pStyle w:val="3"/>
        <w:tabs>
          <w:tab w:val="left" w:pos="0"/>
        </w:tabs>
        <w:snapToGrid w:val="0"/>
        <w:spacing w:line="360" w:lineRule="auto"/>
        <w:ind w:firstLine="562" w:firstLineChars="200"/>
        <w:jc w:val="both"/>
        <w:rPr>
          <w:rFonts w:ascii="仿宋" w:hAnsi="仿宋" w:eastAsia="仿宋" w:cs="仿宋"/>
          <w:b/>
          <w:bCs/>
          <w:sz w:val="28"/>
          <w:szCs w:val="28"/>
          <w:u w:val="single"/>
        </w:rPr>
      </w:pPr>
      <w:r>
        <w:rPr>
          <w:rFonts w:hint="eastAsia" w:ascii="仿宋" w:hAnsi="仿宋" w:eastAsia="仿宋" w:cs="仿宋"/>
          <w:b/>
          <w:bCs/>
          <w:sz w:val="28"/>
          <w:szCs w:val="28"/>
        </w:rPr>
        <w:t>特别说明：</w:t>
      </w:r>
      <w:r>
        <w:rPr>
          <w:rFonts w:hint="eastAsia" w:ascii="仿宋" w:hAnsi="仿宋" w:eastAsia="仿宋" w:cs="仿宋"/>
          <w:b/>
          <w:bCs/>
          <w:sz w:val="28"/>
          <w:szCs w:val="28"/>
          <w:u w:val="single"/>
        </w:rPr>
        <w:t>管理人提示意向投资人，不排除存在债务人账面存在记录但未申报的债权，以及账上未记载且未申报的负债。意向投资人提交投资文件时，应考虑到《企业破产法》第九十二条规定的引发的重整程序结束后债务增量因素。</w:t>
      </w:r>
    </w:p>
    <w:p>
      <w:pPr>
        <w:snapToGrid w:val="0"/>
        <w:spacing w:line="360" w:lineRule="auto"/>
        <w:ind w:firstLine="560" w:firstLineChars="200"/>
        <w:rPr>
          <w:rFonts w:ascii="黑体" w:hAnsi="黑体" w:eastAsia="黑体" w:cs="黑体"/>
          <w:sz w:val="28"/>
          <w:szCs w:val="28"/>
        </w:rPr>
      </w:pPr>
      <w:r>
        <w:rPr>
          <w:rFonts w:hint="eastAsia" w:ascii="黑体" w:hAnsi="黑体" w:eastAsia="黑体" w:cs="黑体"/>
          <w:sz w:val="28"/>
          <w:szCs w:val="28"/>
        </w:rPr>
        <w:t>四、项目投资价值</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1、华富公司名下华富商业城项目，位于叙州区与翠屏区交界处的224地段，该地段属于交通要道的十字路口，人流量及车流量较大。交通区位极为优越。</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drawing>
          <wp:inline distT="0" distB="0" distL="114300" distR="114300">
            <wp:extent cx="4867910" cy="4553585"/>
            <wp:effectExtent l="0" t="0" r="8890" b="18415"/>
            <wp:docPr id="2" name="图片 2" descr="WX20231224-212525@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X20231224-212525@2x"/>
                    <pic:cNvPicPr>
                      <a:picLocks noChangeAspect="1"/>
                    </pic:cNvPicPr>
                  </pic:nvPicPr>
                  <pic:blipFill>
                    <a:blip r:embed="rId5"/>
                    <a:stretch>
                      <a:fillRect/>
                    </a:stretch>
                  </pic:blipFill>
                  <pic:spPr>
                    <a:xfrm>
                      <a:off x="0" y="0"/>
                      <a:ext cx="4867910" cy="4553585"/>
                    </a:xfrm>
                    <a:prstGeom prst="rect">
                      <a:avLst/>
                    </a:prstGeom>
                  </pic:spPr>
                </pic:pic>
              </a:graphicData>
            </a:graphic>
          </wp:inline>
        </w:drawing>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另华富公司所拥有的所有房屋及附属设施均已经建设完成，投资人入场后仅需缴纳相应税款就可以进行使用或交易，可节省后续建设的资金成本和时间成本。</w:t>
      </w:r>
    </w:p>
    <w:p>
      <w:pPr>
        <w:pStyle w:val="2"/>
        <w:ind w:left="0" w:firstLine="560" w:firstLineChars="200"/>
        <w:rPr>
          <w:rFonts w:ascii="仿宋" w:hAnsi="仿宋" w:eastAsia="仿宋" w:cs="仿宋"/>
          <w:sz w:val="28"/>
          <w:szCs w:val="28"/>
        </w:rPr>
      </w:pPr>
      <w:r>
        <w:rPr>
          <w:rFonts w:hint="eastAsia" w:ascii="仿宋" w:hAnsi="仿宋" w:eastAsia="仿宋" w:cs="仿宋"/>
          <w:sz w:val="28"/>
          <w:szCs w:val="28"/>
        </w:rPr>
        <w:t>2、华富公司的股东、实际控制人基于华富公司现有的困境，均有意让华富公司通过重整的路径去化解各类经营问题，解决现有的社会矛盾，且已经就此事项形成股东会决议。</w:t>
      </w:r>
    </w:p>
    <w:p>
      <w:pPr>
        <w:pStyle w:val="2"/>
        <w:ind w:left="0" w:firstLine="560" w:firstLineChars="200"/>
        <w:rPr>
          <w:rFonts w:hint="eastAsia"/>
        </w:rPr>
      </w:pPr>
      <w:r>
        <w:rPr>
          <w:rFonts w:hint="eastAsia" w:ascii="仿宋" w:hAnsi="仿宋" w:eastAsia="仿宋" w:cs="仿宋"/>
          <w:sz w:val="28"/>
          <w:szCs w:val="28"/>
        </w:rPr>
        <w:t>3、华富公司所形成的经营困境及社会矛盾系宜宾市叙州区较大的社会问题，已造成不良社会稳定因素。党委政府务实为民，高度重视该问题，希望通过有效的途径化解社会矛盾及债务危机，使华富公司后续轻装上阵，涅槃重生，继续为社会作出应有的贡献。</w:t>
      </w:r>
    </w:p>
    <w:p>
      <w:pPr>
        <w:snapToGrid w:val="0"/>
        <w:spacing w:line="360" w:lineRule="auto"/>
        <w:ind w:firstLine="560"/>
      </w:pPr>
      <w:r>
        <w:rPr>
          <w:rFonts w:hint="eastAsia" w:ascii="黑体" w:hAnsi="黑体" w:eastAsia="黑体" w:cs="黑体"/>
          <w:sz w:val="28"/>
          <w:szCs w:val="28"/>
          <w:u w:val="single"/>
        </w:rPr>
        <w:t>特别提示：投资价值应由意向投资人自行向当地政府咨询或相关部门确认和自行判断，华富公司及管理人不对此作任何承诺或保证；项目内是否有相关产业政策要求或限制，意向投资人应自行向当地政府或相关部门会咨询确认。</w:t>
      </w:r>
    </w:p>
    <w:p>
      <w:pPr>
        <w:snapToGrid w:val="0"/>
        <w:spacing w:line="360" w:lineRule="auto"/>
        <w:ind w:firstLine="560" w:firstLineChars="200"/>
        <w:rPr>
          <w:rFonts w:ascii="黑体" w:hAnsi="黑体" w:eastAsia="黑体" w:cs="黑体"/>
          <w:sz w:val="28"/>
          <w:szCs w:val="28"/>
        </w:rPr>
      </w:pPr>
      <w:r>
        <w:rPr>
          <w:rFonts w:hint="eastAsia" w:ascii="黑体" w:hAnsi="黑体" w:eastAsia="黑体" w:cs="黑体"/>
          <w:sz w:val="28"/>
          <w:szCs w:val="28"/>
        </w:rPr>
        <w:t>五、投资人报名资格条件和要求</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（一）投资人须为依法设立并有效存续的企业法人或者有完全民事行为能力的自然人。</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（二）投资人应具有较强的社会责任感和良好的商业信誉，在过去三年内无重大违法行为、无数额较大到期未清偿债务、未被列入失信被执行人。</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（三）投资人认可本次招募流程，且提交的投资方案中不得另行设定投资的前提条件。</w:t>
      </w:r>
    </w:p>
    <w:p>
      <w:pPr>
        <w:pStyle w:val="2"/>
        <w:snapToGrid w:val="0"/>
        <w:spacing w:line="360" w:lineRule="auto"/>
        <w:ind w:left="0" w:firstLine="560" w:firstLineChars="200"/>
        <w:rPr>
          <w:rFonts w:eastAsia="仿宋"/>
        </w:rPr>
      </w:pPr>
      <w:r>
        <w:rPr>
          <w:rFonts w:hint="eastAsia" w:ascii="仿宋" w:hAnsi="仿宋" w:eastAsia="仿宋" w:cs="仿宋"/>
          <w:sz w:val="28"/>
          <w:szCs w:val="28"/>
        </w:rPr>
        <w:t>（四）投资人应具备较雄厚的经济实力，具备履行《重整计划草案》的执行能力，报名时须向管理人交纳意向保证金</w:t>
      </w:r>
      <w:r>
        <w:rPr>
          <w:rFonts w:hint="eastAsia" w:ascii="仿宋" w:hAnsi="仿宋" w:eastAsia="仿宋" w:cs="仿宋"/>
          <w:sz w:val="28"/>
          <w:szCs w:val="28"/>
        </w:rPr>
        <w:t>100</w:t>
      </w:r>
      <w:r>
        <w:rPr>
          <w:rFonts w:hint="eastAsia" w:ascii="仿宋" w:hAnsi="仿宋" w:eastAsia="仿宋" w:cs="仿宋"/>
          <w:sz w:val="28"/>
          <w:szCs w:val="28"/>
        </w:rPr>
        <w:t>万元整。</w:t>
      </w:r>
    </w:p>
    <w:p>
      <w:pPr>
        <w:snapToGrid w:val="0"/>
        <w:spacing w:line="360" w:lineRule="auto"/>
        <w:ind w:firstLine="560"/>
        <w:rPr>
          <w:rFonts w:ascii="黑体" w:hAnsi="黑体" w:eastAsia="黑体" w:cs="黑体"/>
          <w:sz w:val="28"/>
          <w:szCs w:val="28"/>
        </w:rPr>
      </w:pPr>
      <w:r>
        <w:rPr>
          <w:rFonts w:hint="eastAsia" w:ascii="黑体" w:hAnsi="黑体" w:eastAsia="黑体" w:cs="黑体"/>
          <w:sz w:val="28"/>
          <w:szCs w:val="28"/>
        </w:rPr>
        <w:t>六、报名需要提交的材料</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投资人最迟应于</w:t>
      </w:r>
      <w:r>
        <w:rPr>
          <w:rFonts w:hint="eastAsia" w:ascii="仿宋" w:hAnsi="仿宋" w:eastAsia="仿宋" w:cs="仿宋"/>
          <w:sz w:val="28"/>
          <w:szCs w:val="28"/>
          <w:u w:val="none"/>
        </w:rPr>
        <w:t>2024年1月18日17:00</w:t>
      </w:r>
      <w:r>
        <w:rPr>
          <w:rFonts w:hint="eastAsia" w:ascii="仿宋" w:hAnsi="仿宋" w:eastAsia="仿宋" w:cs="仿宋"/>
          <w:sz w:val="28"/>
          <w:szCs w:val="28"/>
        </w:rPr>
        <w:t>前向管</w:t>
      </w:r>
      <w:r>
        <w:rPr>
          <w:rFonts w:hint="eastAsia" w:ascii="仿宋" w:hAnsi="仿宋" w:eastAsia="仿宋" w:cs="仿宋"/>
          <w:sz w:val="28"/>
          <w:szCs w:val="28"/>
        </w:rPr>
        <w:t>理人提交《重整投资报名书》，包含以下报名材料：</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报名函。</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投资报价函。</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投资方案：内容包括投资人基本情况介绍、资金实力和履约能力的证明、初步投资方案、初步经营方案等。</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主体材料：企业法人需提供营业执照副本复印件、法定代表人身份证明及身份证复印件；自然人需提供身份证复印件；（复印件需加盖公司公章或自然人签字确认且需提供原件核对）。</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授权委托材料：授权委托书（注明受托人姓名、联系方式、授权范围和期限等）、受托人身份证复印件及送达地址确认书。</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资信证明：企业法人上一年度及最近三个月的财务报表、具备重整资金实力及可调控资金能力的专项说明。</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董事会、股东会等决策机构同意投资的决议原件。</w:t>
      </w:r>
    </w:p>
    <w:p>
      <w:pPr>
        <w:numPr>
          <w:ilvl w:val="0"/>
          <w:numId w:val="2"/>
        </w:num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参选保证金。意向投资人应在报名的同时向管理人缴纳意向保证金人民币100万元，并汇入下列银行账户：</w:t>
      </w:r>
    </w:p>
    <w:p>
      <w:pPr>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户名：</w:t>
      </w:r>
      <w:r>
        <w:rPr>
          <w:rFonts w:hint="eastAsia" w:ascii="仿宋" w:hAnsi="仿宋" w:eastAsia="仿宋" w:cs="仿宋"/>
          <w:sz w:val="28"/>
          <w:szCs w:val="28"/>
          <w:lang w:val="en-US" w:eastAsia="zh-CN"/>
        </w:rPr>
        <w:t>四川宜宾</w:t>
      </w:r>
      <w:r>
        <w:rPr>
          <w:rFonts w:hint="eastAsia" w:ascii="仿宋" w:hAnsi="仿宋" w:eastAsia="仿宋" w:cs="仿宋"/>
          <w:sz w:val="28"/>
          <w:szCs w:val="28"/>
        </w:rPr>
        <w:t>华富房地产开发有限责任公司管理人</w:t>
      </w:r>
    </w:p>
    <w:p>
      <w:pPr>
        <w:snapToGrid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开户行：中国邮储银行</w:t>
      </w:r>
      <w:r>
        <w:rPr>
          <w:rFonts w:hint="eastAsia" w:ascii="仿宋" w:hAnsi="仿宋" w:eastAsia="仿宋" w:cs="仿宋"/>
          <w:sz w:val="28"/>
          <w:szCs w:val="28"/>
          <w:lang w:val="en-US" w:eastAsia="zh-CN"/>
        </w:rPr>
        <w:t>股份有限公司宜宾市叙州区支行</w:t>
      </w:r>
    </w:p>
    <w:p>
      <w:pPr>
        <w:snapToGrid w:val="0"/>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账号：</w:t>
      </w:r>
      <w:r>
        <w:rPr>
          <w:rFonts w:hint="eastAsia" w:ascii="仿宋" w:hAnsi="仿宋" w:eastAsia="仿宋" w:cs="仿宋"/>
          <w:sz w:val="28"/>
          <w:szCs w:val="28"/>
          <w:lang w:val="en-US" w:eastAsia="zh-CN"/>
        </w:rPr>
        <w:t>951002010017630001</w:t>
      </w:r>
    </w:p>
    <w:p>
      <w:pPr>
        <w:snapToGrid w:val="0"/>
        <w:spacing w:line="360" w:lineRule="auto"/>
        <w:ind w:firstLine="560"/>
        <w:rPr>
          <w:rFonts w:ascii="黑体" w:hAnsi="黑体" w:eastAsia="黑体" w:cs="黑体"/>
          <w:sz w:val="28"/>
          <w:szCs w:val="28"/>
        </w:rPr>
      </w:pPr>
      <w:r>
        <w:rPr>
          <w:rFonts w:hint="eastAsia" w:ascii="黑体" w:hAnsi="黑体" w:eastAsia="黑体" w:cs="黑体"/>
          <w:sz w:val="28"/>
          <w:szCs w:val="28"/>
        </w:rPr>
        <w:t>七、招募程序</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（一）尽职调查</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意向投资人如需查阅、了解债务人的资产情况、财务审计、债权债务情况、经营情况等详细资料或进行尽职调查的，在意向投资人向管理人缴纳保证金后，三日内向管理人提出尽调书面申请，并与管理人签订《保密协议》。管理人将予以必要的配合，提供相关资料，意向投资人在管理人提供资料后七日内完成尽职调查，同时投资人对尽调结果应自行承担法律责任。</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（二）提交《重整投资计划书》</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意向投资人根据尽职调查了解到的情况，结合自身的商业判断和法律风险评估，在尽职调查结束后七日内向管理人提交具有可行性且不可撤销的《重整投资计划书》。《重整投资计划书》应当包括但不限于债务人的经营方案、债权分类、债权调整方案、债权清偿方案和重整计划执行期限、重整计划监督期限以及履行重整计划的承诺书等其他内容。重整投资方案不得设置假设性前提。</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（三）签订《重整投资协议》</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意向投资人提交《重整投资计划书》后，管理人将与意向投资人针对其《重整投资计划书》进行实质性磋商，双方依据实质性磋商的结果签订《重整投资协议》。意向投资人有多个的，管理人届时可邀请法院及债权人委员会对意向投资人提交的重整投资计划进行评选，按“价高者得”原则择优确定签订《重整投资协议》对象，确定为签约对象后，应于三日内与管理人签订《重整投资协议》。</w:t>
      </w:r>
    </w:p>
    <w:p>
      <w:pPr>
        <w:snapToGrid w:val="0"/>
        <w:spacing w:line="360" w:lineRule="auto"/>
        <w:ind w:firstLine="560" w:firstLineChars="200"/>
        <w:rPr>
          <w:rFonts w:ascii="黑体" w:hAnsi="黑体" w:eastAsia="黑体" w:cs="黑体"/>
          <w:sz w:val="28"/>
          <w:szCs w:val="28"/>
        </w:rPr>
      </w:pPr>
      <w:r>
        <w:rPr>
          <w:rFonts w:hint="eastAsia" w:ascii="黑体" w:hAnsi="黑体" w:eastAsia="黑体" w:cs="黑体"/>
          <w:sz w:val="28"/>
          <w:szCs w:val="28"/>
        </w:rPr>
        <w:t>八、报名方式</w:t>
      </w:r>
    </w:p>
    <w:p>
      <w:pPr>
        <w:numPr>
          <w:ilvl w:val="0"/>
          <w:numId w:val="3"/>
        </w:numPr>
        <w:snapToGrid w:val="0"/>
        <w:spacing w:line="360" w:lineRule="auto"/>
        <w:ind w:left="560"/>
        <w:rPr>
          <w:rFonts w:ascii="仿宋" w:hAnsi="仿宋" w:eastAsia="仿宋" w:cs="仿宋"/>
          <w:sz w:val="28"/>
          <w:szCs w:val="28"/>
        </w:rPr>
      </w:pPr>
      <w:r>
        <w:rPr>
          <w:rFonts w:hint="eastAsia" w:ascii="仿宋" w:hAnsi="仿宋" w:eastAsia="仿宋" w:cs="仿宋"/>
          <w:sz w:val="28"/>
          <w:szCs w:val="28"/>
        </w:rPr>
        <w:t>报名文件的密封与标志</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向管理人提交的全部文件均需要加盖投资人公章（自然人签字按印），多页文件加盖骑缝章。所有报名材料一式两份（正本、副本各一份）应予密封，在密封袋上标明投资人名称（未按期提交以上全部文件，视为放弃参加遴选）。</w:t>
      </w:r>
    </w:p>
    <w:p>
      <w:pPr>
        <w:numPr>
          <w:ilvl w:val="0"/>
          <w:numId w:val="3"/>
        </w:numPr>
        <w:snapToGrid w:val="0"/>
        <w:spacing w:line="360" w:lineRule="auto"/>
        <w:ind w:left="560"/>
        <w:rPr>
          <w:rFonts w:ascii="仿宋" w:hAnsi="仿宋" w:eastAsia="仿宋" w:cs="仿宋"/>
          <w:sz w:val="28"/>
          <w:szCs w:val="28"/>
        </w:rPr>
      </w:pPr>
      <w:r>
        <w:rPr>
          <w:rFonts w:hint="eastAsia" w:ascii="仿宋" w:hAnsi="仿宋" w:eastAsia="仿宋" w:cs="仿宋"/>
          <w:sz w:val="28"/>
          <w:szCs w:val="28"/>
        </w:rPr>
        <w:t>报名地点</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四川省宜宾市叙州区柏溪街道金沙江北路华富商业城1幢四单元三层16-20号。</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联系人：陈律师，15183148060；胡律师，15181111767。</w:t>
      </w:r>
    </w:p>
    <w:p>
      <w:pPr>
        <w:numPr>
          <w:ilvl w:val="0"/>
          <w:numId w:val="3"/>
        </w:numPr>
        <w:snapToGrid w:val="0"/>
        <w:spacing w:line="360" w:lineRule="auto"/>
        <w:ind w:left="560"/>
        <w:rPr>
          <w:rFonts w:ascii="仿宋" w:hAnsi="仿宋" w:eastAsia="仿宋" w:cs="仿宋"/>
          <w:sz w:val="28"/>
          <w:szCs w:val="28"/>
        </w:rPr>
      </w:pPr>
      <w:r>
        <w:rPr>
          <w:rFonts w:hint="eastAsia" w:ascii="仿宋" w:hAnsi="仿宋" w:eastAsia="仿宋" w:cs="仿宋"/>
          <w:sz w:val="28"/>
          <w:szCs w:val="28"/>
        </w:rPr>
        <w:t>报名材料的提交及截止时间</w:t>
      </w:r>
    </w:p>
    <w:p>
      <w:pPr>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投资人应于</w:t>
      </w:r>
      <w:r>
        <w:rPr>
          <w:rFonts w:hint="eastAsia" w:ascii="仿宋" w:hAnsi="仿宋" w:eastAsia="仿宋" w:cs="仿宋"/>
          <w:sz w:val="28"/>
          <w:szCs w:val="28"/>
          <w:u w:val="none"/>
        </w:rPr>
        <w:t>2024年</w:t>
      </w:r>
      <w:bookmarkStart w:id="0" w:name="_GoBack"/>
      <w:bookmarkEnd w:id="0"/>
      <w:r>
        <w:rPr>
          <w:rFonts w:hint="eastAsia" w:ascii="仿宋" w:hAnsi="仿宋" w:eastAsia="仿宋" w:cs="仿宋"/>
          <w:sz w:val="28"/>
          <w:szCs w:val="28"/>
          <w:u w:val="none"/>
        </w:rPr>
        <w:t>1月18日17：00</w:t>
      </w:r>
      <w:r>
        <w:rPr>
          <w:rFonts w:hint="eastAsia" w:ascii="仿宋" w:hAnsi="仿宋" w:eastAsia="仿宋" w:cs="仿宋"/>
          <w:sz w:val="28"/>
          <w:szCs w:val="28"/>
        </w:rPr>
        <w:t>前向管理人提交报名文件，公告有效期内的工作日均可报名。</w:t>
      </w:r>
    </w:p>
    <w:p>
      <w:pPr>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公开遴选由管理人根据报名情况另行组织安排。</w:t>
      </w:r>
    </w:p>
    <w:p>
      <w:pPr>
        <w:snapToGrid w:val="0"/>
        <w:spacing w:line="360" w:lineRule="auto"/>
        <w:ind w:left="560"/>
        <w:rPr>
          <w:rFonts w:ascii="黑体" w:hAnsi="黑体" w:eastAsia="黑体" w:cs="黑体"/>
          <w:sz w:val="28"/>
          <w:szCs w:val="28"/>
        </w:rPr>
      </w:pPr>
      <w:r>
        <w:rPr>
          <w:rFonts w:hint="eastAsia" w:ascii="黑体" w:hAnsi="黑体" w:eastAsia="黑体" w:cs="黑体"/>
          <w:sz w:val="28"/>
          <w:szCs w:val="28"/>
        </w:rPr>
        <w:t>九、参选保证金的退还</w:t>
      </w:r>
    </w:p>
    <w:p>
      <w:pPr>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（一）存在下列情形之一的，参选保证金由管理人在投资人确定后15个工作日内无息退还：</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1.投资人未按期提交《重整投资计划书》的；</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2.投资人明确表示放弃投资的；</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3.投资人经评审不符合投资人资格的。</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（二）存在下列情形之一的，参选保证金不予退还；</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1.投资人提供虚假证明材料的；</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2.投资人违反承诺的；</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3.投资人在签收管理人《投资人身份确认书》的通知后五个工作日内，不与管理人签订书面投资协议的。</w:t>
      </w:r>
    </w:p>
    <w:p>
      <w:pPr>
        <w:snapToGrid w:val="0"/>
        <w:spacing w:line="360" w:lineRule="auto"/>
        <w:ind w:firstLine="560"/>
        <w:rPr>
          <w:rFonts w:ascii="黑体" w:hAnsi="黑体" w:eastAsia="黑体" w:cs="黑体"/>
          <w:sz w:val="28"/>
          <w:szCs w:val="28"/>
        </w:rPr>
      </w:pPr>
      <w:r>
        <w:rPr>
          <w:rFonts w:hint="eastAsia" w:ascii="黑体" w:hAnsi="黑体" w:eastAsia="黑体" w:cs="黑体"/>
          <w:sz w:val="28"/>
          <w:szCs w:val="28"/>
        </w:rPr>
        <w:t>十、其他事项</w:t>
      </w:r>
    </w:p>
    <w:p>
      <w:pPr>
        <w:snapToGrid w:val="0"/>
        <w:spacing w:line="360" w:lineRule="auto"/>
        <w:ind w:firstLine="560"/>
        <w:rPr>
          <w:rFonts w:ascii="黑体" w:hAnsi="黑体" w:eastAsia="黑体" w:cs="黑体"/>
          <w:sz w:val="28"/>
          <w:szCs w:val="28"/>
          <w:u w:val="single"/>
        </w:rPr>
      </w:pPr>
      <w:r>
        <w:rPr>
          <w:rFonts w:hint="eastAsia" w:ascii="黑体" w:hAnsi="黑体" w:eastAsia="黑体" w:cs="黑体"/>
          <w:sz w:val="28"/>
          <w:szCs w:val="28"/>
          <w:u w:val="single"/>
        </w:rPr>
        <w:t>（一）投资人应向当地政府咨询确认是否有相关政策要求或限制。</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（二）招募期间如出现影响重整的重大事项或人民法院提出要求的，管理人可以中止、撤回或者增加招募计划，不承担任何赔偿责任。</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（三）本案债权人可报名参加本次投资人招募。</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（四）遴选确定为意向投资人的，参选保证金自动转为投资履约保证金，具体处理方式由管理人拟定，参选保证金不计利息。</w:t>
      </w:r>
    </w:p>
    <w:p>
      <w:pPr>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（五）若本次招募阶段无意向投资人报名，管理人不排除进行下一轮投资人招募或通过公开拍卖等方式处置华富公司名下资产。</w:t>
      </w:r>
    </w:p>
    <w:p>
      <w:pPr>
        <w:snapToGrid w:val="0"/>
        <w:spacing w:line="360" w:lineRule="auto"/>
        <w:ind w:firstLine="560" w:firstLineChars="200"/>
        <w:rPr>
          <w:rFonts w:ascii="仿宋" w:hAnsi="仿宋" w:eastAsia="仿宋" w:cs="仿宋"/>
          <w:sz w:val="28"/>
          <w:szCs w:val="28"/>
        </w:rPr>
      </w:pPr>
    </w:p>
    <w:p>
      <w:pPr>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特此公告</w:t>
      </w:r>
    </w:p>
    <w:p>
      <w:pPr>
        <w:snapToGrid w:val="0"/>
        <w:spacing w:line="360" w:lineRule="auto"/>
        <w:jc w:val="right"/>
        <w:rPr>
          <w:rFonts w:ascii="仿宋" w:hAnsi="仿宋" w:eastAsia="仿宋" w:cs="仿宋"/>
          <w:sz w:val="28"/>
          <w:szCs w:val="28"/>
        </w:rPr>
      </w:pPr>
    </w:p>
    <w:p>
      <w:pPr>
        <w:snapToGrid w:val="0"/>
        <w:spacing w:line="360" w:lineRule="auto"/>
        <w:jc w:val="right"/>
        <w:rPr>
          <w:rFonts w:ascii="仿宋" w:hAnsi="仿宋" w:eastAsia="仿宋" w:cs="仿宋"/>
          <w:sz w:val="28"/>
          <w:szCs w:val="28"/>
        </w:rPr>
      </w:pPr>
      <w:r>
        <w:rPr>
          <w:rFonts w:hint="eastAsia" w:ascii="仿宋" w:hAnsi="仿宋" w:eastAsia="仿宋" w:cs="仿宋"/>
          <w:sz w:val="28"/>
          <w:szCs w:val="28"/>
        </w:rPr>
        <w:t>四川宜宾华富房地产开发有限责任公司管理人</w:t>
      </w:r>
    </w:p>
    <w:p>
      <w:pPr>
        <w:snapToGrid w:val="0"/>
        <w:spacing w:line="360" w:lineRule="auto"/>
        <w:ind w:firstLine="560"/>
        <w:jc w:val="center"/>
        <w:rPr>
          <w:rFonts w:ascii="仿宋" w:hAnsi="仿宋" w:eastAsia="仿宋" w:cs="仿宋"/>
          <w:sz w:val="28"/>
          <w:szCs w:val="28"/>
        </w:rPr>
      </w:pPr>
      <w:r>
        <w:rPr>
          <w:rFonts w:hint="eastAsia" w:ascii="仿宋" w:hAnsi="仿宋" w:eastAsia="仿宋" w:cs="仿宋"/>
          <w:sz w:val="28"/>
          <w:szCs w:val="28"/>
        </w:rPr>
        <w:t xml:space="preserve">                             </w:t>
      </w:r>
    </w:p>
    <w:p>
      <w:pPr>
        <w:snapToGrid w:val="0"/>
        <w:spacing w:line="360" w:lineRule="auto"/>
        <w:ind w:firstLine="560"/>
        <w:jc w:val="center"/>
        <w:rPr>
          <w:rFonts w:ascii="仿宋" w:hAnsi="仿宋" w:eastAsia="仿宋" w:cs="仿宋"/>
          <w:sz w:val="28"/>
          <w:szCs w:val="28"/>
        </w:rPr>
      </w:pPr>
      <w:r>
        <w:rPr>
          <w:rFonts w:hint="eastAsia" w:ascii="仿宋" w:hAnsi="仿宋" w:eastAsia="仿宋" w:cs="仿宋"/>
          <w:sz w:val="28"/>
          <w:szCs w:val="28"/>
        </w:rPr>
        <w:t xml:space="preserve">                           二〇二三年十二月二十</w:t>
      </w:r>
      <w:r>
        <w:rPr>
          <w:rFonts w:hint="eastAsia" w:ascii="仿宋" w:hAnsi="仿宋" w:eastAsia="仿宋" w:cs="仿宋"/>
          <w:sz w:val="28"/>
          <w:szCs w:val="28"/>
          <w:lang w:val="en-US" w:eastAsia="zh-CN"/>
        </w:rPr>
        <w:t>八</w:t>
      </w:r>
      <w:r>
        <w:rPr>
          <w:rFonts w:hint="eastAsia" w:ascii="仿宋" w:hAnsi="仿宋" w:eastAsia="仿宋" w:cs="仿宋"/>
          <w:sz w:val="28"/>
          <w:szCs w:val="28"/>
        </w:rPr>
        <w:t>日</w:t>
      </w:r>
    </w:p>
    <w:p>
      <w:pPr>
        <w:snapToGrid w:val="0"/>
        <w:spacing w:line="360" w:lineRule="auto"/>
        <w:rPr>
          <w:rFonts w:ascii="仿宋" w:hAnsi="仿宋" w:eastAsia="仿宋" w:cs="仿宋"/>
        </w:rPr>
      </w:pPr>
    </w:p>
    <w:p/>
    <w:sectPr>
      <w:footerReference r:id="rId3" w:type="default"/>
      <w:pgSz w:w="11906" w:h="16838"/>
      <w:pgMar w:top="1361" w:right="1701" w:bottom="136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方正小标宋_GBK">
    <w:altName w:val="汉仪书宋二KW"/>
    <w:panose1 w:val="00000000000000000000"/>
    <w:charset w:val="86"/>
    <w:family w:val="auto"/>
    <w:pitch w:val="default"/>
    <w:sig w:usb0="00000000" w:usb1="00000000" w:usb2="00082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等线KW">
    <w:panose1 w:val="01010104010101010101"/>
    <w:charset w:val="86"/>
    <w:family w:val="auto"/>
    <w:pitch w:val="default"/>
    <w:sig w:usb0="800002BF" w:usb1="004F7CFA" w:usb2="00000000" w:usb3="00000000" w:csb0="0004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7</w:t>
                          </w:r>
                          <w:r>
                            <w:rPr>
                              <w:rFonts w:hint="eastAsia" w:ascii="仿宋" w:hAnsi="仿宋" w:eastAsia="仿宋" w:cs="仿宋"/>
                            </w:rPr>
                            <w:fldChar w:fldCharType="end"/>
                          </w:r>
                          <w:r>
                            <w:rPr>
                              <w:rFonts w:hint="eastAsia" w:ascii="仿宋" w:hAnsi="仿宋" w:eastAsia="仿宋" w:cs="仿宋"/>
                            </w:rPr>
                            <w:t xml:space="preserve"> 页</w:t>
                          </w:r>
                        </w:p>
                      </w:txbxContent>
                    </wps:txbx>
                    <wps:bodyPr vert="horz" wrap="none" lIns="0" tIns="0" rIns="0" bIns="0" anchor="t" anchorCtr="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M6pebnPAAAA&#10;BQEAAA8AAAAAAAAAAQAgAAAAOAAAAGRycy9kb3ducmV2LnhtbFBLAQIUABQAAAAIAIdO4kBvrRf3&#10;1wEAALIDAAAOAAAAAAAAAAEAIAAAADQBAABkcnMvZTJvRG9jLnhtbFBLBQYAAAAABgAGAFkBAAB9&#10;BQAAAAA=&#10;">
              <v:fill on="f" focussize="0,0"/>
              <v:stroke on="f"/>
              <v:imagedata o:title=""/>
              <o:lock v:ext="edit" aspectratio="f"/>
              <v:textbox inset="0mm,0mm,0mm,0mm" style="mso-fit-shape-to-text:t;">
                <w:txbxContent>
                  <w:p>
                    <w:pPr>
                      <w:pStyle w:val="4"/>
                      <w:rPr>
                        <w:rFonts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7</w:t>
                    </w:r>
                    <w:r>
                      <w:rPr>
                        <w:rFonts w:hint="eastAsia" w:ascii="仿宋" w:hAnsi="仿宋" w:eastAsia="仿宋" w:cs="仿宋"/>
                      </w:rPr>
                      <w:fldChar w:fldCharType="end"/>
                    </w:r>
                    <w:r>
                      <w:rPr>
                        <w:rFonts w:hint="eastAsia" w:ascii="仿宋" w:hAnsi="仿宋" w:eastAsia="仿宋" w:cs="仿宋"/>
                      </w:rP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LNJWO7QAAAABQEAAA8AAAAAAAAAAQAgAAAAOAAAAGRy&#10;cy9kb3ducmV2LnhtbFBLAQIUABQAAAAIAIdO4kAPFeUNMAIAAGMEAAAOAAAAAAAAAAEAIAAAADUB&#10;AABkcnMvZTJvRG9jLnhtbFBLBQYAAAAABgAGAFkBAADXBQAAAAA=&#10;">
              <v:fill on="f" focussize="0,0"/>
              <v:stroke on="f" weight="0.5pt"/>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20830E"/>
    <w:multiLevelType w:val="singleLevel"/>
    <w:tmpl w:val="B720830E"/>
    <w:lvl w:ilvl="0" w:tentative="0">
      <w:start w:val="1"/>
      <w:numFmt w:val="chineseCounting"/>
      <w:suff w:val="nothing"/>
      <w:lvlText w:val="（%1）"/>
      <w:lvlJc w:val="left"/>
      <w:rPr>
        <w:rFonts w:hint="eastAsia"/>
      </w:rPr>
    </w:lvl>
  </w:abstractNum>
  <w:abstractNum w:abstractNumId="1">
    <w:nsid w:val="0A52D3EC"/>
    <w:multiLevelType w:val="singleLevel"/>
    <w:tmpl w:val="0A52D3EC"/>
    <w:lvl w:ilvl="0" w:tentative="0">
      <w:start w:val="1"/>
      <w:numFmt w:val="chineseCounting"/>
      <w:suff w:val="nothing"/>
      <w:lvlText w:val="（%1）"/>
      <w:lvlJc w:val="left"/>
      <w:rPr>
        <w:rFonts w:hint="eastAsia"/>
      </w:rPr>
    </w:lvl>
  </w:abstractNum>
  <w:abstractNum w:abstractNumId="2">
    <w:nsid w:val="51A60F53"/>
    <w:multiLevelType w:val="multilevel"/>
    <w:tmpl w:val="51A60F53"/>
    <w:lvl w:ilvl="0" w:tentative="0">
      <w:start w:val="1"/>
      <w:numFmt w:val="decimal"/>
      <w:lvlText w:val="%1."/>
      <w:lvlJc w:val="left"/>
      <w:pPr>
        <w:ind w:left="922" w:hanging="360"/>
      </w:pPr>
      <w:rPr>
        <w:rFonts w:hint="default"/>
      </w:rPr>
    </w:lvl>
    <w:lvl w:ilvl="1" w:tentative="0">
      <w:start w:val="1"/>
      <w:numFmt w:val="lowerLetter"/>
      <w:lvlText w:val="%2)"/>
      <w:lvlJc w:val="left"/>
      <w:pPr>
        <w:ind w:left="1442" w:hanging="440"/>
      </w:pPr>
    </w:lvl>
    <w:lvl w:ilvl="2" w:tentative="0">
      <w:start w:val="1"/>
      <w:numFmt w:val="lowerRoman"/>
      <w:lvlText w:val="%3."/>
      <w:lvlJc w:val="right"/>
      <w:pPr>
        <w:ind w:left="1882" w:hanging="440"/>
      </w:pPr>
    </w:lvl>
    <w:lvl w:ilvl="3" w:tentative="0">
      <w:start w:val="1"/>
      <w:numFmt w:val="decimal"/>
      <w:lvlText w:val="%4."/>
      <w:lvlJc w:val="left"/>
      <w:pPr>
        <w:ind w:left="2322" w:hanging="440"/>
      </w:pPr>
    </w:lvl>
    <w:lvl w:ilvl="4" w:tentative="0">
      <w:start w:val="1"/>
      <w:numFmt w:val="lowerLetter"/>
      <w:lvlText w:val="%5)"/>
      <w:lvlJc w:val="left"/>
      <w:pPr>
        <w:ind w:left="2762" w:hanging="440"/>
      </w:pPr>
    </w:lvl>
    <w:lvl w:ilvl="5" w:tentative="0">
      <w:start w:val="1"/>
      <w:numFmt w:val="lowerRoman"/>
      <w:lvlText w:val="%6."/>
      <w:lvlJc w:val="right"/>
      <w:pPr>
        <w:ind w:left="3202" w:hanging="440"/>
      </w:pPr>
    </w:lvl>
    <w:lvl w:ilvl="6" w:tentative="0">
      <w:start w:val="1"/>
      <w:numFmt w:val="decimal"/>
      <w:lvlText w:val="%7."/>
      <w:lvlJc w:val="left"/>
      <w:pPr>
        <w:ind w:left="3642" w:hanging="440"/>
      </w:pPr>
    </w:lvl>
    <w:lvl w:ilvl="7" w:tentative="0">
      <w:start w:val="1"/>
      <w:numFmt w:val="lowerLetter"/>
      <w:lvlText w:val="%8)"/>
      <w:lvlJc w:val="left"/>
      <w:pPr>
        <w:ind w:left="4082" w:hanging="440"/>
      </w:pPr>
    </w:lvl>
    <w:lvl w:ilvl="8" w:tentative="0">
      <w:start w:val="1"/>
      <w:numFmt w:val="lowerRoman"/>
      <w:lvlText w:val="%9."/>
      <w:lvlJc w:val="right"/>
      <w:pPr>
        <w:ind w:left="4522" w:hanging="44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85E5843C"/>
    <w:rsid w:val="00144EA8"/>
    <w:rsid w:val="00597FA3"/>
    <w:rsid w:val="005C30C2"/>
    <w:rsid w:val="00B7387E"/>
    <w:rsid w:val="00EE2C31"/>
    <w:rsid w:val="00F47669"/>
    <w:rsid w:val="386F353D"/>
    <w:rsid w:val="7DEF5AD3"/>
    <w:rsid w:val="85E5843C"/>
    <w:rsid w:val="8EDB05C4"/>
    <w:rsid w:val="EFD50F62"/>
    <w:rsid w:val="FC2EE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0"/>
    <w:pPr>
      <w:ind w:left="566"/>
    </w:pPr>
    <w:rPr>
      <w:sz w:val="32"/>
      <w:szCs w:val="32"/>
    </w:rPr>
  </w:style>
  <w:style w:type="paragraph" w:styleId="3">
    <w:name w:val="Body Text Indent"/>
    <w:basedOn w:val="1"/>
    <w:qFormat/>
    <w:uiPriority w:val="0"/>
    <w:pPr>
      <w:ind w:firstLine="540" w:firstLineChars="257"/>
      <w:jc w:val="left"/>
    </w:pPr>
    <w:rPr>
      <w:rFonts w:eastAsia="等线"/>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List Paragraph"/>
    <w:basedOn w:val="1"/>
    <w:unhideWhenUsed/>
    <w:qFormat/>
    <w:uiPriority w:val="99"/>
    <w:pPr>
      <w:ind w:firstLine="420" w:firstLineChars="200"/>
    </w:pPr>
  </w:style>
  <w:style w:type="character" w:customStyle="1" w:styleId="10">
    <w:name w:val="页眉 字符"/>
    <w:basedOn w:val="8"/>
    <w:link w:val="5"/>
    <w:qFormat/>
    <w:uiPriority w:val="0"/>
    <w:rPr>
      <w:rFonts w:ascii="Times New Roman" w:hAnsi="Times New Roman" w:eastAsia="宋体" w:cs="Times New Roman"/>
      <w:kern w:val="2"/>
      <w:sz w:val="18"/>
      <w:szCs w:val="18"/>
    </w:rPr>
  </w:style>
  <w:style w:type="paragraph" w:customStyle="1" w:styleId="11">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790</Words>
  <Characters>4509</Characters>
  <Lines>37</Lines>
  <Paragraphs>10</Paragraphs>
  <TotalTime>69</TotalTime>
  <ScaleCrop>false</ScaleCrop>
  <LinksUpToDate>false</LinksUpToDate>
  <CharactersWithSpaces>5289</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2023-12-26T13:31:00Z</dcterms:created>
  <dc:creator>温远寒</dc:creator>
  <cp:lastModifiedBy>温远寒</cp:lastModifiedBy>
  <dcterms:modified xsi:type="dcterms:W3CDTF">2023-12-28T10:51:19Z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2EAF2B45CE38F570A7E28C65734B390C_43</vt:lpwstr>
  </property>
</Properties>
</file>