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firstLine="150"/>
        <w:jc w:val="center"/>
        <w:outlineLvl w:val="0"/>
        <w:rPr>
          <w:rFonts w:hint="eastAsia" w:ascii="黑体" w:hAnsi="宋体" w:eastAsia="黑体" w:cs="宋体"/>
          <w:color w:val="000000"/>
          <w:kern w:val="36"/>
          <w:sz w:val="30"/>
          <w:szCs w:val="30"/>
          <w:highlight w:val="none"/>
        </w:rPr>
      </w:pPr>
      <w:r>
        <w:rPr>
          <w:rFonts w:hint="eastAsia" w:ascii="黑体" w:hAnsi="宋体" w:eastAsia="黑体" w:cs="宋体"/>
          <w:color w:val="000000"/>
          <w:kern w:val="36"/>
          <w:sz w:val="30"/>
          <w:szCs w:val="30"/>
          <w:highlight w:val="none"/>
          <w:lang w:eastAsia="zh-CN"/>
        </w:rPr>
        <w:t>越烽建设</w:t>
      </w:r>
      <w:r>
        <w:rPr>
          <w:rFonts w:hint="eastAsia" w:ascii="黑体" w:hAnsi="宋体" w:eastAsia="黑体" w:cs="宋体"/>
          <w:color w:val="000000"/>
          <w:kern w:val="36"/>
          <w:sz w:val="30"/>
          <w:szCs w:val="30"/>
          <w:highlight w:val="none"/>
        </w:rPr>
        <w:t>集团有限公司重整投资人</w:t>
      </w:r>
    </w:p>
    <w:p>
      <w:pPr>
        <w:widowControl/>
        <w:shd w:val="clear" w:color="auto" w:fill="FFFFFF"/>
        <w:ind w:firstLine="150"/>
        <w:jc w:val="center"/>
        <w:outlineLvl w:val="0"/>
        <w:rPr>
          <w:rFonts w:hint="eastAsia" w:ascii="黑体" w:hAnsi="宋体" w:eastAsia="黑体" w:cs="宋体"/>
          <w:color w:val="000000"/>
          <w:kern w:val="36"/>
          <w:sz w:val="30"/>
          <w:szCs w:val="30"/>
          <w:highlight w:val="none"/>
        </w:rPr>
      </w:pPr>
      <w:r>
        <w:rPr>
          <w:rFonts w:hint="eastAsia" w:ascii="黑体" w:hAnsi="宋体" w:eastAsia="黑体" w:cs="宋体"/>
          <w:color w:val="000000"/>
          <w:kern w:val="36"/>
          <w:sz w:val="30"/>
          <w:szCs w:val="30"/>
          <w:highlight w:val="none"/>
        </w:rPr>
        <w:t>预招募公告</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default"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rPr>
        <w:t>诸暨市人民法院于202</w:t>
      </w:r>
      <w:r>
        <w:rPr>
          <w:rFonts w:hint="eastAsia" w:ascii="宋体" w:hAnsi="宋体" w:eastAsia="宋体" w:cs="宋体"/>
          <w:color w:val="000000"/>
          <w:kern w:val="0"/>
          <w:sz w:val="24"/>
          <w:highlight w:val="none"/>
          <w:lang w:val="en-US" w:eastAsia="zh-CN"/>
        </w:rPr>
        <w:t>3</w:t>
      </w:r>
      <w:r>
        <w:rPr>
          <w:rFonts w:hint="eastAsia" w:ascii="宋体" w:hAnsi="宋体" w:eastAsia="宋体" w:cs="宋体"/>
          <w:color w:val="000000"/>
          <w:kern w:val="0"/>
          <w:sz w:val="24"/>
          <w:highlight w:val="none"/>
        </w:rPr>
        <w:t>年</w:t>
      </w:r>
      <w:r>
        <w:rPr>
          <w:rFonts w:hint="eastAsia" w:ascii="宋体" w:hAnsi="宋体" w:eastAsia="宋体" w:cs="宋体"/>
          <w:color w:val="000000"/>
          <w:kern w:val="0"/>
          <w:sz w:val="24"/>
          <w:highlight w:val="none"/>
          <w:lang w:val="en-US" w:eastAsia="zh-CN"/>
        </w:rPr>
        <w:t>11</w:t>
      </w:r>
      <w:r>
        <w:rPr>
          <w:rFonts w:hint="eastAsia" w:ascii="宋体" w:hAnsi="宋体" w:eastAsia="宋体" w:cs="宋体"/>
          <w:color w:val="000000"/>
          <w:kern w:val="0"/>
          <w:sz w:val="24"/>
          <w:highlight w:val="none"/>
        </w:rPr>
        <w:t>月</w:t>
      </w:r>
      <w:r>
        <w:rPr>
          <w:rFonts w:hint="eastAsia" w:ascii="宋体" w:hAnsi="宋体" w:eastAsia="宋体" w:cs="宋体"/>
          <w:color w:val="000000"/>
          <w:kern w:val="0"/>
          <w:sz w:val="24"/>
          <w:highlight w:val="none"/>
          <w:lang w:val="en-US" w:eastAsia="zh-CN"/>
        </w:rPr>
        <w:t>8</w:t>
      </w:r>
      <w:r>
        <w:rPr>
          <w:rFonts w:hint="eastAsia" w:ascii="宋体" w:hAnsi="宋体" w:eastAsia="宋体" w:cs="宋体"/>
          <w:color w:val="000000"/>
          <w:kern w:val="0"/>
          <w:sz w:val="24"/>
          <w:highlight w:val="none"/>
        </w:rPr>
        <w:t>日裁定受理</w:t>
      </w:r>
      <w:r>
        <w:rPr>
          <w:rFonts w:hint="eastAsia" w:ascii="宋体" w:hAnsi="宋体" w:eastAsia="宋体" w:cs="宋体"/>
          <w:color w:val="000000"/>
          <w:kern w:val="0"/>
          <w:sz w:val="24"/>
          <w:highlight w:val="none"/>
          <w:lang w:eastAsia="zh-CN"/>
        </w:rPr>
        <w:t>越烽建设</w:t>
      </w:r>
      <w:r>
        <w:rPr>
          <w:rFonts w:hint="eastAsia" w:ascii="宋体" w:hAnsi="宋体" w:eastAsia="宋体" w:cs="宋体"/>
          <w:color w:val="000000"/>
          <w:kern w:val="0"/>
          <w:sz w:val="24"/>
          <w:highlight w:val="none"/>
        </w:rPr>
        <w:t>集团有限公司</w:t>
      </w:r>
      <w:r>
        <w:rPr>
          <w:rFonts w:hint="eastAsia" w:ascii="宋体" w:hAnsi="宋体" w:cs="宋体"/>
          <w:color w:val="000000"/>
          <w:kern w:val="0"/>
          <w:sz w:val="24"/>
          <w:highlight w:val="none"/>
          <w:lang w:eastAsia="zh-CN"/>
        </w:rPr>
        <w:t>（</w:t>
      </w:r>
      <w:r>
        <w:rPr>
          <w:rFonts w:hint="eastAsia" w:ascii="宋体" w:hAnsi="宋体" w:cs="宋体"/>
          <w:color w:val="000000"/>
          <w:kern w:val="0"/>
          <w:sz w:val="24"/>
          <w:highlight w:val="none"/>
          <w:lang w:val="en-US" w:eastAsia="zh-CN"/>
        </w:rPr>
        <w:t>以下简称“</w:t>
      </w:r>
      <w:r>
        <w:rPr>
          <w:rFonts w:hint="eastAsia" w:ascii="宋体" w:hAnsi="宋体" w:eastAsia="宋体" w:cs="宋体"/>
          <w:color w:val="000000"/>
          <w:kern w:val="0"/>
          <w:sz w:val="24"/>
          <w:highlight w:val="none"/>
          <w:lang w:eastAsia="zh-CN"/>
        </w:rPr>
        <w:t>越烽</w:t>
      </w:r>
      <w:r>
        <w:rPr>
          <w:rFonts w:hint="eastAsia" w:ascii="宋体" w:hAnsi="宋体" w:cs="宋体"/>
          <w:color w:val="000000"/>
          <w:kern w:val="0"/>
          <w:sz w:val="24"/>
          <w:highlight w:val="none"/>
          <w:lang w:val="en-US" w:eastAsia="zh-CN"/>
        </w:rPr>
        <w:t>公司”</w:t>
      </w:r>
      <w:r>
        <w:rPr>
          <w:rFonts w:hint="eastAsia" w:ascii="宋体" w:hAnsi="宋体" w:cs="宋体"/>
          <w:color w:val="000000"/>
          <w:kern w:val="0"/>
          <w:sz w:val="24"/>
          <w:highlight w:val="none"/>
          <w:lang w:eastAsia="zh-CN"/>
        </w:rPr>
        <w:t>）</w:t>
      </w:r>
      <w:r>
        <w:rPr>
          <w:rFonts w:hint="eastAsia" w:ascii="宋体" w:hAnsi="宋体" w:cs="宋体"/>
          <w:color w:val="000000"/>
          <w:kern w:val="0"/>
          <w:sz w:val="24"/>
          <w:highlight w:val="none"/>
          <w:lang w:val="en-US" w:eastAsia="zh-CN"/>
        </w:rPr>
        <w:t>的</w:t>
      </w:r>
      <w:r>
        <w:rPr>
          <w:rFonts w:hint="eastAsia" w:ascii="宋体" w:hAnsi="宋体" w:eastAsia="宋体" w:cs="宋体"/>
          <w:color w:val="000000"/>
          <w:kern w:val="0"/>
          <w:sz w:val="24"/>
          <w:highlight w:val="none"/>
          <w:lang w:val="en-US" w:eastAsia="zh-CN"/>
        </w:rPr>
        <w:t>重整</w:t>
      </w:r>
      <w:r>
        <w:rPr>
          <w:rFonts w:hint="eastAsia" w:ascii="宋体" w:hAnsi="宋体" w:cs="宋体"/>
          <w:color w:val="000000"/>
          <w:kern w:val="0"/>
          <w:sz w:val="24"/>
          <w:highlight w:val="none"/>
          <w:lang w:val="en-US" w:eastAsia="zh-CN"/>
        </w:rPr>
        <w:t>申请并</w:t>
      </w:r>
      <w:r>
        <w:rPr>
          <w:rFonts w:hint="eastAsia" w:ascii="宋体" w:hAnsi="宋体" w:eastAsia="宋体" w:cs="宋体"/>
          <w:color w:val="000000"/>
          <w:kern w:val="0"/>
          <w:sz w:val="24"/>
          <w:highlight w:val="none"/>
        </w:rPr>
        <w:t>指定</w:t>
      </w:r>
      <w:r>
        <w:rPr>
          <w:rFonts w:hint="eastAsia" w:ascii="宋体" w:hAnsi="宋体" w:eastAsia="宋体" w:cs="宋体"/>
          <w:color w:val="000000"/>
          <w:kern w:val="0"/>
          <w:sz w:val="24"/>
          <w:highlight w:val="none"/>
          <w:lang w:val="en-US" w:eastAsia="zh-CN"/>
        </w:rPr>
        <w:t>管理人</w:t>
      </w:r>
      <w:r>
        <w:rPr>
          <w:rFonts w:hint="eastAsia" w:ascii="宋体" w:hAnsi="宋体" w:eastAsia="宋体" w:cs="宋体"/>
          <w:color w:val="000000"/>
          <w:kern w:val="0"/>
          <w:sz w:val="24"/>
          <w:highlight w:val="none"/>
        </w:rPr>
        <w:t>。为</w:t>
      </w:r>
      <w:r>
        <w:rPr>
          <w:rFonts w:hint="eastAsia" w:ascii="宋体" w:hAnsi="宋体" w:cs="宋体"/>
          <w:color w:val="000000"/>
          <w:kern w:val="0"/>
          <w:sz w:val="24"/>
          <w:highlight w:val="none"/>
          <w:lang w:val="en-US" w:eastAsia="zh-CN"/>
        </w:rPr>
        <w:t>依法有序推进重整工作，保障各方合法权益，管理人特就越烽公司重整投资人预招募事宜公告如下：</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2" w:firstLineChars="200"/>
        <w:jc w:val="left"/>
        <w:textAlignment w:val="auto"/>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一、企业基本情况</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eastAsia="zh-CN"/>
        </w:rPr>
        <w:t>越烽</w:t>
      </w:r>
      <w:r>
        <w:rPr>
          <w:rFonts w:hint="eastAsia" w:ascii="宋体" w:hAnsi="宋体" w:cs="宋体"/>
          <w:color w:val="000000"/>
          <w:kern w:val="0"/>
          <w:sz w:val="24"/>
          <w:highlight w:val="none"/>
          <w:lang w:val="en-US" w:eastAsia="zh-CN"/>
        </w:rPr>
        <w:t>公司</w:t>
      </w:r>
      <w:r>
        <w:rPr>
          <w:rFonts w:hint="eastAsia" w:ascii="宋体" w:hAnsi="宋体" w:eastAsia="宋体" w:cs="宋体"/>
          <w:color w:val="000000"/>
          <w:kern w:val="0"/>
          <w:sz w:val="24"/>
          <w:highlight w:val="none"/>
        </w:rPr>
        <w:t>成立于</w:t>
      </w:r>
      <w:r>
        <w:rPr>
          <w:rFonts w:hint="eastAsia" w:ascii="宋体" w:hAnsi="宋体" w:eastAsia="宋体" w:cs="宋体"/>
          <w:color w:val="000000"/>
          <w:kern w:val="0"/>
          <w:sz w:val="24"/>
          <w:highlight w:val="none"/>
          <w:lang w:val="en-US" w:eastAsia="zh-CN"/>
        </w:rPr>
        <w:t>1993</w:t>
      </w:r>
      <w:r>
        <w:rPr>
          <w:rFonts w:hint="eastAsia" w:ascii="宋体" w:hAnsi="宋体" w:eastAsia="宋体" w:cs="宋体"/>
          <w:color w:val="000000"/>
          <w:kern w:val="0"/>
          <w:sz w:val="24"/>
          <w:highlight w:val="none"/>
        </w:rPr>
        <w:t>年</w:t>
      </w:r>
      <w:r>
        <w:rPr>
          <w:rFonts w:hint="eastAsia" w:ascii="宋体" w:hAnsi="宋体" w:eastAsia="宋体" w:cs="宋体"/>
          <w:color w:val="000000"/>
          <w:kern w:val="0"/>
          <w:sz w:val="24"/>
          <w:highlight w:val="none"/>
          <w:lang w:val="en-US" w:eastAsia="zh-CN"/>
        </w:rPr>
        <w:t>4</w:t>
      </w:r>
      <w:r>
        <w:rPr>
          <w:rFonts w:hint="eastAsia" w:ascii="宋体" w:hAnsi="宋体" w:eastAsia="宋体" w:cs="宋体"/>
          <w:color w:val="000000"/>
          <w:kern w:val="0"/>
          <w:sz w:val="24"/>
          <w:highlight w:val="none"/>
        </w:rPr>
        <w:t>月</w:t>
      </w:r>
      <w:r>
        <w:rPr>
          <w:rFonts w:hint="eastAsia" w:ascii="宋体" w:hAnsi="宋体" w:eastAsia="宋体" w:cs="宋体"/>
          <w:color w:val="000000"/>
          <w:kern w:val="0"/>
          <w:sz w:val="24"/>
          <w:highlight w:val="none"/>
          <w:lang w:val="en-US" w:eastAsia="zh-CN"/>
        </w:rPr>
        <w:t>15</w:t>
      </w:r>
      <w:r>
        <w:rPr>
          <w:rFonts w:hint="eastAsia" w:ascii="宋体" w:hAnsi="宋体" w:eastAsia="宋体" w:cs="宋体"/>
          <w:color w:val="000000"/>
          <w:kern w:val="0"/>
          <w:sz w:val="24"/>
          <w:highlight w:val="none"/>
        </w:rPr>
        <w:t>日，住所地浙江省诸暨市</w:t>
      </w:r>
      <w:r>
        <w:rPr>
          <w:rFonts w:hint="eastAsia" w:ascii="宋体" w:hAnsi="宋体" w:eastAsia="宋体" w:cs="宋体"/>
          <w:color w:val="000000"/>
          <w:kern w:val="0"/>
          <w:sz w:val="24"/>
          <w:highlight w:val="none"/>
          <w:lang w:val="en-US" w:eastAsia="zh-CN"/>
        </w:rPr>
        <w:t>陶朱街道宝利路</w:t>
      </w:r>
      <w:r>
        <w:rPr>
          <w:rFonts w:hint="eastAsia" w:ascii="宋体" w:hAnsi="宋体" w:eastAsia="宋体" w:cs="宋体"/>
          <w:color w:val="000000"/>
          <w:kern w:val="0"/>
          <w:sz w:val="24"/>
          <w:highlight w:val="none"/>
        </w:rPr>
        <w:t>8号，统一社会信用代码</w:t>
      </w:r>
      <w:r>
        <w:rPr>
          <w:rFonts w:hint="eastAsia" w:ascii="宋体" w:hAnsi="宋体" w:eastAsia="宋体" w:cs="宋体"/>
          <w:color w:val="000000"/>
          <w:kern w:val="0"/>
          <w:sz w:val="24"/>
          <w:highlight w:val="none"/>
          <w:lang w:val="en-US" w:eastAsia="zh-CN"/>
        </w:rPr>
        <w:t>9133068114627096XL</w:t>
      </w:r>
      <w:r>
        <w:rPr>
          <w:rFonts w:hint="eastAsia" w:ascii="宋体" w:hAnsi="宋体" w:eastAsia="宋体" w:cs="宋体"/>
          <w:color w:val="000000"/>
          <w:kern w:val="0"/>
          <w:sz w:val="24"/>
          <w:highlight w:val="none"/>
        </w:rPr>
        <w:t>，注册资本</w:t>
      </w:r>
      <w:r>
        <w:rPr>
          <w:rFonts w:hint="eastAsia" w:ascii="宋体" w:hAnsi="宋体" w:eastAsia="宋体" w:cs="宋体"/>
          <w:color w:val="000000"/>
          <w:kern w:val="0"/>
          <w:sz w:val="24"/>
          <w:highlight w:val="none"/>
          <w:lang w:val="en-US" w:eastAsia="zh-CN"/>
        </w:rPr>
        <w:t>10700</w:t>
      </w:r>
      <w:r>
        <w:rPr>
          <w:rFonts w:hint="eastAsia" w:ascii="宋体" w:hAnsi="宋体" w:eastAsia="宋体" w:cs="宋体"/>
          <w:color w:val="000000"/>
          <w:kern w:val="0"/>
          <w:sz w:val="24"/>
          <w:highlight w:val="none"/>
        </w:rPr>
        <w:t>万人民币，经营范围为</w:t>
      </w:r>
      <w:r>
        <w:rPr>
          <w:rFonts w:hint="eastAsia" w:ascii="宋体" w:hAnsi="宋体" w:eastAsia="宋体" w:cs="宋体"/>
          <w:color w:val="000000"/>
          <w:kern w:val="0"/>
          <w:sz w:val="24"/>
          <w:highlight w:val="none"/>
          <w:lang w:val="en-US" w:eastAsia="zh-CN"/>
        </w:rPr>
        <w:t>各类工程建设活动、房屋建筑和市政基础设施项目工程总承包、房地产开发经营、文物保护工程施工、消防设施工程施工、货物进出口；建筑材料销售、园林绿化工程施工、房屋拆迁服务、对外承包工程、建筑装饰材料销售（除依法须经批准的项目外，凭营业执照依法自主开展经营活动）。</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default" w:ascii="宋体" w:hAnsi="宋体" w:cs="宋体"/>
          <w:b/>
          <w:bCs/>
          <w:color w:val="000000"/>
          <w:kern w:val="0"/>
          <w:sz w:val="24"/>
          <w:highlight w:val="none"/>
          <w:lang w:val="en-US" w:eastAsia="zh-CN"/>
        </w:rPr>
      </w:pPr>
      <w:r>
        <w:rPr>
          <w:rFonts w:hint="eastAsia" w:ascii="宋体" w:hAnsi="宋体" w:cs="宋体"/>
          <w:color w:val="000000"/>
          <w:kern w:val="0"/>
          <w:sz w:val="24"/>
          <w:highlight w:val="none"/>
          <w:lang w:val="en-US" w:eastAsia="zh-CN"/>
        </w:rPr>
        <w:t>经了解，</w:t>
      </w:r>
      <w:r>
        <w:rPr>
          <w:rFonts w:hint="eastAsia" w:ascii="宋体" w:hAnsi="宋体" w:eastAsia="宋体" w:cs="宋体"/>
          <w:color w:val="000000"/>
          <w:kern w:val="0"/>
          <w:sz w:val="24"/>
          <w:highlight w:val="none"/>
          <w:lang w:val="en-US" w:eastAsia="zh-CN"/>
        </w:rPr>
        <w:t>越烽</w:t>
      </w:r>
      <w:r>
        <w:rPr>
          <w:rFonts w:hint="eastAsia" w:ascii="宋体" w:hAnsi="宋体" w:cs="宋体"/>
          <w:color w:val="000000"/>
          <w:kern w:val="0"/>
          <w:sz w:val="24"/>
          <w:highlight w:val="none"/>
          <w:lang w:val="en-US" w:eastAsia="zh-CN"/>
        </w:rPr>
        <w:t>公司持</w:t>
      </w:r>
      <w:r>
        <w:rPr>
          <w:rFonts w:hint="eastAsia" w:ascii="宋体" w:hAnsi="宋体" w:eastAsia="宋体" w:cs="宋体"/>
          <w:color w:val="000000"/>
          <w:kern w:val="0"/>
          <w:sz w:val="24"/>
          <w:highlight w:val="none"/>
        </w:rPr>
        <w:t>有多项建筑业企业资质，</w:t>
      </w:r>
      <w:r>
        <w:rPr>
          <w:rFonts w:hint="eastAsia" w:ascii="宋体" w:hAnsi="宋体" w:cs="宋体"/>
          <w:color w:val="000000"/>
          <w:kern w:val="0"/>
          <w:sz w:val="24"/>
          <w:highlight w:val="none"/>
          <w:lang w:val="en-US" w:eastAsia="zh-CN"/>
        </w:rPr>
        <w:t>包括</w:t>
      </w:r>
      <w:r>
        <w:rPr>
          <w:rFonts w:hint="eastAsia" w:ascii="宋体" w:hAnsi="宋体" w:eastAsia="宋体" w:cs="宋体"/>
          <w:color w:val="000000"/>
          <w:kern w:val="0"/>
          <w:sz w:val="24"/>
          <w:highlight w:val="none"/>
        </w:rPr>
        <w:t>建筑工程施工总承包壹级</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建筑装修装饰工程专业承包壹级</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古建筑工程专业承包壹级</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市政公用工程施工总承包贰级</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公路工程施工总承包贰级</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消防设施工程专业承包贰级</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建筑幕墙工程专业承包贰级</w:t>
      </w:r>
      <w:r>
        <w:rPr>
          <w:rFonts w:hint="eastAsia" w:ascii="宋体" w:hAnsi="宋体" w:cs="宋体"/>
          <w:color w:val="000000"/>
          <w:kern w:val="0"/>
          <w:sz w:val="24"/>
          <w:highlight w:val="none"/>
          <w:lang w:eastAsia="zh-CN"/>
        </w:rPr>
        <w:t>、</w:t>
      </w:r>
      <w:r>
        <w:rPr>
          <w:rFonts w:hint="eastAsia" w:ascii="宋体" w:hAnsi="宋体" w:eastAsia="宋体" w:cs="宋体"/>
          <w:color w:val="000000"/>
          <w:kern w:val="0"/>
          <w:sz w:val="24"/>
          <w:highlight w:val="none"/>
        </w:rPr>
        <w:t>地基基础工程专业承包三级</w:t>
      </w:r>
      <w:r>
        <w:rPr>
          <w:rFonts w:hint="eastAsia" w:ascii="宋体" w:hAnsi="宋体" w:cs="宋体"/>
          <w:color w:val="000000"/>
          <w:kern w:val="0"/>
          <w:sz w:val="24"/>
          <w:highlight w:val="none"/>
          <w:lang w:eastAsia="zh-CN"/>
        </w:rPr>
        <w:t>。</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2" w:firstLineChars="200"/>
        <w:jc w:val="left"/>
        <w:textAlignment w:val="auto"/>
        <w:rPr>
          <w:rFonts w:hint="eastAsia" w:ascii="宋体" w:hAnsi="宋体" w:eastAsia="宋体" w:cs="宋体"/>
          <w:b/>
          <w:bCs/>
          <w:color w:val="000000"/>
          <w:kern w:val="0"/>
          <w:sz w:val="24"/>
          <w:highlight w:val="none"/>
          <w:lang w:val="en-US" w:eastAsia="zh-CN"/>
        </w:rPr>
      </w:pPr>
      <w:r>
        <w:rPr>
          <w:rFonts w:hint="eastAsia" w:ascii="宋体" w:hAnsi="宋体" w:eastAsia="宋体" w:cs="宋体"/>
          <w:b/>
          <w:bCs/>
          <w:color w:val="000000"/>
          <w:kern w:val="0"/>
          <w:sz w:val="24"/>
          <w:highlight w:val="none"/>
          <w:lang w:val="en-US" w:eastAsia="zh-CN"/>
        </w:rPr>
        <w:t>二、意向投资人基本条件</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一）意向投资人应当是依照中华人民共和国法律设立的企业法人或非法人组织（有效存续），具有较高的社会责任感和良好的商业信誉，无较大到期未清偿债务，最近三年无重大违法行为或涉嫌有重大违法行为，未被列入失信被执行人名単。</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default"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（二）</w:t>
      </w:r>
      <w:r>
        <w:rPr>
          <w:rFonts w:hint="eastAsia" w:ascii="宋体" w:hAnsi="宋体" w:cs="宋体"/>
          <w:color w:val="000000"/>
          <w:kern w:val="0"/>
          <w:sz w:val="24"/>
          <w:highlight w:val="none"/>
          <w:lang w:val="en-US" w:eastAsia="zh-CN"/>
        </w:rPr>
        <w:t>意向投资人应具有足够的资金实力，具备与拟投资企业相适应的经营和管理能力。</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（三）</w:t>
      </w:r>
      <w:r>
        <w:rPr>
          <w:rFonts w:hint="eastAsia" w:ascii="宋体" w:hAnsi="宋体" w:eastAsia="宋体" w:cs="宋体"/>
          <w:color w:val="000000"/>
          <w:kern w:val="0"/>
          <w:sz w:val="24"/>
          <w:highlight w:val="none"/>
          <w:lang w:val="en-US" w:eastAsia="zh-CN"/>
        </w:rPr>
        <w:t>两个或两个以上的投资人可联合参与投资，但须以联合体身份</w:t>
      </w:r>
      <w:r>
        <w:rPr>
          <w:rFonts w:hint="eastAsia" w:ascii="宋体" w:hAnsi="宋体" w:cs="宋体"/>
          <w:color w:val="000000"/>
          <w:kern w:val="0"/>
          <w:sz w:val="24"/>
          <w:highlight w:val="none"/>
          <w:lang w:val="en-US" w:eastAsia="zh-CN"/>
        </w:rPr>
        <w:t>整体</w:t>
      </w:r>
      <w:r>
        <w:rPr>
          <w:rFonts w:hint="eastAsia" w:ascii="宋体" w:hAnsi="宋体" w:eastAsia="宋体" w:cs="宋体"/>
          <w:color w:val="000000"/>
          <w:kern w:val="0"/>
          <w:sz w:val="24"/>
          <w:highlight w:val="none"/>
          <w:lang w:val="en-US" w:eastAsia="zh-CN"/>
        </w:rPr>
        <w:t>参与重整，并书面说明各自的角色分工、权利义务，且需同时符合上述第（一）项资格条件。</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2" w:firstLineChars="200"/>
        <w:jc w:val="left"/>
        <w:textAlignment w:val="auto"/>
        <w:rPr>
          <w:rFonts w:hint="default" w:ascii="宋体" w:hAnsi="宋体" w:eastAsia="宋体" w:cs="宋体"/>
          <w:b/>
          <w:bCs/>
          <w:color w:val="000000"/>
          <w:kern w:val="0"/>
          <w:sz w:val="24"/>
          <w:highlight w:val="none"/>
          <w:lang w:val="en-US" w:eastAsia="zh-CN"/>
        </w:rPr>
      </w:pPr>
      <w:r>
        <w:rPr>
          <w:rFonts w:hint="eastAsia" w:ascii="宋体" w:hAnsi="宋体" w:eastAsia="宋体" w:cs="宋体"/>
          <w:b/>
          <w:bCs/>
          <w:color w:val="000000"/>
          <w:kern w:val="0"/>
          <w:sz w:val="24"/>
          <w:highlight w:val="none"/>
          <w:lang w:val="en-US" w:eastAsia="zh-CN"/>
        </w:rPr>
        <w:t>三、预招募流程</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default"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（一）报名时间及地点</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意向投资人</w:t>
      </w:r>
      <w:r>
        <w:rPr>
          <w:rFonts w:hint="eastAsia" w:ascii="宋体" w:hAnsi="宋体" w:cs="宋体"/>
          <w:color w:val="000000"/>
          <w:kern w:val="0"/>
          <w:sz w:val="24"/>
          <w:highlight w:val="none"/>
          <w:lang w:val="en-US" w:eastAsia="zh-CN"/>
        </w:rPr>
        <w:t>可</w:t>
      </w:r>
      <w:r>
        <w:rPr>
          <w:rFonts w:hint="eastAsia" w:ascii="宋体" w:hAnsi="宋体" w:eastAsia="宋体" w:cs="宋体"/>
          <w:color w:val="000000"/>
          <w:kern w:val="0"/>
          <w:sz w:val="24"/>
          <w:highlight w:val="none"/>
          <w:lang w:val="en-US" w:eastAsia="zh-CN"/>
        </w:rPr>
        <w:t>于202</w:t>
      </w:r>
      <w:r>
        <w:rPr>
          <w:rFonts w:hint="eastAsia" w:ascii="宋体" w:hAnsi="宋体" w:cs="宋体"/>
          <w:color w:val="000000"/>
          <w:kern w:val="0"/>
          <w:sz w:val="24"/>
          <w:highlight w:val="none"/>
          <w:lang w:val="en-US" w:eastAsia="zh-CN"/>
        </w:rPr>
        <w:t>4</w:t>
      </w:r>
      <w:r>
        <w:rPr>
          <w:rFonts w:hint="eastAsia" w:ascii="宋体" w:hAnsi="宋体" w:eastAsia="宋体" w:cs="宋体"/>
          <w:color w:val="000000"/>
          <w:kern w:val="0"/>
          <w:sz w:val="24"/>
          <w:highlight w:val="none"/>
          <w:lang w:val="en-US" w:eastAsia="zh-CN"/>
        </w:rPr>
        <w:t>年</w:t>
      </w:r>
      <w:r>
        <w:rPr>
          <w:rFonts w:hint="eastAsia" w:ascii="宋体" w:hAnsi="宋体" w:cs="宋体"/>
          <w:color w:val="000000"/>
          <w:kern w:val="0"/>
          <w:sz w:val="24"/>
          <w:highlight w:val="none"/>
          <w:lang w:val="en-US" w:eastAsia="zh-CN"/>
        </w:rPr>
        <w:t>1</w:t>
      </w:r>
      <w:r>
        <w:rPr>
          <w:rFonts w:hint="eastAsia" w:ascii="宋体" w:hAnsi="宋体" w:eastAsia="宋体" w:cs="宋体"/>
          <w:color w:val="000000"/>
          <w:kern w:val="0"/>
          <w:sz w:val="24"/>
          <w:highlight w:val="none"/>
          <w:lang w:val="en-US" w:eastAsia="zh-CN"/>
        </w:rPr>
        <w:t>月</w:t>
      </w:r>
      <w:r>
        <w:rPr>
          <w:rFonts w:hint="eastAsia" w:ascii="宋体" w:hAnsi="宋体" w:cs="宋体"/>
          <w:color w:val="000000"/>
          <w:kern w:val="0"/>
          <w:sz w:val="24"/>
          <w:highlight w:val="none"/>
          <w:lang w:val="en-US" w:eastAsia="zh-CN"/>
        </w:rPr>
        <w:t>8日</w:t>
      </w:r>
      <w:r>
        <w:rPr>
          <w:rFonts w:hint="eastAsia" w:ascii="宋体" w:hAnsi="宋体" w:eastAsia="宋体" w:cs="宋体"/>
          <w:color w:val="000000"/>
          <w:kern w:val="0"/>
          <w:sz w:val="24"/>
          <w:highlight w:val="none"/>
          <w:lang w:val="en-US" w:eastAsia="zh-CN"/>
        </w:rPr>
        <w:t>前</w:t>
      </w:r>
      <w:r>
        <w:rPr>
          <w:rFonts w:hint="eastAsia" w:ascii="宋体" w:hAnsi="宋体" w:cs="宋体"/>
          <w:color w:val="000000"/>
          <w:kern w:val="0"/>
          <w:sz w:val="24"/>
          <w:highlight w:val="none"/>
          <w:lang w:val="en-US" w:eastAsia="zh-CN"/>
        </w:rPr>
        <w:t>将报名材料</w:t>
      </w:r>
      <w:r>
        <w:rPr>
          <w:rFonts w:hint="eastAsia" w:ascii="宋体" w:hAnsi="宋体" w:eastAsia="宋体" w:cs="宋体"/>
          <w:color w:val="000000"/>
          <w:kern w:val="0"/>
          <w:sz w:val="24"/>
          <w:highlight w:val="none"/>
          <w:lang w:val="en-US" w:eastAsia="zh-CN"/>
        </w:rPr>
        <w:t>提交至管理人</w:t>
      </w:r>
      <w:r>
        <w:rPr>
          <w:rFonts w:hint="eastAsia" w:ascii="宋体" w:hAnsi="宋体" w:cs="宋体"/>
          <w:color w:val="000000"/>
          <w:kern w:val="0"/>
          <w:sz w:val="24"/>
          <w:highlight w:val="none"/>
          <w:lang w:val="en-US" w:eastAsia="zh-CN"/>
        </w:rPr>
        <w:t>。</w:t>
      </w:r>
      <w:r>
        <w:rPr>
          <w:rFonts w:hint="eastAsia" w:ascii="宋体" w:hAnsi="宋体" w:eastAsia="宋体" w:cs="宋体"/>
          <w:color w:val="000000"/>
          <w:kern w:val="0"/>
          <w:sz w:val="24"/>
          <w:highlight w:val="none"/>
          <w:lang w:val="en-US" w:eastAsia="zh-CN"/>
        </w:rPr>
        <w:t>管理人可视实际报名情况决定是否延长报名期限。</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报名地点：浙江省绍兴市诸暨市东二路107号万达财富大厦16F</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rPr>
        <w:t>联系人：傅</w:t>
      </w:r>
      <w:r>
        <w:rPr>
          <w:rFonts w:hint="eastAsia" w:ascii="宋体" w:hAnsi="宋体" w:eastAsia="宋体" w:cs="宋体"/>
          <w:color w:val="000000"/>
          <w:kern w:val="0"/>
          <w:sz w:val="24"/>
          <w:highlight w:val="none"/>
          <w:lang w:val="en-US" w:eastAsia="zh-CN"/>
        </w:rPr>
        <w:t>律师</w:t>
      </w:r>
      <w:r>
        <w:rPr>
          <w:rFonts w:hint="eastAsia" w:ascii="宋体" w:hAnsi="宋体" w:eastAsia="宋体" w:cs="宋体"/>
          <w:color w:val="000000"/>
          <w:kern w:val="0"/>
          <w:sz w:val="24"/>
          <w:highlight w:val="none"/>
        </w:rPr>
        <w:t>15068576008</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lang w:val="en-US" w:eastAsia="zh-CN"/>
        </w:rPr>
        <w:t>骆律师17858530055</w:t>
      </w:r>
      <w:bookmarkStart w:id="0" w:name="_GoBack"/>
      <w:bookmarkEnd w:id="0"/>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（二）报名时需提交的材料</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1. 报名意向书（须加盖公章）；</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2. 意向投资人出具的无较大到期未清偿债务，最近三年无重大违法行为或涉嫌有重大违法行为，未被人民法院列入失信被执行人名单、不属于失信惩戒对象等的《承诺函》；</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3. 意向投资人简介包括基本工商信息、股权结构、主营业务、历史沿革、组织架构、资产负债、财务状况与资金实力说明、与世和公司的产业关联性及经营管理经验和优势（如有）、投资人以往参与重整投资或类似企业并购的经验（如有）等，如为联合体参与报名的，需说明各主体的角色分工、权利义务等，并承诺互相就投资人可能发生的违约事项承担共同责任；</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4. 载明意向投资人联系地址、联系人、联系电话、电子邮箱的送达地址确认书；</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上述报名材料应加盖意向投资人公章/意向投资人签字。《报名意向书》、《承诺函》、《法定代表人或负责人身份证明书》、《授权委托书》等文书模板请联系管理人获取。</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（三）尽职调查</w:t>
      </w:r>
    </w:p>
    <w:p>
      <w:pPr>
        <w:keepNext w:val="0"/>
        <w:keepLines w:val="0"/>
        <w:pageBreakBefore w:val="0"/>
        <w:kinsoku/>
        <w:overflowPunct/>
        <w:topLinePunct w:val="0"/>
        <w:autoSpaceDE/>
        <w:autoSpaceDN/>
        <w:bidi w:val="0"/>
        <w:adjustRightInd/>
        <w:snapToGrid/>
        <w:spacing w:before="156" w:after="156" w:line="360" w:lineRule="exact"/>
        <w:ind w:firstLine="480" w:firstLineChars="200"/>
        <w:textAlignment w:val="auto"/>
        <w:rPr>
          <w:rFonts w:hint="default"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意向投资人经管理人审查通过的，可视情况在签订保密协议的情况下（保证金由管理人视情况另行决定）开展尽职调查工作。管理人有权对意向投资人开展反向尽职调査。</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（四）意向重整投资方案</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意向投资人报名后应根据管理人的沟通情况，及时提交投资方案以便参与后续正式的重整投资人遴选。</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2" w:firstLineChars="200"/>
        <w:jc w:val="left"/>
        <w:textAlignment w:val="auto"/>
        <w:rPr>
          <w:rFonts w:hint="default" w:ascii="宋体" w:hAnsi="宋体" w:eastAsia="宋体" w:cs="宋体"/>
          <w:b/>
          <w:bCs/>
          <w:color w:val="000000"/>
          <w:kern w:val="0"/>
          <w:sz w:val="24"/>
          <w:highlight w:val="none"/>
          <w:lang w:val="en-US" w:eastAsia="zh-CN"/>
        </w:rPr>
      </w:pPr>
      <w:r>
        <w:rPr>
          <w:rFonts w:hint="eastAsia" w:ascii="宋体" w:hAnsi="宋体" w:eastAsia="宋体" w:cs="宋体"/>
          <w:b/>
          <w:bCs/>
          <w:color w:val="000000"/>
          <w:kern w:val="0"/>
          <w:sz w:val="24"/>
          <w:highlight w:val="none"/>
          <w:lang w:val="en-US" w:eastAsia="zh-CN"/>
        </w:rPr>
        <w:t>四、其他说明</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w:t>
      </w:r>
      <w:r>
        <w:rPr>
          <w:rFonts w:hint="eastAsia" w:ascii="宋体" w:hAnsi="宋体" w:cs="宋体"/>
          <w:color w:val="000000"/>
          <w:kern w:val="0"/>
          <w:sz w:val="24"/>
          <w:highlight w:val="none"/>
          <w:lang w:val="en-US" w:eastAsia="zh-CN"/>
        </w:rPr>
        <w:t xml:space="preserve">. </w:t>
      </w:r>
      <w:r>
        <w:rPr>
          <w:rFonts w:hint="eastAsia" w:ascii="宋体" w:hAnsi="宋体" w:eastAsia="宋体" w:cs="宋体"/>
          <w:color w:val="000000"/>
          <w:kern w:val="0"/>
          <w:sz w:val="24"/>
          <w:highlight w:val="none"/>
        </w:rPr>
        <w:t>本公告内容对全体意向</w:t>
      </w:r>
      <w:r>
        <w:rPr>
          <w:rFonts w:hint="eastAsia" w:ascii="宋体" w:hAnsi="宋体" w:eastAsia="宋体" w:cs="宋体"/>
          <w:color w:val="000000"/>
          <w:kern w:val="0"/>
          <w:sz w:val="24"/>
          <w:highlight w:val="none"/>
          <w:lang w:val="en-US" w:eastAsia="zh-CN"/>
        </w:rPr>
        <w:t>重整</w:t>
      </w:r>
      <w:r>
        <w:rPr>
          <w:rFonts w:hint="eastAsia" w:ascii="宋体" w:hAnsi="宋体" w:eastAsia="宋体" w:cs="宋体"/>
          <w:color w:val="000000"/>
          <w:kern w:val="0"/>
          <w:sz w:val="24"/>
          <w:highlight w:val="none"/>
        </w:rPr>
        <w:t>投资人同等适用，管理人将根据</w:t>
      </w:r>
      <w:r>
        <w:rPr>
          <w:rFonts w:hint="eastAsia" w:ascii="宋体" w:hAnsi="宋体" w:eastAsia="宋体" w:cs="宋体"/>
          <w:color w:val="000000"/>
          <w:kern w:val="0"/>
          <w:sz w:val="24"/>
          <w:highlight w:val="none"/>
          <w:lang w:eastAsia="zh-CN"/>
        </w:rPr>
        <w:t>越烽建设</w:t>
      </w:r>
      <w:r>
        <w:rPr>
          <w:rFonts w:hint="eastAsia" w:ascii="宋体" w:hAnsi="宋体" w:eastAsia="宋体" w:cs="宋体"/>
          <w:color w:val="000000"/>
          <w:kern w:val="0"/>
          <w:sz w:val="24"/>
          <w:highlight w:val="none"/>
        </w:rPr>
        <w:t>破产案的进展情况适时发布投资人招募的正式公告，并以正式公告的内容为准；</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2</w:t>
      </w:r>
      <w:r>
        <w:rPr>
          <w:rFonts w:hint="eastAsia" w:ascii="宋体" w:hAnsi="宋体" w:cs="宋体"/>
          <w:color w:val="000000"/>
          <w:kern w:val="0"/>
          <w:sz w:val="24"/>
          <w:highlight w:val="none"/>
          <w:lang w:val="en-US" w:eastAsia="zh-CN"/>
        </w:rPr>
        <w:t xml:space="preserve">. </w:t>
      </w:r>
      <w:r>
        <w:rPr>
          <w:rFonts w:hint="eastAsia" w:ascii="宋体" w:hAnsi="宋体" w:eastAsia="宋体" w:cs="宋体"/>
          <w:color w:val="000000"/>
          <w:kern w:val="0"/>
          <w:sz w:val="24"/>
          <w:highlight w:val="none"/>
        </w:rPr>
        <w:t>本公告并非邀约文件，不具有重整投资协议的约束性效力。</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left="0" w:leftChars="0" w:right="0" w:firstLine="480" w:firstLineChars="200"/>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欢迎有实力的社会各方人士和单位前来接洽、参与投资，实现破产企业重生再造。</w:t>
      </w:r>
    </w:p>
    <w:p>
      <w:pPr>
        <w:keepNext w:val="0"/>
        <w:keepLines w:val="0"/>
        <w:pageBreakBefore w:val="0"/>
        <w:widowControl/>
        <w:shd w:val="clear" w:color="auto" w:fill="FFFFFF"/>
        <w:kinsoku/>
        <w:wordWrap/>
        <w:overflowPunct/>
        <w:topLinePunct w:val="0"/>
        <w:autoSpaceDE/>
        <w:autoSpaceDN/>
        <w:bidi w:val="0"/>
        <w:adjustRightInd/>
        <w:snapToGrid/>
        <w:spacing w:before="157" w:beforeLines="50" w:after="157" w:afterLines="50" w:line="360" w:lineRule="exact"/>
        <w:ind w:right="0"/>
        <w:jc w:val="righ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eastAsia="zh-CN"/>
        </w:rPr>
        <w:t>越烽建设</w:t>
      </w:r>
      <w:r>
        <w:rPr>
          <w:rFonts w:hint="eastAsia" w:ascii="宋体" w:hAnsi="宋体" w:eastAsia="宋体" w:cs="宋体"/>
          <w:color w:val="000000"/>
          <w:kern w:val="0"/>
          <w:sz w:val="24"/>
          <w:highlight w:val="none"/>
        </w:rPr>
        <w:t>集团有限公司管理人</w:t>
      </w:r>
    </w:p>
    <w:p>
      <w:pPr>
        <w:keepNext w:val="0"/>
        <w:keepLines w:val="0"/>
        <w:pageBreakBefore w:val="0"/>
        <w:widowControl/>
        <w:shd w:val="clear" w:color="auto" w:fill="FFFFFF"/>
        <w:kinsoku/>
        <w:wordWrap w:val="0"/>
        <w:overflowPunct/>
        <w:topLinePunct w:val="0"/>
        <w:autoSpaceDE/>
        <w:autoSpaceDN/>
        <w:bidi w:val="0"/>
        <w:adjustRightInd/>
        <w:snapToGrid/>
        <w:spacing w:before="157" w:beforeLines="50" w:after="157" w:afterLines="50" w:line="360" w:lineRule="exact"/>
        <w:ind w:right="0"/>
        <w:jc w:val="right"/>
        <w:textAlignment w:val="auto"/>
        <w:rPr>
          <w:rFonts w:hint="eastAsia" w:ascii="宋体" w:hAnsi="宋体" w:eastAsia="宋体" w:cs="宋体"/>
          <w:highlight w:val="none"/>
        </w:rPr>
      </w:pPr>
      <w:r>
        <w:rPr>
          <w:rFonts w:hint="eastAsia" w:ascii="宋体" w:hAnsi="宋体" w:eastAsia="宋体" w:cs="宋体"/>
          <w:color w:val="000000"/>
          <w:kern w:val="0"/>
          <w:sz w:val="24"/>
          <w:highlight w:val="none"/>
        </w:rPr>
        <w:t>202</w:t>
      </w:r>
      <w:r>
        <w:rPr>
          <w:rFonts w:hint="eastAsia" w:ascii="宋体" w:hAnsi="宋体" w:eastAsia="宋体" w:cs="宋体"/>
          <w:color w:val="000000"/>
          <w:kern w:val="0"/>
          <w:sz w:val="24"/>
          <w:highlight w:val="none"/>
          <w:lang w:val="en-US" w:eastAsia="zh-CN"/>
        </w:rPr>
        <w:t>3</w:t>
      </w:r>
      <w:r>
        <w:rPr>
          <w:rFonts w:hint="eastAsia" w:ascii="宋体" w:hAnsi="宋体" w:eastAsia="宋体" w:cs="宋体"/>
          <w:color w:val="000000"/>
          <w:kern w:val="0"/>
          <w:sz w:val="24"/>
          <w:highlight w:val="none"/>
        </w:rPr>
        <w:t>年</w:t>
      </w:r>
      <w:r>
        <w:rPr>
          <w:rFonts w:hint="eastAsia" w:ascii="宋体" w:hAnsi="宋体" w:eastAsia="宋体" w:cs="宋体"/>
          <w:color w:val="000000"/>
          <w:kern w:val="0"/>
          <w:sz w:val="24"/>
          <w:highlight w:val="none"/>
          <w:lang w:val="en-US" w:eastAsia="zh-CN"/>
        </w:rPr>
        <w:t>12</w:t>
      </w:r>
      <w:r>
        <w:rPr>
          <w:rFonts w:hint="eastAsia" w:ascii="宋体" w:hAnsi="宋体" w:eastAsia="宋体" w:cs="宋体"/>
          <w:color w:val="000000"/>
          <w:kern w:val="0"/>
          <w:sz w:val="24"/>
          <w:highlight w:val="none"/>
        </w:rPr>
        <w:t>月</w:t>
      </w:r>
      <w:r>
        <w:rPr>
          <w:rFonts w:hint="eastAsia" w:ascii="宋体" w:hAnsi="宋体" w:cs="宋体"/>
          <w:color w:val="000000"/>
          <w:kern w:val="0"/>
          <w:sz w:val="24"/>
          <w:highlight w:val="none"/>
          <w:lang w:val="en-US" w:eastAsia="zh-CN"/>
        </w:rPr>
        <w:t>12</w:t>
      </w:r>
      <w:r>
        <w:rPr>
          <w:rFonts w:hint="eastAsia" w:ascii="宋体" w:hAnsi="宋体" w:eastAsia="宋体" w:cs="宋体"/>
          <w:color w:val="000000"/>
          <w:kern w:val="0"/>
          <w:sz w:val="24"/>
          <w:highlight w:val="none"/>
        </w:rPr>
        <w:t>日</w:t>
      </w:r>
      <w:r>
        <w:rPr>
          <w:rFonts w:hint="eastAsia" w:ascii="宋体" w:hAnsi="宋体" w:cs="宋体"/>
          <w:color w:val="000000"/>
          <w:kern w:val="0"/>
          <w:sz w:val="24"/>
          <w:highlight w:val="none"/>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wNDdjMzI5NDVkNjFlZTc1MTQ1Zjk1ZTFiN2M2MTYifQ=="/>
  </w:docVars>
  <w:rsids>
    <w:rsidRoot w:val="656F0035"/>
    <w:rsid w:val="0A7641CC"/>
    <w:rsid w:val="0AAE2C9C"/>
    <w:rsid w:val="1E7B04ED"/>
    <w:rsid w:val="26A94FFD"/>
    <w:rsid w:val="302F1D8C"/>
    <w:rsid w:val="5F6C7B03"/>
    <w:rsid w:val="656F00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2023-12-01T06:23:00Z</dcterms:created>
  <dc:creator>会员</dc:creator>
  <cp:lastModifiedBy>振邦律师</cp:lastModifiedBy>
  <dcterms:modified xsi:type="dcterms:W3CDTF">2023-12-12T07:15:39Z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1A9A5402A05E4854A62C85B03E450F1F_13</vt:lpwstr>
  </property>
</Properties>
</file>