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wordWrap/>
        <w:overflowPunct/>
        <w:topLinePunct w:val="0"/>
        <w:bidi w:val="0"/>
        <w:snapToGrid/>
        <w:spacing w:before="0" w:beforeAutospacing="0" w:after="0" w:afterAutospacing="0" w:line="560" w:lineRule="exact"/>
        <w:jc w:val="center"/>
        <w:textAlignment w:val="auto"/>
        <w:rPr>
          <w:rFonts w:hint="eastAsia" w:ascii="黑体" w:hAnsi="黑体" w:eastAsia="黑体" w:cs="黑体"/>
          <w:b w:val="0"/>
          <w:bCs w:val="0"/>
          <w:color w:val="auto"/>
          <w:sz w:val="44"/>
          <w:szCs w:val="44"/>
        </w:rPr>
      </w:pPr>
      <w:bookmarkStart w:id="0" w:name="_Toc57964042"/>
      <w:r>
        <w:rPr>
          <w:rFonts w:hint="eastAsia" w:ascii="黑体" w:hAnsi="黑体" w:eastAsia="黑体" w:cs="黑体"/>
          <w:b w:val="0"/>
          <w:bCs w:val="0"/>
          <w:color w:val="auto"/>
          <w:sz w:val="44"/>
          <w:szCs w:val="44"/>
        </w:rPr>
        <w:t>临沂鲁南国际粮油市场物流服务有限公司</w:t>
      </w:r>
    </w:p>
    <w:p>
      <w:pPr>
        <w:pStyle w:val="2"/>
        <w:pageBreakBefore w:val="0"/>
        <w:kinsoku/>
        <w:wordWrap/>
        <w:overflowPunct/>
        <w:topLinePunct w:val="0"/>
        <w:bidi w:val="0"/>
        <w:snapToGrid/>
        <w:spacing w:before="0" w:beforeAutospacing="0" w:after="0" w:afterAutospacing="0" w:line="560" w:lineRule="exact"/>
        <w:jc w:val="center"/>
        <w:textAlignment w:val="auto"/>
        <w:rPr>
          <w:rFonts w:hint="eastAsia" w:ascii="黑体" w:hAnsi="黑体" w:eastAsia="黑体" w:cs="黑体"/>
          <w:b w:val="0"/>
          <w:bCs w:val="0"/>
          <w:color w:val="auto"/>
          <w:sz w:val="44"/>
          <w:szCs w:val="44"/>
        </w:rPr>
      </w:pPr>
      <w:r>
        <w:rPr>
          <w:rFonts w:hint="eastAsia" w:ascii="黑体" w:hAnsi="黑体" w:eastAsia="黑体" w:cs="黑体"/>
          <w:b w:val="0"/>
          <w:bCs w:val="0"/>
          <w:color w:val="auto"/>
          <w:sz w:val="44"/>
          <w:szCs w:val="44"/>
          <w:lang w:val="en-US" w:eastAsia="zh-CN"/>
        </w:rPr>
        <w:t>重整投资人</w:t>
      </w:r>
      <w:r>
        <w:rPr>
          <w:rFonts w:hint="eastAsia" w:ascii="黑体" w:hAnsi="黑体" w:eastAsia="黑体" w:cs="黑体"/>
          <w:b w:val="0"/>
          <w:bCs w:val="0"/>
          <w:color w:val="auto"/>
          <w:sz w:val="44"/>
          <w:szCs w:val="44"/>
        </w:rPr>
        <w:t>招募公告</w:t>
      </w:r>
      <w:bookmarkEnd w:id="0"/>
    </w:p>
    <w:p>
      <w:pPr>
        <w:rPr>
          <w:rFonts w:hint="eastAsia"/>
        </w:rPr>
      </w:pPr>
    </w:p>
    <w:p>
      <w:pPr>
        <w:pStyle w:val="5"/>
        <w:keepNext w:val="0"/>
        <w:keepLines w:val="0"/>
        <w:pageBreakBefore w:val="0"/>
        <w:widowControl w:val="0"/>
        <w:shd w:val="clear" w:color="auto" w:fill="FFFFFF"/>
        <w:kinsoku/>
        <w:wordWrap/>
        <w:overflowPunct/>
        <w:topLinePunct w:val="0"/>
        <w:bidi w:val="0"/>
        <w:snapToGrid/>
        <w:spacing w:before="0" w:beforeAutospacing="0" w:after="0" w:afterAutospacing="0" w:line="560" w:lineRule="exact"/>
        <w:ind w:firstLine="640" w:firstLineChars="200"/>
        <w:contextualSpacing/>
        <w:textAlignment w:val="auto"/>
        <w:rPr>
          <w:rFonts w:ascii="仿宋" w:hAnsi="仿宋" w:eastAsia="仿宋"/>
          <w:color w:val="auto"/>
          <w:sz w:val="32"/>
          <w:szCs w:val="32"/>
        </w:rPr>
      </w:pPr>
      <w:bookmarkStart w:id="1" w:name="_Hlk57897818"/>
      <w:r>
        <w:rPr>
          <w:rFonts w:hint="eastAsia" w:ascii="仿宋" w:hAnsi="仿宋" w:eastAsia="仿宋"/>
          <w:color w:val="auto"/>
          <w:sz w:val="32"/>
          <w:szCs w:val="32"/>
        </w:rPr>
        <w:t>临沂市罗庄区人民法院于2023年10月17日作出（2023）鲁1311破申49号《裁定书》，裁定受理临沂鲁南国际粮油市场物流服务有限公司（以下简称“鲁南粮油</w:t>
      </w:r>
      <w:r>
        <w:rPr>
          <w:rFonts w:hint="eastAsia" w:ascii="仿宋" w:hAnsi="仿宋" w:eastAsia="仿宋"/>
          <w:color w:val="auto"/>
          <w:sz w:val="32"/>
          <w:szCs w:val="32"/>
          <w:lang w:val="en-US" w:eastAsia="zh-CN"/>
        </w:rPr>
        <w:t>市场</w:t>
      </w:r>
      <w:r>
        <w:rPr>
          <w:rFonts w:hint="eastAsia" w:ascii="仿宋" w:hAnsi="仿宋" w:eastAsia="仿宋"/>
          <w:color w:val="auto"/>
          <w:sz w:val="32"/>
          <w:szCs w:val="32"/>
        </w:rPr>
        <w:t>”）重整申请，并于</w:t>
      </w:r>
      <w:r>
        <w:rPr>
          <w:rFonts w:hint="eastAsia" w:ascii="仿宋" w:hAnsi="仿宋" w:eastAsia="仿宋"/>
          <w:color w:val="auto"/>
          <w:sz w:val="32"/>
          <w:szCs w:val="32"/>
          <w:lang w:val="en-US" w:eastAsia="zh-CN"/>
        </w:rPr>
        <w:t>同日</w:t>
      </w:r>
      <w:r>
        <w:rPr>
          <w:rFonts w:hint="eastAsia" w:ascii="仿宋" w:hAnsi="仿宋" w:eastAsia="仿宋"/>
          <w:color w:val="auto"/>
          <w:sz w:val="32"/>
          <w:szCs w:val="32"/>
        </w:rPr>
        <w:t>作出（2023）鲁1311破申49号《决定书》，指定临沂鲁南国际粮油市场物流服务有限公司清算组担任临沂鲁南国际粮油市场物流服务有限公司管理人</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以下或“简称管理人”）</w:t>
      </w:r>
      <w:r>
        <w:rPr>
          <w:rFonts w:hint="eastAsia" w:ascii="仿宋" w:hAnsi="仿宋" w:eastAsia="仿宋"/>
          <w:color w:val="auto"/>
          <w:sz w:val="32"/>
          <w:szCs w:val="32"/>
        </w:rPr>
        <w:t>。</w:t>
      </w:r>
    </w:p>
    <w:p>
      <w:pPr>
        <w:pStyle w:val="5"/>
        <w:keepNext w:val="0"/>
        <w:keepLines w:val="0"/>
        <w:pageBreakBefore w:val="0"/>
        <w:widowControl w:val="0"/>
        <w:shd w:val="clear" w:color="auto" w:fill="FFFFFF"/>
        <w:kinsoku/>
        <w:wordWrap/>
        <w:overflowPunct/>
        <w:topLinePunct w:val="0"/>
        <w:bidi w:val="0"/>
        <w:snapToGrid/>
        <w:spacing w:before="0" w:beforeAutospacing="0" w:after="0" w:afterAutospacing="0" w:line="560" w:lineRule="exact"/>
        <w:ind w:firstLine="640" w:firstLineChars="200"/>
        <w:contextualSpacing/>
        <w:textAlignment w:val="auto"/>
        <w:rPr>
          <w:rFonts w:ascii="仿宋" w:hAnsi="仿宋" w:eastAsia="仿宋"/>
          <w:color w:val="auto"/>
          <w:sz w:val="32"/>
          <w:szCs w:val="32"/>
        </w:rPr>
      </w:pPr>
      <w:r>
        <w:rPr>
          <w:rFonts w:hint="eastAsia" w:ascii="仿宋" w:hAnsi="仿宋" w:eastAsia="仿宋"/>
          <w:color w:val="auto"/>
          <w:sz w:val="32"/>
          <w:szCs w:val="32"/>
        </w:rPr>
        <w:t>为实现债务人资源的最佳配置，维护债权人及相关各方的合法权益，尽快稳妥实现重整目标，管理人依据《中华人民共和国企业破产法》等相关法律法规，面向社会公开招募</w:t>
      </w:r>
      <w:r>
        <w:rPr>
          <w:rFonts w:hint="eastAsia" w:ascii="仿宋" w:hAnsi="仿宋" w:eastAsia="仿宋"/>
          <w:color w:val="auto"/>
          <w:sz w:val="32"/>
          <w:szCs w:val="32"/>
          <w:lang w:val="en-US" w:eastAsia="zh-CN"/>
        </w:rPr>
        <w:t>鲁南粮油市场</w:t>
      </w:r>
      <w:r>
        <w:rPr>
          <w:rFonts w:hint="eastAsia" w:ascii="仿宋" w:hAnsi="仿宋" w:eastAsia="仿宋"/>
          <w:color w:val="auto"/>
          <w:sz w:val="32"/>
          <w:szCs w:val="32"/>
        </w:rPr>
        <w:t>的重整投资人。现将招募事项公告如下：</w:t>
      </w:r>
    </w:p>
    <w:p>
      <w:pPr>
        <w:pStyle w:val="5"/>
        <w:keepNext w:val="0"/>
        <w:keepLines w:val="0"/>
        <w:pageBreakBefore w:val="0"/>
        <w:widowControl w:val="0"/>
        <w:shd w:val="clear" w:color="auto" w:fill="FFFFFF"/>
        <w:kinsoku/>
        <w:wordWrap/>
        <w:overflowPunct/>
        <w:topLinePunct w:val="0"/>
        <w:bidi w:val="0"/>
        <w:snapToGrid/>
        <w:spacing w:before="0" w:beforeAutospacing="0" w:after="0" w:afterAutospacing="0" w:line="560" w:lineRule="exact"/>
        <w:ind w:firstLine="640" w:firstLineChars="200"/>
        <w:contextualSpacing/>
        <w:textAlignment w:val="auto"/>
        <w:rPr>
          <w:rFonts w:ascii="黑体" w:hAnsi="黑体" w:eastAsia="黑体"/>
          <w:b w:val="0"/>
          <w:bCs/>
          <w:color w:val="auto"/>
          <w:sz w:val="32"/>
          <w:szCs w:val="32"/>
        </w:rPr>
      </w:pPr>
      <w:r>
        <w:rPr>
          <w:rFonts w:hint="eastAsia" w:ascii="黑体" w:hAnsi="黑体" w:eastAsia="黑体"/>
          <w:b w:val="0"/>
          <w:bCs/>
          <w:color w:val="auto"/>
          <w:sz w:val="32"/>
          <w:szCs w:val="32"/>
        </w:rPr>
        <w:t>一、公司概况</w:t>
      </w:r>
    </w:p>
    <w:p>
      <w:pPr>
        <w:pStyle w:val="5"/>
        <w:keepNext w:val="0"/>
        <w:keepLines w:val="0"/>
        <w:pageBreakBefore w:val="0"/>
        <w:widowControl w:val="0"/>
        <w:shd w:val="clear" w:color="auto" w:fill="FFFFFF"/>
        <w:kinsoku/>
        <w:wordWrap/>
        <w:overflowPunct/>
        <w:topLinePunct w:val="0"/>
        <w:bidi w:val="0"/>
        <w:snapToGrid/>
        <w:spacing w:before="0" w:beforeAutospacing="0" w:after="0" w:afterAutospacing="0" w:line="560" w:lineRule="exact"/>
        <w:ind w:firstLine="640" w:firstLineChars="200"/>
        <w:contextualSpacing/>
        <w:textAlignment w:val="auto"/>
        <w:rPr>
          <w:rFonts w:hint="eastAsia" w:ascii="楷体" w:hAnsi="楷体" w:eastAsia="楷体"/>
          <w:color w:val="auto"/>
          <w:sz w:val="32"/>
          <w:szCs w:val="32"/>
          <w:lang w:eastAsia="zh-CN"/>
        </w:rPr>
      </w:pPr>
      <w:r>
        <w:rPr>
          <w:rFonts w:hint="eastAsia" w:ascii="楷体" w:hAnsi="楷体" w:eastAsia="楷体"/>
          <w:color w:val="auto"/>
          <w:sz w:val="32"/>
          <w:szCs w:val="32"/>
        </w:rPr>
        <w:t>（一）基本信息</w:t>
      </w:r>
    </w:p>
    <w:p>
      <w:pPr>
        <w:pStyle w:val="5"/>
        <w:keepNext w:val="0"/>
        <w:keepLines w:val="0"/>
        <w:pageBreakBefore w:val="0"/>
        <w:shd w:val="clear" w:color="auto" w:fill="FFFFFF"/>
        <w:kinsoku/>
        <w:wordWrap/>
        <w:overflowPunct/>
        <w:topLinePunct w:val="0"/>
        <w:bidi w:val="0"/>
        <w:snapToGrid/>
        <w:spacing w:before="0" w:beforeAutospacing="0" w:after="0" w:afterAutospacing="0" w:line="560" w:lineRule="exact"/>
        <w:ind w:firstLine="640" w:firstLineChars="200"/>
        <w:contextualSpacing/>
        <w:textAlignment w:val="auto"/>
        <w:rPr>
          <w:rFonts w:ascii="仿宋" w:hAnsi="仿宋" w:eastAsia="仿宋"/>
          <w:color w:val="auto"/>
          <w:sz w:val="32"/>
          <w:szCs w:val="32"/>
        </w:rPr>
      </w:pPr>
      <w:r>
        <w:rPr>
          <w:rFonts w:hint="eastAsia" w:ascii="仿宋" w:hAnsi="仿宋" w:eastAsia="仿宋"/>
          <w:color w:val="auto"/>
          <w:sz w:val="32"/>
          <w:szCs w:val="32"/>
        </w:rPr>
        <w:t>临沂鲁南国际粮油市场物流服务有限公司</w:t>
      </w:r>
      <w:r>
        <w:rPr>
          <w:rFonts w:hint="eastAsia" w:ascii="仿宋" w:hAnsi="仿宋" w:eastAsia="仿宋"/>
          <w:color w:val="auto"/>
          <w:sz w:val="32"/>
          <w:szCs w:val="32"/>
          <w:lang w:eastAsia="zh-CN"/>
        </w:rPr>
        <w:t>（</w:t>
      </w:r>
      <w:r>
        <w:rPr>
          <w:rFonts w:hint="eastAsia" w:ascii="仿宋" w:hAnsi="仿宋" w:eastAsia="仿宋"/>
          <w:color w:val="auto"/>
          <w:sz w:val="32"/>
          <w:szCs w:val="32"/>
        </w:rPr>
        <w:t>曾用名：临沂鲁南国际粮油市场经营管理有限公司、临沂市罗庄区鲁南粮油市场服务有限公司</w:t>
      </w:r>
      <w:r>
        <w:rPr>
          <w:rFonts w:hint="eastAsia" w:ascii="仿宋" w:hAnsi="仿宋" w:eastAsia="仿宋"/>
          <w:color w:val="auto"/>
          <w:sz w:val="32"/>
          <w:szCs w:val="32"/>
          <w:lang w:eastAsia="zh-CN"/>
        </w:rPr>
        <w:t>）</w:t>
      </w:r>
      <w:r>
        <w:rPr>
          <w:rFonts w:hint="eastAsia" w:ascii="仿宋" w:hAnsi="仿宋" w:eastAsia="仿宋"/>
          <w:color w:val="auto"/>
          <w:sz w:val="32"/>
          <w:szCs w:val="32"/>
        </w:rPr>
        <w:t>是2005年4月在临沂市罗庄区市场监督管理局登记注册成立的有限责任公司（自然人独资），公司统一社会信用代码：913713007731860036</w:t>
      </w:r>
      <w:r>
        <w:rPr>
          <w:rFonts w:hint="eastAsia" w:ascii="仿宋" w:hAnsi="仿宋" w:eastAsia="仿宋"/>
          <w:color w:val="auto"/>
          <w:sz w:val="32"/>
          <w:szCs w:val="32"/>
          <w:lang w:eastAsia="zh-CN"/>
        </w:rPr>
        <w:t>，</w:t>
      </w:r>
      <w:r>
        <w:rPr>
          <w:rFonts w:hint="eastAsia" w:ascii="仿宋" w:hAnsi="仿宋" w:eastAsia="仿宋"/>
          <w:color w:val="auto"/>
          <w:sz w:val="32"/>
          <w:szCs w:val="32"/>
        </w:rPr>
        <w:t>法定代表人：荆玉文，注册资本人民币10000万元，其中：股东荆玉文，承诺出资人民币10000万元，占比100%。公司地址：罗庄区盛庄</w:t>
      </w:r>
      <w:r>
        <w:rPr>
          <w:rFonts w:hint="eastAsia" w:ascii="仿宋" w:hAnsi="仿宋" w:eastAsia="仿宋"/>
          <w:color w:val="auto"/>
          <w:sz w:val="32"/>
          <w:szCs w:val="32"/>
          <w:lang w:val="en-US" w:eastAsia="zh-CN"/>
        </w:rPr>
        <w:t>街道</w:t>
      </w:r>
      <w:r>
        <w:rPr>
          <w:rFonts w:hint="eastAsia" w:ascii="仿宋" w:hAnsi="仿宋" w:eastAsia="仿宋"/>
          <w:color w:val="auto"/>
          <w:sz w:val="32"/>
          <w:szCs w:val="32"/>
        </w:rPr>
        <w:t>办事处十里堡村（沂州路与沂河路交汇处南一百米）。经营范围：许可项目：食品销售；互联网信息服务；食品互联网销售；小食杂；粮食加工食品生产。（依法须经批准的项目，经相关部门批准后方可开展经营活动，具体经营项目以相关部门批准文件或许可证件为准）一般项目：粮食收购；集贸市场管理服务；互联网销售（除销售需要许可的商品）；货物进出口；食品销售（仅销售预包装食品）；网络技术服务；个人互联网直播服务；包装服务；食品互联网销售（仅销售预包装食品）。（除依法须经批准的项目外，凭营业执照依法自主开展经营活动）。</w:t>
      </w:r>
    </w:p>
    <w:p>
      <w:pPr>
        <w:pStyle w:val="5"/>
        <w:keepNext w:val="0"/>
        <w:keepLines w:val="0"/>
        <w:pageBreakBefore w:val="0"/>
        <w:widowControl w:val="0"/>
        <w:shd w:val="clear" w:color="auto" w:fill="FFFFFF"/>
        <w:kinsoku/>
        <w:wordWrap/>
        <w:overflowPunct/>
        <w:topLinePunct w:val="0"/>
        <w:bidi w:val="0"/>
        <w:snapToGrid/>
        <w:spacing w:before="0" w:beforeAutospacing="0" w:after="0" w:afterAutospacing="0" w:line="560" w:lineRule="exact"/>
        <w:ind w:firstLine="640" w:firstLineChars="200"/>
        <w:contextualSpacing/>
        <w:textAlignment w:val="auto"/>
        <w:rPr>
          <w:rFonts w:hint="eastAsia" w:ascii="楷体" w:hAnsi="楷体" w:eastAsia="楷体"/>
          <w:color w:val="auto"/>
          <w:sz w:val="32"/>
          <w:szCs w:val="32"/>
          <w:lang w:eastAsia="zh-CN"/>
        </w:rPr>
      </w:pPr>
      <w:r>
        <w:rPr>
          <w:rFonts w:hint="eastAsia" w:ascii="楷体" w:hAnsi="楷体" w:eastAsia="楷体"/>
          <w:color w:val="auto"/>
          <w:sz w:val="32"/>
          <w:szCs w:val="32"/>
        </w:rPr>
        <w:t>（二）</w:t>
      </w:r>
      <w:r>
        <w:rPr>
          <w:rFonts w:hint="eastAsia" w:ascii="楷体" w:hAnsi="楷体" w:eastAsia="楷体"/>
          <w:color w:val="auto"/>
          <w:sz w:val="32"/>
          <w:szCs w:val="32"/>
          <w:lang w:val="en-US" w:eastAsia="zh-CN"/>
        </w:rPr>
        <w:t>主要资产</w:t>
      </w:r>
      <w:r>
        <w:rPr>
          <w:rFonts w:hint="eastAsia" w:ascii="楷体" w:hAnsi="楷体" w:eastAsia="楷体"/>
          <w:color w:val="auto"/>
          <w:sz w:val="32"/>
          <w:szCs w:val="32"/>
        </w:rPr>
        <w:t>情况</w:t>
      </w:r>
    </w:p>
    <w:p>
      <w:pPr>
        <w:pStyle w:val="5"/>
        <w:keepNext w:val="0"/>
        <w:keepLines w:val="0"/>
        <w:pageBreakBefore w:val="0"/>
        <w:widowControl w:val="0"/>
        <w:shd w:val="clear" w:color="auto" w:fill="FFFFFF"/>
        <w:kinsoku/>
        <w:wordWrap/>
        <w:overflowPunct/>
        <w:topLinePunct w:val="0"/>
        <w:bidi w:val="0"/>
        <w:snapToGrid/>
        <w:spacing w:before="0" w:beforeAutospacing="0" w:after="0" w:afterAutospacing="0" w:line="560" w:lineRule="exact"/>
        <w:ind w:firstLine="640" w:firstLineChars="200"/>
        <w:contextualSpacing/>
        <w:textAlignment w:val="auto"/>
        <w:rPr>
          <w:rFonts w:hint="eastAsia" w:ascii="仿宋" w:hAnsi="仿宋" w:eastAsia="仿宋"/>
          <w:color w:val="auto"/>
          <w:sz w:val="32"/>
          <w:szCs w:val="32"/>
        </w:rPr>
      </w:pPr>
      <w:r>
        <w:rPr>
          <w:rFonts w:hint="eastAsia" w:ascii="仿宋" w:hAnsi="仿宋" w:eastAsia="仿宋"/>
          <w:color w:val="auto"/>
          <w:sz w:val="32"/>
          <w:szCs w:val="32"/>
          <w:u w:val="none"/>
          <w:lang w:val="en-US" w:eastAsia="zh-CN"/>
        </w:rPr>
        <w:t>管理人进驻企业后对鲁南粮油市场资产进行了调查，并委托审计、评估机构进行了审计评估，相关工作正在进行中。根据管理人调查核实及</w:t>
      </w:r>
      <w:r>
        <w:rPr>
          <w:rFonts w:hint="eastAsia" w:ascii="仿宋" w:hAnsi="仿宋" w:eastAsia="仿宋"/>
          <w:color w:val="auto"/>
          <w:sz w:val="32"/>
          <w:szCs w:val="32"/>
          <w:u w:val="none"/>
        </w:rPr>
        <w:t>临沂市不动产登记中心</w:t>
      </w:r>
      <w:r>
        <w:rPr>
          <w:rFonts w:hint="eastAsia" w:ascii="仿宋" w:hAnsi="仿宋" w:eastAsia="仿宋"/>
          <w:color w:val="auto"/>
          <w:sz w:val="32"/>
          <w:szCs w:val="32"/>
          <w:u w:val="none"/>
          <w:lang w:val="en-US" w:eastAsia="zh-CN"/>
        </w:rPr>
        <w:t>调取的不动产登记信息查询证明，鲁南粮油市场公司</w:t>
      </w:r>
      <w:r>
        <w:rPr>
          <w:rFonts w:hint="eastAsia" w:ascii="仿宋" w:hAnsi="仿宋" w:eastAsia="仿宋"/>
          <w:color w:val="auto"/>
          <w:sz w:val="32"/>
          <w:szCs w:val="32"/>
          <w:lang w:val="en-US" w:eastAsia="zh-CN"/>
        </w:rPr>
        <w:t>财产主要有</w:t>
      </w:r>
      <w:r>
        <w:rPr>
          <w:rFonts w:hint="eastAsia" w:ascii="仿宋" w:hAnsi="仿宋" w:eastAsia="仿宋"/>
          <w:color w:val="auto"/>
          <w:sz w:val="32"/>
          <w:szCs w:val="32"/>
        </w:rPr>
        <w:t>：</w:t>
      </w:r>
    </w:p>
    <w:p>
      <w:pPr>
        <w:pStyle w:val="5"/>
        <w:keepNext w:val="0"/>
        <w:keepLines w:val="0"/>
        <w:pageBreakBefore w:val="0"/>
        <w:numPr>
          <w:ilvl w:val="-1"/>
          <w:numId w:val="0"/>
        </w:numPr>
        <w:shd w:val="clear" w:color="auto" w:fill="FFFFFF"/>
        <w:kinsoku/>
        <w:wordWrap/>
        <w:overflowPunct/>
        <w:topLinePunct w:val="0"/>
        <w:autoSpaceDE w:val="0"/>
        <w:autoSpaceDN w:val="0"/>
        <w:bidi w:val="0"/>
        <w:adjustRightInd w:val="0"/>
        <w:snapToGrid/>
        <w:spacing w:before="0" w:beforeAutospacing="0" w:after="0" w:afterAutospacing="0" w:line="560" w:lineRule="exact"/>
        <w:ind w:left="0" w:leftChars="0" w:firstLine="643" w:firstLineChars="200"/>
        <w:contextualSpacing/>
        <w:jc w:val="left"/>
        <w:textAlignment w:val="auto"/>
        <w:rPr>
          <w:rFonts w:hint="default" w:ascii="仿宋" w:hAnsi="仿宋" w:eastAsia="仿宋" w:cs="宋体"/>
          <w:b/>
          <w:bCs/>
          <w:color w:val="auto"/>
          <w:kern w:val="0"/>
          <w:sz w:val="32"/>
          <w:szCs w:val="32"/>
          <w:lang w:val="en-US" w:eastAsia="zh-CN"/>
        </w:rPr>
      </w:pPr>
      <w:r>
        <w:rPr>
          <w:rFonts w:hint="eastAsia" w:ascii="仿宋" w:hAnsi="仿宋" w:eastAsia="仿宋"/>
          <w:b/>
          <w:bCs/>
          <w:color w:val="auto"/>
          <w:sz w:val="32"/>
          <w:szCs w:val="32"/>
          <w:lang w:val="en-US" w:eastAsia="zh-CN"/>
        </w:rPr>
        <w:t>1.不动产</w:t>
      </w:r>
    </w:p>
    <w:p>
      <w:pPr>
        <w:pStyle w:val="5"/>
        <w:keepNext w:val="0"/>
        <w:keepLines w:val="0"/>
        <w:pageBreakBefore w:val="0"/>
        <w:numPr>
          <w:ilvl w:val="-1"/>
          <w:numId w:val="0"/>
        </w:numPr>
        <w:shd w:val="clear" w:color="auto" w:fill="FFFFFF"/>
        <w:kinsoku/>
        <w:wordWrap/>
        <w:overflowPunct/>
        <w:topLinePunct w:val="0"/>
        <w:autoSpaceDE w:val="0"/>
        <w:autoSpaceDN w:val="0"/>
        <w:bidi w:val="0"/>
        <w:adjustRightInd w:val="0"/>
        <w:snapToGrid/>
        <w:spacing w:before="0" w:beforeAutospacing="0" w:after="0" w:afterAutospacing="0" w:line="560" w:lineRule="exact"/>
        <w:ind w:left="0" w:leftChars="0" w:firstLine="640" w:firstLineChars="200"/>
        <w:contextualSpacing/>
        <w:jc w:val="left"/>
        <w:textAlignment w:val="auto"/>
        <w:rPr>
          <w:rFonts w:hint="eastAsia" w:ascii="仿宋" w:hAnsi="仿宋" w:eastAsia="仿宋" w:cs="宋体"/>
          <w:color w:val="auto"/>
          <w:kern w:val="0"/>
          <w:sz w:val="32"/>
          <w:szCs w:val="32"/>
          <w:lang w:val="en-US" w:eastAsia="zh-CN"/>
        </w:rPr>
      </w:pPr>
      <w:r>
        <w:rPr>
          <w:rFonts w:hint="eastAsia" w:ascii="仿宋" w:hAnsi="仿宋" w:eastAsia="仿宋"/>
          <w:color w:val="auto"/>
          <w:sz w:val="32"/>
          <w:szCs w:val="32"/>
          <w:lang w:val="en-US" w:eastAsia="zh-CN"/>
        </w:rPr>
        <w:t>（1）</w:t>
      </w:r>
      <w:r>
        <w:rPr>
          <w:rFonts w:hint="eastAsia" w:ascii="仿宋" w:hAnsi="仿宋" w:eastAsia="仿宋" w:cs="宋体"/>
          <w:color w:val="auto"/>
          <w:kern w:val="0"/>
          <w:sz w:val="32"/>
          <w:szCs w:val="32"/>
          <w:lang w:val="en-US" w:eastAsia="zh-CN"/>
        </w:rPr>
        <w:t>土地使用权的具体信息为：</w:t>
      </w:r>
    </w:p>
    <w:p>
      <w:pPr>
        <w:pStyle w:val="5"/>
        <w:keepNext w:val="0"/>
        <w:keepLines w:val="0"/>
        <w:pageBreakBefore w:val="0"/>
        <w:numPr>
          <w:ilvl w:val="-1"/>
          <w:numId w:val="0"/>
        </w:numPr>
        <w:shd w:val="clear" w:color="auto" w:fill="FFFFFF"/>
        <w:kinsoku/>
        <w:wordWrap/>
        <w:overflowPunct/>
        <w:topLinePunct w:val="0"/>
        <w:autoSpaceDE w:val="0"/>
        <w:autoSpaceDN w:val="0"/>
        <w:bidi w:val="0"/>
        <w:adjustRightInd w:val="0"/>
        <w:snapToGrid/>
        <w:spacing w:before="0" w:beforeAutospacing="0" w:after="0" w:afterAutospacing="0" w:line="560" w:lineRule="exact"/>
        <w:ind w:left="0" w:leftChars="0" w:firstLine="640" w:firstLineChars="200"/>
        <w:contextualSpacing/>
        <w:jc w:val="left"/>
        <w:textAlignment w:val="auto"/>
        <w:rPr>
          <w:rFonts w:hint="default" w:ascii="仿宋" w:hAnsi="仿宋" w:eastAsia="仿宋" w:cs="宋体"/>
          <w:color w:val="auto"/>
          <w:kern w:val="0"/>
          <w:sz w:val="32"/>
          <w:szCs w:val="32"/>
          <w:lang w:val="en-US" w:eastAsia="zh-CN"/>
        </w:rPr>
      </w:pPr>
      <w:r>
        <w:rPr>
          <w:rFonts w:hint="eastAsia" w:ascii="仿宋" w:hAnsi="仿宋" w:eastAsia="仿宋" w:cs="宋体"/>
          <w:color w:val="auto"/>
          <w:kern w:val="0"/>
          <w:sz w:val="32"/>
          <w:szCs w:val="32"/>
          <w:lang w:val="en-US" w:eastAsia="zh-CN"/>
        </w:rPr>
        <w:t>①已办理产权证书的土地使用权</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8"/>
        <w:gridCol w:w="4660"/>
        <w:gridCol w:w="2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jc w:val="center"/>
        </w:trPr>
        <w:tc>
          <w:tcPr>
            <w:tcW w:w="938" w:type="dxa"/>
            <w:noWrap w:val="0"/>
            <w:vAlign w:val="center"/>
          </w:tcPr>
          <w:p>
            <w:pPr>
              <w:keepNext w:val="0"/>
              <w:keepLines w:val="0"/>
              <w:pageBreakBefore w:val="0"/>
              <w:kinsoku/>
              <w:wordWrap/>
              <w:overflowPunct/>
              <w:topLinePunct w:val="0"/>
              <w:bidi w:val="0"/>
              <w:snapToGrid/>
              <w:spacing w:beforeAutospacing="0" w:afterAutospacing="0" w:line="560" w:lineRule="exact"/>
              <w:jc w:val="center"/>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序号</w:t>
            </w:r>
          </w:p>
        </w:tc>
        <w:tc>
          <w:tcPr>
            <w:tcW w:w="4660" w:type="dxa"/>
            <w:noWrap w:val="0"/>
            <w:vAlign w:val="center"/>
          </w:tcPr>
          <w:p>
            <w:pPr>
              <w:keepNext w:val="0"/>
              <w:keepLines w:val="0"/>
              <w:pageBreakBefore w:val="0"/>
              <w:kinsoku/>
              <w:wordWrap/>
              <w:overflowPunct/>
              <w:topLinePunct w:val="0"/>
              <w:bidi w:val="0"/>
              <w:snapToGrid/>
              <w:spacing w:beforeAutospacing="0" w:afterAutospacing="0" w:line="560" w:lineRule="exact"/>
              <w:jc w:val="center"/>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权证号</w:t>
            </w:r>
          </w:p>
        </w:tc>
        <w:tc>
          <w:tcPr>
            <w:tcW w:w="2781" w:type="dxa"/>
            <w:noWrap w:val="0"/>
            <w:vAlign w:val="center"/>
          </w:tcPr>
          <w:p>
            <w:pPr>
              <w:keepNext w:val="0"/>
              <w:keepLines w:val="0"/>
              <w:pageBreakBefore w:val="0"/>
              <w:kinsoku/>
              <w:wordWrap/>
              <w:overflowPunct/>
              <w:topLinePunct w:val="0"/>
              <w:bidi w:val="0"/>
              <w:snapToGrid/>
              <w:spacing w:beforeAutospacing="0" w:afterAutospacing="0" w:line="560" w:lineRule="exact"/>
              <w:jc w:val="center"/>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938" w:type="dxa"/>
            <w:noWrap w:val="0"/>
            <w:vAlign w:val="center"/>
          </w:tcPr>
          <w:p>
            <w:pPr>
              <w:keepNext w:val="0"/>
              <w:keepLines w:val="0"/>
              <w:pageBreakBefore w:val="0"/>
              <w:kinsoku/>
              <w:wordWrap/>
              <w:overflowPunct/>
              <w:topLinePunct w:val="0"/>
              <w:bidi w:val="0"/>
              <w:snapToGrid/>
              <w:spacing w:beforeAutospacing="0" w:afterAutospacing="0" w:line="560" w:lineRule="exact"/>
              <w:jc w:val="center"/>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1</w:t>
            </w:r>
          </w:p>
        </w:tc>
        <w:tc>
          <w:tcPr>
            <w:tcW w:w="4660" w:type="dxa"/>
            <w:noWrap w:val="0"/>
            <w:vAlign w:val="center"/>
          </w:tcPr>
          <w:p>
            <w:pPr>
              <w:keepNext w:val="0"/>
              <w:keepLines w:val="0"/>
              <w:pageBreakBefore w:val="0"/>
              <w:kinsoku/>
              <w:wordWrap/>
              <w:overflowPunct/>
              <w:topLinePunct w:val="0"/>
              <w:bidi w:val="0"/>
              <w:snapToGrid/>
              <w:spacing w:beforeAutospacing="0" w:afterAutospacing="0" w:line="560" w:lineRule="exact"/>
              <w:jc w:val="center"/>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临罗国用（2006）第0</w:t>
            </w:r>
            <w:r>
              <w:rPr>
                <w:rFonts w:hint="eastAsia" w:ascii="仿宋" w:hAnsi="仿宋" w:eastAsia="仿宋" w:cs="仿宋"/>
                <w:color w:val="auto"/>
                <w:sz w:val="32"/>
                <w:szCs w:val="32"/>
                <w:highlight w:val="none"/>
                <w:lang w:val="en-US" w:eastAsia="zh-CN"/>
              </w:rPr>
              <w:t>17</w:t>
            </w:r>
            <w:r>
              <w:rPr>
                <w:rFonts w:hint="eastAsia" w:ascii="仿宋" w:hAnsi="仿宋" w:eastAsia="仿宋" w:cs="仿宋"/>
                <w:color w:val="auto"/>
                <w:sz w:val="32"/>
                <w:szCs w:val="32"/>
                <w:highlight w:val="none"/>
              </w:rPr>
              <w:t>3号</w:t>
            </w:r>
          </w:p>
        </w:tc>
        <w:tc>
          <w:tcPr>
            <w:tcW w:w="2781" w:type="dxa"/>
            <w:noWrap w:val="0"/>
            <w:vAlign w:val="center"/>
          </w:tcPr>
          <w:p>
            <w:pPr>
              <w:keepNext w:val="0"/>
              <w:keepLines w:val="0"/>
              <w:pageBreakBefore w:val="0"/>
              <w:kinsoku/>
              <w:wordWrap/>
              <w:overflowPunct/>
              <w:topLinePunct w:val="0"/>
              <w:bidi w:val="0"/>
              <w:snapToGrid/>
              <w:spacing w:beforeAutospacing="0" w:afterAutospacing="0" w:line="560" w:lineRule="exact"/>
              <w:jc w:val="center"/>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69556</w:t>
            </w:r>
          </w:p>
        </w:tc>
      </w:tr>
    </w:tbl>
    <w:p>
      <w:pPr>
        <w:keepNext w:val="0"/>
        <w:keepLines w:val="0"/>
        <w:pageBreakBefore w:val="0"/>
        <w:kinsoku/>
        <w:wordWrap/>
        <w:overflowPunct/>
        <w:topLinePunct w:val="0"/>
        <w:bidi w:val="0"/>
        <w:snapToGrid/>
        <w:spacing w:beforeAutospacing="0" w:afterAutospacing="0" w:line="560" w:lineRule="exact"/>
        <w:ind w:left="0" w:leftChars="0"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②租赁的土地使用权</w:t>
      </w:r>
    </w:p>
    <w:p>
      <w:pPr>
        <w:keepNext w:val="0"/>
        <w:keepLines w:val="0"/>
        <w:pageBreakBefore w:val="0"/>
        <w:kinsoku/>
        <w:wordWrap/>
        <w:overflowPunct/>
        <w:topLinePunct w:val="0"/>
        <w:bidi w:val="0"/>
        <w:snapToGrid/>
        <w:spacing w:beforeAutospacing="0" w:afterAutospacing="0" w:line="560" w:lineRule="exact"/>
        <w:ind w:left="0" w:leftChars="0" w:firstLine="640" w:firstLineChars="200"/>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鲁南粮油市场另租赁</w:t>
      </w:r>
      <w:r>
        <w:rPr>
          <w:rFonts w:hint="eastAsia" w:ascii="仿宋" w:hAnsi="仿宋" w:eastAsia="仿宋" w:cs="仿宋"/>
          <w:color w:val="auto"/>
          <w:sz w:val="32"/>
          <w:szCs w:val="32"/>
          <w:highlight w:val="none"/>
        </w:rPr>
        <w:t>罗庄区盛庄街道十里堡社区居委</w:t>
      </w:r>
      <w:r>
        <w:rPr>
          <w:rFonts w:hint="eastAsia" w:ascii="仿宋" w:hAnsi="仿宋" w:eastAsia="仿宋" w:cs="仿宋"/>
          <w:color w:val="auto"/>
          <w:sz w:val="32"/>
          <w:szCs w:val="32"/>
          <w:highlight w:val="none"/>
          <w:lang w:val="en-US" w:eastAsia="zh-CN"/>
        </w:rPr>
        <w:t>集体土地90.75亩,租赁费用为每亩每年5000元，有效租赁期限至2026年3月，租赁土地上建筑物主要有办公楼、北大仓库及水泥路面等部分构筑物。</w:t>
      </w:r>
    </w:p>
    <w:p>
      <w:pPr>
        <w:keepNext w:val="0"/>
        <w:keepLines w:val="0"/>
        <w:pageBreakBefore w:val="0"/>
        <w:kinsoku/>
        <w:wordWrap/>
        <w:overflowPunct/>
        <w:topLinePunct w:val="0"/>
        <w:bidi w:val="0"/>
        <w:snapToGrid/>
        <w:spacing w:beforeAutospacing="0" w:afterAutospacing="0" w:line="560" w:lineRule="exact"/>
        <w:ind w:left="0" w:leftChars="0" w:firstLine="640" w:firstLineChars="20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2）已办理产权证书的房屋建筑物</w:t>
      </w:r>
      <w:r>
        <w:rPr>
          <w:rFonts w:hint="eastAsia" w:ascii="仿宋" w:hAnsi="仿宋" w:eastAsia="仿宋" w:cs="仿宋"/>
          <w:color w:val="auto"/>
          <w:sz w:val="32"/>
          <w:szCs w:val="32"/>
          <w:highlight w:val="none"/>
        </w:rPr>
        <w:t>：</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4596"/>
        <w:gridCol w:w="2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9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ascii="仿宋" w:hAnsi="仿宋" w:eastAsia="仿宋" w:cs="仿宋"/>
                <w:sz w:val="28"/>
                <w:szCs w:val="28"/>
                <w:highlight w:val="none"/>
              </w:rPr>
            </w:pPr>
            <w:r>
              <w:rPr>
                <w:rFonts w:hint="eastAsia" w:ascii="仿宋" w:hAnsi="仿宋" w:eastAsia="仿宋" w:cs="仿宋"/>
                <w:sz w:val="28"/>
                <w:szCs w:val="28"/>
                <w:highlight w:val="none"/>
              </w:rPr>
              <w:t>序号</w:t>
            </w:r>
          </w:p>
        </w:tc>
        <w:tc>
          <w:tcPr>
            <w:tcW w:w="459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ascii="仿宋" w:hAnsi="仿宋" w:eastAsia="仿宋" w:cs="仿宋"/>
                <w:sz w:val="28"/>
                <w:szCs w:val="28"/>
                <w:highlight w:val="none"/>
              </w:rPr>
            </w:pPr>
            <w:r>
              <w:rPr>
                <w:rFonts w:hint="eastAsia" w:ascii="仿宋" w:hAnsi="仿宋" w:eastAsia="仿宋" w:cs="仿宋"/>
                <w:sz w:val="28"/>
                <w:szCs w:val="28"/>
                <w:highlight w:val="none"/>
              </w:rPr>
              <w:t>权证号</w:t>
            </w: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ascii="仿宋" w:hAnsi="仿宋" w:eastAsia="仿宋" w:cs="仿宋"/>
                <w:sz w:val="28"/>
                <w:szCs w:val="28"/>
                <w:highlight w:val="none"/>
              </w:rPr>
            </w:pPr>
            <w:r>
              <w:rPr>
                <w:rFonts w:hint="eastAsia" w:ascii="仿宋" w:hAnsi="仿宋" w:eastAsia="仿宋" w:cs="仿宋"/>
                <w:sz w:val="28"/>
                <w:szCs w:val="28"/>
                <w:highlight w:val="none"/>
              </w:rPr>
              <w:t>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9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ascii="仿宋" w:hAnsi="仿宋" w:eastAsia="仿宋" w:cs="仿宋"/>
                <w:sz w:val="28"/>
                <w:szCs w:val="28"/>
                <w:highlight w:val="none"/>
              </w:rPr>
            </w:pPr>
            <w:r>
              <w:rPr>
                <w:rFonts w:hint="eastAsia" w:ascii="仿宋" w:hAnsi="仿宋" w:eastAsia="仿宋" w:cs="仿宋"/>
                <w:sz w:val="28"/>
                <w:szCs w:val="28"/>
                <w:highlight w:val="none"/>
              </w:rPr>
              <w:t>1</w:t>
            </w:r>
          </w:p>
        </w:tc>
        <w:tc>
          <w:tcPr>
            <w:tcW w:w="459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ascii="仿宋" w:hAnsi="仿宋" w:eastAsia="仿宋" w:cs="仿宋"/>
                <w:sz w:val="28"/>
                <w:szCs w:val="28"/>
                <w:highlight w:val="none"/>
              </w:rPr>
            </w:pPr>
            <w:r>
              <w:rPr>
                <w:rFonts w:hint="eastAsia" w:ascii="仿宋" w:hAnsi="仿宋" w:eastAsia="仿宋" w:cs="仿宋"/>
                <w:sz w:val="28"/>
                <w:szCs w:val="28"/>
                <w:highlight w:val="none"/>
              </w:rPr>
              <w:t>临房权证罗庄区第</w:t>
            </w:r>
            <w:r>
              <w:rPr>
                <w:rFonts w:hint="eastAsia" w:ascii="仿宋" w:hAnsi="仿宋" w:eastAsia="仿宋" w:cs="仿宋"/>
                <w:sz w:val="28"/>
                <w:szCs w:val="28"/>
                <w:highlight w:val="none"/>
                <w:lang w:val="en-US" w:eastAsia="zh-CN"/>
              </w:rPr>
              <w:t>000118859</w:t>
            </w:r>
            <w:r>
              <w:rPr>
                <w:rFonts w:hint="eastAsia" w:ascii="仿宋" w:hAnsi="仿宋" w:eastAsia="仿宋" w:cs="仿宋"/>
                <w:sz w:val="28"/>
                <w:szCs w:val="28"/>
                <w:highlight w:val="none"/>
              </w:rPr>
              <w:t>号</w:t>
            </w: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2092.30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9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w:t>
            </w:r>
          </w:p>
        </w:tc>
        <w:tc>
          <w:tcPr>
            <w:tcW w:w="459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临房权证罗庄区第000</w:t>
            </w:r>
            <w:r>
              <w:rPr>
                <w:rFonts w:hint="eastAsia" w:ascii="仿宋" w:hAnsi="仿宋" w:eastAsia="仿宋" w:cs="仿宋"/>
                <w:sz w:val="28"/>
                <w:szCs w:val="28"/>
                <w:highlight w:val="none"/>
                <w:lang w:val="en-US" w:eastAsia="zh-CN"/>
              </w:rPr>
              <w:t>118860</w:t>
            </w:r>
            <w:r>
              <w:rPr>
                <w:rFonts w:hint="eastAsia" w:ascii="仿宋" w:hAnsi="仿宋" w:eastAsia="仿宋" w:cs="仿宋"/>
                <w:sz w:val="28"/>
                <w:szCs w:val="28"/>
                <w:highlight w:val="none"/>
              </w:rPr>
              <w:t>号</w:t>
            </w: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2092.30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9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w:t>
            </w:r>
          </w:p>
        </w:tc>
        <w:tc>
          <w:tcPr>
            <w:tcW w:w="459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临房权证罗庄区第000</w:t>
            </w:r>
            <w:r>
              <w:rPr>
                <w:rFonts w:hint="eastAsia" w:ascii="仿宋" w:hAnsi="仿宋" w:eastAsia="仿宋" w:cs="仿宋"/>
                <w:sz w:val="28"/>
                <w:szCs w:val="28"/>
                <w:highlight w:val="none"/>
                <w:lang w:val="en-US" w:eastAsia="zh-CN"/>
              </w:rPr>
              <w:t>049054</w:t>
            </w:r>
            <w:r>
              <w:rPr>
                <w:rFonts w:hint="eastAsia" w:ascii="仿宋" w:hAnsi="仿宋" w:eastAsia="仿宋" w:cs="仿宋"/>
                <w:sz w:val="28"/>
                <w:szCs w:val="28"/>
                <w:highlight w:val="none"/>
              </w:rPr>
              <w:t>号</w:t>
            </w: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1046.15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9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w:t>
            </w:r>
          </w:p>
        </w:tc>
        <w:tc>
          <w:tcPr>
            <w:tcW w:w="459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临房权证罗庄区第</w:t>
            </w:r>
            <w:r>
              <w:rPr>
                <w:rFonts w:hint="eastAsia" w:ascii="仿宋" w:hAnsi="仿宋" w:eastAsia="仿宋" w:cs="仿宋"/>
                <w:sz w:val="28"/>
                <w:szCs w:val="28"/>
                <w:highlight w:val="none"/>
                <w:lang w:val="en-US" w:eastAsia="zh-CN"/>
              </w:rPr>
              <w:t>000189605</w:t>
            </w:r>
            <w:r>
              <w:rPr>
                <w:rFonts w:hint="eastAsia" w:ascii="仿宋" w:hAnsi="仿宋" w:eastAsia="仿宋" w:cs="仿宋"/>
                <w:sz w:val="28"/>
                <w:szCs w:val="28"/>
                <w:highlight w:val="none"/>
              </w:rPr>
              <w:t>号</w:t>
            </w: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736.22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9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w:t>
            </w:r>
          </w:p>
        </w:tc>
        <w:tc>
          <w:tcPr>
            <w:tcW w:w="459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临房权证罗庄区第</w:t>
            </w:r>
            <w:r>
              <w:rPr>
                <w:rFonts w:hint="eastAsia" w:ascii="仿宋" w:hAnsi="仿宋" w:eastAsia="仿宋" w:cs="仿宋"/>
                <w:sz w:val="28"/>
                <w:szCs w:val="28"/>
                <w:highlight w:val="none"/>
                <w:lang w:val="en-US" w:eastAsia="zh-CN"/>
              </w:rPr>
              <w:t>000189596</w:t>
            </w:r>
            <w:r>
              <w:rPr>
                <w:rFonts w:hint="eastAsia" w:ascii="仿宋" w:hAnsi="仿宋" w:eastAsia="仿宋" w:cs="仿宋"/>
                <w:sz w:val="28"/>
                <w:szCs w:val="28"/>
                <w:highlight w:val="none"/>
              </w:rPr>
              <w:t>号</w:t>
            </w: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6479.17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9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w:t>
            </w:r>
          </w:p>
        </w:tc>
        <w:tc>
          <w:tcPr>
            <w:tcW w:w="459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临房权证罗庄区第</w:t>
            </w:r>
            <w:r>
              <w:rPr>
                <w:rFonts w:hint="eastAsia" w:ascii="仿宋" w:hAnsi="仿宋" w:eastAsia="仿宋" w:cs="仿宋"/>
                <w:sz w:val="28"/>
                <w:szCs w:val="28"/>
                <w:highlight w:val="none"/>
                <w:lang w:val="en-US" w:eastAsia="zh-CN"/>
              </w:rPr>
              <w:t>000049056</w:t>
            </w:r>
            <w:r>
              <w:rPr>
                <w:rFonts w:hint="eastAsia" w:ascii="仿宋" w:hAnsi="仿宋" w:eastAsia="仿宋" w:cs="仿宋"/>
                <w:sz w:val="28"/>
                <w:szCs w:val="28"/>
                <w:highlight w:val="none"/>
              </w:rPr>
              <w:t>号</w:t>
            </w: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4428.60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9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w:t>
            </w:r>
          </w:p>
        </w:tc>
        <w:tc>
          <w:tcPr>
            <w:tcW w:w="459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临房权证罗庄区第</w:t>
            </w:r>
            <w:r>
              <w:rPr>
                <w:rFonts w:hint="eastAsia" w:ascii="仿宋" w:hAnsi="仿宋" w:eastAsia="仿宋" w:cs="仿宋"/>
                <w:sz w:val="28"/>
                <w:szCs w:val="28"/>
                <w:highlight w:val="none"/>
                <w:lang w:val="en-US" w:eastAsia="zh-CN"/>
              </w:rPr>
              <w:t>000049051</w:t>
            </w:r>
            <w:r>
              <w:rPr>
                <w:rFonts w:hint="eastAsia" w:ascii="仿宋" w:hAnsi="仿宋" w:eastAsia="仿宋" w:cs="仿宋"/>
                <w:sz w:val="28"/>
                <w:szCs w:val="28"/>
                <w:highlight w:val="none"/>
              </w:rPr>
              <w:t>号</w:t>
            </w: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4367.60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9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w:t>
            </w:r>
          </w:p>
        </w:tc>
        <w:tc>
          <w:tcPr>
            <w:tcW w:w="459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临房权证罗庄区第</w:t>
            </w:r>
            <w:r>
              <w:rPr>
                <w:rFonts w:hint="eastAsia" w:ascii="仿宋" w:hAnsi="仿宋" w:eastAsia="仿宋" w:cs="仿宋"/>
                <w:sz w:val="28"/>
                <w:szCs w:val="28"/>
                <w:highlight w:val="none"/>
                <w:lang w:val="en-US" w:eastAsia="zh-CN"/>
              </w:rPr>
              <w:t>000049052</w:t>
            </w:r>
            <w:r>
              <w:rPr>
                <w:rFonts w:hint="eastAsia" w:ascii="仿宋" w:hAnsi="仿宋" w:eastAsia="仿宋" w:cs="仿宋"/>
                <w:sz w:val="28"/>
                <w:szCs w:val="28"/>
                <w:highlight w:val="none"/>
              </w:rPr>
              <w:t>号</w:t>
            </w: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4184.60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9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w:t>
            </w:r>
          </w:p>
        </w:tc>
        <w:tc>
          <w:tcPr>
            <w:tcW w:w="459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临房权证罗庄区第</w:t>
            </w:r>
            <w:r>
              <w:rPr>
                <w:rFonts w:hint="eastAsia" w:ascii="仿宋" w:hAnsi="仿宋" w:eastAsia="仿宋" w:cs="仿宋"/>
                <w:sz w:val="28"/>
                <w:szCs w:val="28"/>
                <w:highlight w:val="none"/>
                <w:lang w:val="en-US" w:eastAsia="zh-CN"/>
              </w:rPr>
              <w:t>000189607</w:t>
            </w:r>
            <w:r>
              <w:rPr>
                <w:rFonts w:hint="eastAsia" w:ascii="仿宋" w:hAnsi="仿宋" w:eastAsia="仿宋" w:cs="仿宋"/>
                <w:sz w:val="28"/>
                <w:szCs w:val="28"/>
                <w:highlight w:val="none"/>
              </w:rPr>
              <w:t>号</w:t>
            </w: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5675.09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9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10</w:t>
            </w:r>
          </w:p>
        </w:tc>
        <w:tc>
          <w:tcPr>
            <w:tcW w:w="459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ascii="仿宋" w:hAnsi="仿宋" w:eastAsia="仿宋" w:cs="仿宋"/>
                <w:sz w:val="28"/>
                <w:szCs w:val="28"/>
                <w:highlight w:val="none"/>
              </w:rPr>
            </w:pPr>
            <w:r>
              <w:rPr>
                <w:rFonts w:hint="eastAsia" w:ascii="仿宋" w:hAnsi="仿宋" w:eastAsia="仿宋" w:cs="仿宋"/>
                <w:sz w:val="28"/>
                <w:szCs w:val="28"/>
                <w:highlight w:val="none"/>
              </w:rPr>
              <w:t>临房权证罗庄区第</w:t>
            </w:r>
            <w:r>
              <w:rPr>
                <w:rFonts w:hint="eastAsia" w:ascii="仿宋" w:hAnsi="仿宋" w:eastAsia="仿宋" w:cs="仿宋"/>
                <w:sz w:val="28"/>
                <w:szCs w:val="28"/>
                <w:highlight w:val="none"/>
                <w:lang w:val="en-US" w:eastAsia="zh-CN"/>
              </w:rPr>
              <w:t>000049053</w:t>
            </w:r>
            <w:r>
              <w:rPr>
                <w:rFonts w:hint="eastAsia" w:ascii="仿宋" w:hAnsi="仿宋" w:eastAsia="仿宋" w:cs="仿宋"/>
                <w:sz w:val="28"/>
                <w:szCs w:val="28"/>
                <w:highlight w:val="none"/>
              </w:rPr>
              <w:t>号</w:t>
            </w: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4184.60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9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11</w:t>
            </w:r>
          </w:p>
        </w:tc>
        <w:tc>
          <w:tcPr>
            <w:tcW w:w="459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ascii="仿宋" w:hAnsi="仿宋" w:eastAsia="仿宋" w:cs="仿宋"/>
                <w:sz w:val="28"/>
                <w:szCs w:val="28"/>
                <w:highlight w:val="none"/>
              </w:rPr>
            </w:pPr>
            <w:r>
              <w:rPr>
                <w:rFonts w:hint="eastAsia" w:ascii="仿宋" w:hAnsi="仿宋" w:eastAsia="仿宋" w:cs="仿宋"/>
                <w:sz w:val="28"/>
                <w:szCs w:val="28"/>
                <w:highlight w:val="none"/>
              </w:rPr>
              <w:t>临房权证罗庄区第</w:t>
            </w:r>
            <w:r>
              <w:rPr>
                <w:rFonts w:hint="eastAsia" w:ascii="仿宋" w:hAnsi="仿宋" w:eastAsia="仿宋" w:cs="仿宋"/>
                <w:sz w:val="28"/>
                <w:szCs w:val="28"/>
                <w:highlight w:val="none"/>
                <w:lang w:val="en-US" w:eastAsia="zh-CN"/>
              </w:rPr>
              <w:t>000189606</w:t>
            </w:r>
            <w:r>
              <w:rPr>
                <w:rFonts w:hint="eastAsia" w:ascii="仿宋" w:hAnsi="仿宋" w:eastAsia="仿宋" w:cs="仿宋"/>
                <w:sz w:val="28"/>
                <w:szCs w:val="28"/>
                <w:highlight w:val="none"/>
              </w:rPr>
              <w:t>号</w:t>
            </w:r>
          </w:p>
        </w:tc>
        <w:tc>
          <w:tcPr>
            <w:tcW w:w="280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425.70</w:t>
            </w:r>
          </w:p>
        </w:tc>
      </w:tr>
    </w:tbl>
    <w:p>
      <w:pPr>
        <w:keepNext w:val="0"/>
        <w:keepLines w:val="0"/>
        <w:pageBreakBefore w:val="0"/>
        <w:kinsoku/>
        <w:wordWrap/>
        <w:overflowPunct/>
        <w:topLinePunct w:val="0"/>
        <w:autoSpaceDE w:val="0"/>
        <w:autoSpaceDN w:val="0"/>
        <w:bidi w:val="0"/>
        <w:snapToGrid/>
        <w:spacing w:line="580" w:lineRule="exact"/>
        <w:ind w:left="0" w:leftChars="0" w:firstLine="745" w:firstLineChars="233"/>
        <w:textAlignment w:val="auto"/>
        <w:rPr>
          <w:rFonts w:hint="default" w:ascii="仿宋" w:hAnsi="仿宋" w:eastAsia="仿宋" w:cs="宋体"/>
          <w:kern w:val="0"/>
          <w:sz w:val="32"/>
          <w:szCs w:val="32"/>
          <w:highlight w:val="none"/>
          <w:lang w:val="en-US"/>
        </w:rPr>
      </w:pPr>
      <w:r>
        <w:rPr>
          <w:rFonts w:hint="eastAsia" w:ascii="仿宋" w:hAnsi="仿宋" w:eastAsia="仿宋" w:cs="宋体"/>
          <w:kern w:val="0"/>
          <w:sz w:val="32"/>
          <w:szCs w:val="32"/>
          <w:highlight w:val="none"/>
          <w:lang w:eastAsia="zh-CN"/>
        </w:rPr>
        <w:t>（</w:t>
      </w:r>
      <w:r>
        <w:rPr>
          <w:rFonts w:hint="eastAsia" w:ascii="仿宋" w:hAnsi="仿宋" w:eastAsia="仿宋" w:cs="宋体"/>
          <w:kern w:val="0"/>
          <w:sz w:val="32"/>
          <w:szCs w:val="32"/>
          <w:highlight w:val="none"/>
          <w:lang w:val="en-US" w:eastAsia="zh-CN"/>
        </w:rPr>
        <w:t>3）未办理相关产权证书的主要房屋建筑物：</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1997"/>
        <w:gridCol w:w="3357"/>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944"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序号</w:t>
            </w:r>
          </w:p>
        </w:tc>
        <w:tc>
          <w:tcPr>
            <w:tcW w:w="199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项目名称</w:t>
            </w:r>
          </w:p>
        </w:tc>
        <w:tc>
          <w:tcPr>
            <w:tcW w:w="335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结构</w:t>
            </w:r>
          </w:p>
        </w:tc>
        <w:tc>
          <w:tcPr>
            <w:tcW w:w="2100"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建筑面积</w:t>
            </w:r>
            <w:r>
              <w:rPr>
                <w:rFonts w:hint="eastAsia" w:ascii="仿宋_GB2312" w:hAnsi="仿宋_GB2312" w:eastAsia="仿宋_GB2312" w:cs="仿宋_GB2312"/>
                <w:sz w:val="28"/>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4"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w:t>
            </w:r>
          </w:p>
        </w:tc>
        <w:tc>
          <w:tcPr>
            <w:tcW w:w="199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北大仓库</w:t>
            </w:r>
          </w:p>
        </w:tc>
        <w:tc>
          <w:tcPr>
            <w:tcW w:w="335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砖墙复合板</w:t>
            </w:r>
          </w:p>
        </w:tc>
        <w:tc>
          <w:tcPr>
            <w:tcW w:w="2100"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7317.02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4"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w:t>
            </w:r>
          </w:p>
        </w:tc>
        <w:tc>
          <w:tcPr>
            <w:tcW w:w="199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宿舍楼</w:t>
            </w:r>
          </w:p>
        </w:tc>
        <w:tc>
          <w:tcPr>
            <w:tcW w:w="335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砖混</w:t>
            </w:r>
          </w:p>
        </w:tc>
        <w:tc>
          <w:tcPr>
            <w:tcW w:w="2100"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1043.54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4"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3</w:t>
            </w:r>
          </w:p>
        </w:tc>
        <w:tc>
          <w:tcPr>
            <w:tcW w:w="199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东大库</w:t>
            </w:r>
          </w:p>
        </w:tc>
        <w:tc>
          <w:tcPr>
            <w:tcW w:w="335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lang w:val="en-US" w:eastAsia="zh-CN"/>
              </w:rPr>
              <w:t>砖墙复合板</w:t>
            </w:r>
          </w:p>
        </w:tc>
        <w:tc>
          <w:tcPr>
            <w:tcW w:w="2100"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1116.03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4"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4</w:t>
            </w:r>
          </w:p>
        </w:tc>
        <w:tc>
          <w:tcPr>
            <w:tcW w:w="199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南大库</w:t>
            </w:r>
          </w:p>
        </w:tc>
        <w:tc>
          <w:tcPr>
            <w:tcW w:w="335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钢结构</w:t>
            </w:r>
          </w:p>
        </w:tc>
        <w:tc>
          <w:tcPr>
            <w:tcW w:w="2100"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1541.44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4"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5</w:t>
            </w:r>
          </w:p>
        </w:tc>
        <w:tc>
          <w:tcPr>
            <w:tcW w:w="199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24号东南库</w:t>
            </w:r>
          </w:p>
        </w:tc>
        <w:tc>
          <w:tcPr>
            <w:tcW w:w="335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lang w:val="en-US" w:eastAsia="zh-CN"/>
              </w:rPr>
              <w:t>砖混</w:t>
            </w:r>
          </w:p>
        </w:tc>
        <w:tc>
          <w:tcPr>
            <w:tcW w:w="2100"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1523.80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4"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6</w:t>
            </w:r>
          </w:p>
        </w:tc>
        <w:tc>
          <w:tcPr>
            <w:tcW w:w="199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25号东南库</w:t>
            </w:r>
          </w:p>
        </w:tc>
        <w:tc>
          <w:tcPr>
            <w:tcW w:w="335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lang w:val="en-US" w:eastAsia="zh-CN"/>
              </w:rPr>
              <w:t>砖混</w:t>
            </w:r>
          </w:p>
        </w:tc>
        <w:tc>
          <w:tcPr>
            <w:tcW w:w="2100"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1513.44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4"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7</w:t>
            </w:r>
          </w:p>
        </w:tc>
        <w:tc>
          <w:tcPr>
            <w:tcW w:w="199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rPr>
              <w:t>26号东南库</w:t>
            </w:r>
          </w:p>
        </w:tc>
        <w:tc>
          <w:tcPr>
            <w:tcW w:w="335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lang w:val="en-US" w:eastAsia="zh-CN"/>
              </w:rPr>
              <w:t>砖混</w:t>
            </w:r>
          </w:p>
        </w:tc>
        <w:tc>
          <w:tcPr>
            <w:tcW w:w="2100"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601.23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4"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8</w:t>
            </w:r>
          </w:p>
        </w:tc>
        <w:tc>
          <w:tcPr>
            <w:tcW w:w="199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lang w:val="en-US" w:eastAsia="zh-CN"/>
              </w:rPr>
              <w:t>27号东南库</w:t>
            </w:r>
          </w:p>
        </w:tc>
        <w:tc>
          <w:tcPr>
            <w:tcW w:w="335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lang w:val="en-US" w:eastAsia="zh-CN"/>
              </w:rPr>
              <w:t>砖混</w:t>
            </w:r>
          </w:p>
        </w:tc>
        <w:tc>
          <w:tcPr>
            <w:tcW w:w="2100"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601.23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4"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bidi="ar-SA"/>
              </w:rPr>
              <w:t>9</w:t>
            </w:r>
          </w:p>
        </w:tc>
        <w:tc>
          <w:tcPr>
            <w:tcW w:w="199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rPr>
              <w:t>28号东南库</w:t>
            </w:r>
          </w:p>
        </w:tc>
        <w:tc>
          <w:tcPr>
            <w:tcW w:w="335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lang w:val="en-US" w:eastAsia="zh-CN"/>
              </w:rPr>
              <w:t>砖混</w:t>
            </w:r>
          </w:p>
        </w:tc>
        <w:tc>
          <w:tcPr>
            <w:tcW w:w="2100"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523.48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4"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10</w:t>
            </w:r>
          </w:p>
        </w:tc>
        <w:tc>
          <w:tcPr>
            <w:tcW w:w="199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rPr>
              <w:t>29号南库</w:t>
            </w:r>
          </w:p>
        </w:tc>
        <w:tc>
          <w:tcPr>
            <w:tcW w:w="335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rPr>
              <w:t>砖混</w:t>
            </w:r>
          </w:p>
        </w:tc>
        <w:tc>
          <w:tcPr>
            <w:tcW w:w="2100"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rPr>
              <w:t>528.23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4"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11</w:t>
            </w:r>
          </w:p>
        </w:tc>
        <w:tc>
          <w:tcPr>
            <w:tcW w:w="199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rPr>
              <w:t>30号南库</w:t>
            </w:r>
          </w:p>
        </w:tc>
        <w:tc>
          <w:tcPr>
            <w:tcW w:w="335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rPr>
              <w:t>砖混</w:t>
            </w:r>
          </w:p>
        </w:tc>
        <w:tc>
          <w:tcPr>
            <w:tcW w:w="2100"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rPr>
              <w:t>341.89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944"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12</w:t>
            </w:r>
          </w:p>
        </w:tc>
        <w:tc>
          <w:tcPr>
            <w:tcW w:w="199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办公楼</w:t>
            </w:r>
          </w:p>
        </w:tc>
        <w:tc>
          <w:tcPr>
            <w:tcW w:w="3357"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砖混</w:t>
            </w:r>
          </w:p>
        </w:tc>
        <w:tc>
          <w:tcPr>
            <w:tcW w:w="2100" w:type="dxa"/>
            <w:noWrap w:val="0"/>
            <w:vAlign w:val="top"/>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5424.33</w:t>
            </w:r>
          </w:p>
        </w:tc>
      </w:tr>
    </w:tbl>
    <w:p>
      <w:pPr>
        <w:keepNext w:val="0"/>
        <w:keepLines w:val="0"/>
        <w:pageBreakBefore w:val="0"/>
        <w:kinsoku/>
        <w:wordWrap/>
        <w:overflowPunct/>
        <w:topLinePunct w:val="0"/>
        <w:autoSpaceDE w:val="0"/>
        <w:autoSpaceDN w:val="0"/>
        <w:bidi w:val="0"/>
        <w:snapToGrid/>
        <w:spacing w:line="580" w:lineRule="exact"/>
        <w:ind w:left="0" w:leftChars="0" w:firstLine="655" w:firstLineChars="233"/>
        <w:textAlignment w:val="auto"/>
        <w:rPr>
          <w:rFonts w:hint="default" w:ascii="仿宋" w:hAnsi="仿宋" w:eastAsia="仿宋" w:cs="宋体"/>
          <w:b/>
          <w:bCs/>
          <w:kern w:val="0"/>
          <w:sz w:val="28"/>
          <w:szCs w:val="28"/>
          <w:highlight w:val="none"/>
          <w:lang w:val="en-US" w:eastAsia="zh-CN"/>
        </w:rPr>
      </w:pPr>
      <w:r>
        <w:rPr>
          <w:rFonts w:hint="eastAsia" w:ascii="仿宋" w:hAnsi="仿宋" w:eastAsia="仿宋" w:cs="宋体"/>
          <w:b/>
          <w:bCs/>
          <w:kern w:val="0"/>
          <w:sz w:val="28"/>
          <w:szCs w:val="28"/>
          <w:highlight w:val="none"/>
          <w:lang w:val="en-US" w:eastAsia="zh-CN"/>
        </w:rPr>
        <w:t>2.动产。</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
        <w:gridCol w:w="2083"/>
        <w:gridCol w:w="767"/>
        <w:gridCol w:w="4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3" w:hRule="atLeast"/>
          <w:jc w:val="center"/>
        </w:trPr>
        <w:tc>
          <w:tcPr>
            <w:tcW w:w="872"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ascii="仿宋" w:hAnsi="仿宋" w:eastAsia="仿宋" w:cs="宋体"/>
                <w:kern w:val="0"/>
                <w:sz w:val="24"/>
                <w:highlight w:val="none"/>
              </w:rPr>
            </w:pPr>
            <w:r>
              <w:rPr>
                <w:rFonts w:hint="eastAsia" w:ascii="仿宋" w:hAnsi="仿宋" w:eastAsia="仿宋" w:cs="宋体"/>
                <w:kern w:val="0"/>
                <w:sz w:val="24"/>
                <w:highlight w:val="none"/>
              </w:rPr>
              <w:t>序号</w:t>
            </w:r>
          </w:p>
        </w:tc>
        <w:tc>
          <w:tcPr>
            <w:tcW w:w="2083"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ascii="仿宋" w:hAnsi="仿宋" w:eastAsia="仿宋" w:cs="宋体"/>
                <w:kern w:val="0"/>
                <w:sz w:val="24"/>
                <w:highlight w:val="none"/>
              </w:rPr>
            </w:pPr>
            <w:r>
              <w:rPr>
                <w:rFonts w:hint="eastAsia" w:ascii="仿宋" w:hAnsi="仿宋" w:eastAsia="仿宋" w:cs="宋体"/>
                <w:kern w:val="0"/>
                <w:sz w:val="24"/>
                <w:highlight w:val="none"/>
              </w:rPr>
              <w:t>项目名称</w:t>
            </w:r>
          </w:p>
        </w:tc>
        <w:tc>
          <w:tcPr>
            <w:tcW w:w="767"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ascii="仿宋" w:hAnsi="仿宋" w:eastAsia="仿宋" w:cs="宋体"/>
                <w:kern w:val="0"/>
                <w:sz w:val="24"/>
                <w:highlight w:val="none"/>
              </w:rPr>
            </w:pPr>
            <w:r>
              <w:rPr>
                <w:rFonts w:hint="eastAsia" w:ascii="仿宋" w:hAnsi="仿宋" w:eastAsia="仿宋" w:cs="宋体"/>
                <w:kern w:val="0"/>
                <w:sz w:val="24"/>
                <w:highlight w:val="none"/>
              </w:rPr>
              <w:t>项数</w:t>
            </w:r>
          </w:p>
        </w:tc>
        <w:tc>
          <w:tcPr>
            <w:tcW w:w="4996"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ascii="仿宋" w:hAnsi="仿宋" w:eastAsia="仿宋" w:cs="宋体"/>
                <w:kern w:val="0"/>
                <w:sz w:val="24"/>
                <w:highlight w:val="none"/>
              </w:rPr>
            </w:pPr>
            <w:r>
              <w:rPr>
                <w:rFonts w:hint="eastAsia" w:ascii="仿宋" w:hAnsi="仿宋" w:eastAsia="仿宋" w:cs="宋体"/>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872"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ascii="仿宋" w:hAnsi="仿宋" w:eastAsia="仿宋" w:cs="宋体"/>
                <w:kern w:val="0"/>
                <w:sz w:val="24"/>
                <w:highlight w:val="none"/>
              </w:rPr>
            </w:pPr>
            <w:r>
              <w:rPr>
                <w:rFonts w:hint="eastAsia" w:ascii="仿宋" w:hAnsi="仿宋" w:eastAsia="仿宋" w:cs="宋体"/>
                <w:kern w:val="0"/>
                <w:sz w:val="24"/>
                <w:highlight w:val="none"/>
              </w:rPr>
              <w:t>1</w:t>
            </w:r>
          </w:p>
        </w:tc>
        <w:tc>
          <w:tcPr>
            <w:tcW w:w="2083"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ascii="仿宋" w:hAnsi="仿宋" w:eastAsia="仿宋" w:cs="宋体"/>
                <w:kern w:val="0"/>
                <w:sz w:val="24"/>
                <w:highlight w:val="none"/>
              </w:rPr>
            </w:pPr>
            <w:r>
              <w:rPr>
                <w:rFonts w:hint="eastAsia" w:ascii="仿宋" w:hAnsi="仿宋" w:eastAsia="仿宋" w:cs="宋体"/>
                <w:kern w:val="0"/>
                <w:sz w:val="24"/>
                <w:highlight w:val="none"/>
              </w:rPr>
              <w:t>在用低值易耗品</w:t>
            </w:r>
          </w:p>
        </w:tc>
        <w:tc>
          <w:tcPr>
            <w:tcW w:w="767"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ascii="仿宋" w:hAnsi="仿宋" w:eastAsia="仿宋" w:cs="宋体"/>
                <w:kern w:val="0"/>
                <w:sz w:val="24"/>
                <w:highlight w:val="none"/>
              </w:rPr>
            </w:pPr>
            <w:r>
              <w:rPr>
                <w:rFonts w:hint="eastAsia" w:ascii="仿宋" w:hAnsi="仿宋" w:eastAsia="仿宋" w:cs="宋体"/>
                <w:kern w:val="0"/>
                <w:sz w:val="24"/>
                <w:highlight w:val="none"/>
              </w:rPr>
              <w:t>1宗</w:t>
            </w:r>
          </w:p>
        </w:tc>
        <w:tc>
          <w:tcPr>
            <w:tcW w:w="4996"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default" w:ascii="仿宋" w:hAnsi="仿宋" w:eastAsia="仿宋" w:cs="宋体"/>
                <w:kern w:val="0"/>
                <w:sz w:val="24"/>
                <w:highlight w:val="none"/>
                <w:lang w:val="en-US" w:eastAsia="zh-CN"/>
              </w:rPr>
            </w:pPr>
            <w:r>
              <w:rPr>
                <w:rFonts w:hint="eastAsia" w:ascii="仿宋" w:hAnsi="仿宋" w:eastAsia="仿宋" w:cs="宋体"/>
                <w:kern w:val="0"/>
                <w:sz w:val="24"/>
                <w:highlight w:val="none"/>
                <w:lang w:val="en-US" w:eastAsia="zh-CN"/>
              </w:rPr>
              <w:t>桌椅、电脑、空调等</w:t>
            </w:r>
            <w:r>
              <w:rPr>
                <w:rFonts w:hint="eastAsia" w:ascii="仿宋" w:hAnsi="仿宋" w:eastAsia="仿宋" w:cs="宋体"/>
                <w:kern w:val="0"/>
                <w:sz w:val="24"/>
                <w:highlight w:val="none"/>
              </w:rPr>
              <w:t>办公用家具</w:t>
            </w:r>
            <w:r>
              <w:rPr>
                <w:rFonts w:hint="eastAsia" w:ascii="仿宋" w:hAnsi="仿宋" w:eastAsia="仿宋" w:cs="宋体"/>
                <w:kern w:val="0"/>
                <w:sz w:val="24"/>
                <w:highlight w:val="none"/>
                <w:lang w:eastAsia="zh-CN"/>
              </w:rPr>
              <w:t>、</w:t>
            </w:r>
            <w:r>
              <w:rPr>
                <w:rFonts w:hint="eastAsia" w:ascii="仿宋" w:hAnsi="仿宋" w:eastAsia="仿宋" w:cs="宋体"/>
                <w:kern w:val="0"/>
                <w:sz w:val="24"/>
                <w:highlight w:val="none"/>
                <w:lang w:val="en-US" w:eastAsia="zh-CN"/>
              </w:rPr>
              <w:t>家电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872"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ascii="仿宋" w:hAnsi="仿宋" w:eastAsia="仿宋" w:cs="宋体"/>
                <w:kern w:val="0"/>
                <w:sz w:val="24"/>
                <w:highlight w:val="none"/>
              </w:rPr>
            </w:pPr>
            <w:r>
              <w:rPr>
                <w:rFonts w:hint="eastAsia" w:ascii="仿宋" w:hAnsi="仿宋" w:eastAsia="仿宋" w:cs="宋体"/>
                <w:kern w:val="0"/>
                <w:sz w:val="24"/>
                <w:highlight w:val="none"/>
              </w:rPr>
              <w:t>2</w:t>
            </w:r>
          </w:p>
        </w:tc>
        <w:tc>
          <w:tcPr>
            <w:tcW w:w="2083"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ascii="仿宋" w:hAnsi="仿宋" w:eastAsia="仿宋" w:cs="宋体"/>
                <w:kern w:val="0"/>
                <w:sz w:val="24"/>
                <w:highlight w:val="none"/>
              </w:rPr>
            </w:pPr>
            <w:r>
              <w:rPr>
                <w:rFonts w:hint="eastAsia" w:ascii="仿宋" w:hAnsi="仿宋" w:eastAsia="仿宋" w:cs="宋体"/>
                <w:kern w:val="0"/>
                <w:sz w:val="24"/>
                <w:highlight w:val="none"/>
              </w:rPr>
              <w:t>机器设备</w:t>
            </w:r>
          </w:p>
        </w:tc>
        <w:tc>
          <w:tcPr>
            <w:tcW w:w="767"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ascii="仿宋" w:hAnsi="仿宋" w:eastAsia="仿宋" w:cs="宋体"/>
                <w:kern w:val="0"/>
                <w:sz w:val="24"/>
                <w:highlight w:val="none"/>
              </w:rPr>
            </w:pPr>
            <w:r>
              <w:rPr>
                <w:rFonts w:hint="eastAsia" w:ascii="仿宋" w:hAnsi="仿宋" w:eastAsia="仿宋" w:cs="宋体"/>
                <w:kern w:val="0"/>
                <w:sz w:val="24"/>
                <w:highlight w:val="none"/>
              </w:rPr>
              <w:t>1宗</w:t>
            </w:r>
          </w:p>
        </w:tc>
        <w:tc>
          <w:tcPr>
            <w:tcW w:w="4996"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default" w:ascii="仿宋" w:hAnsi="仿宋" w:eastAsia="仿宋" w:cs="宋体"/>
                <w:kern w:val="0"/>
                <w:sz w:val="24"/>
                <w:highlight w:val="none"/>
                <w:lang w:val="en-US" w:eastAsia="zh-CN"/>
              </w:rPr>
            </w:pPr>
            <w:r>
              <w:rPr>
                <w:rFonts w:hint="eastAsia" w:ascii="仿宋" w:hAnsi="仿宋" w:eastAsia="仿宋" w:cs="宋体"/>
                <w:kern w:val="0"/>
                <w:sz w:val="24"/>
                <w:highlight w:val="none"/>
                <w:lang w:val="en-US" w:eastAsia="zh-CN"/>
              </w:rPr>
              <w:t>动力柜、水软化设备等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872"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ascii="仿宋" w:hAnsi="仿宋" w:eastAsia="仿宋" w:cs="宋体"/>
                <w:kern w:val="0"/>
                <w:sz w:val="24"/>
                <w:highlight w:val="none"/>
              </w:rPr>
            </w:pPr>
            <w:r>
              <w:rPr>
                <w:rFonts w:hint="eastAsia" w:ascii="仿宋" w:hAnsi="仿宋" w:eastAsia="仿宋" w:cs="宋体"/>
                <w:kern w:val="0"/>
                <w:sz w:val="24"/>
                <w:highlight w:val="none"/>
              </w:rPr>
              <w:t>3</w:t>
            </w:r>
          </w:p>
        </w:tc>
        <w:tc>
          <w:tcPr>
            <w:tcW w:w="2083"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default" w:ascii="仿宋" w:hAnsi="仿宋" w:eastAsia="仿宋" w:cs="宋体"/>
                <w:kern w:val="0"/>
                <w:sz w:val="24"/>
                <w:highlight w:val="none"/>
                <w:lang w:val="en-US" w:eastAsia="zh-CN"/>
              </w:rPr>
            </w:pPr>
            <w:r>
              <w:rPr>
                <w:rFonts w:hint="eastAsia" w:ascii="仿宋" w:hAnsi="仿宋" w:eastAsia="仿宋" w:cs="宋体"/>
                <w:kern w:val="0"/>
                <w:sz w:val="24"/>
                <w:highlight w:val="none"/>
                <w:lang w:val="en-US" w:eastAsia="zh-CN"/>
              </w:rPr>
              <w:t>构筑物</w:t>
            </w:r>
          </w:p>
        </w:tc>
        <w:tc>
          <w:tcPr>
            <w:tcW w:w="767"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default" w:ascii="仿宋" w:hAnsi="仿宋" w:eastAsia="仿宋" w:cs="宋体"/>
                <w:kern w:val="0"/>
                <w:sz w:val="24"/>
                <w:highlight w:val="none"/>
                <w:lang w:val="en-US" w:eastAsia="zh-CN"/>
              </w:rPr>
            </w:pPr>
            <w:r>
              <w:rPr>
                <w:rFonts w:hint="eastAsia" w:ascii="仿宋" w:hAnsi="仿宋" w:eastAsia="仿宋" w:cs="宋体"/>
                <w:kern w:val="0"/>
                <w:sz w:val="24"/>
                <w:highlight w:val="none"/>
                <w:lang w:val="en-US" w:eastAsia="zh-CN"/>
              </w:rPr>
              <w:t>1宗</w:t>
            </w:r>
          </w:p>
        </w:tc>
        <w:tc>
          <w:tcPr>
            <w:tcW w:w="4996"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default" w:ascii="仿宋" w:hAnsi="仿宋" w:eastAsia="仿宋" w:cs="宋体"/>
                <w:kern w:val="0"/>
                <w:sz w:val="24"/>
                <w:highlight w:val="none"/>
                <w:lang w:val="en-US" w:eastAsia="zh-CN"/>
              </w:rPr>
            </w:pPr>
            <w:r>
              <w:rPr>
                <w:rFonts w:hint="eastAsia" w:ascii="仿宋" w:hAnsi="仿宋" w:eastAsia="仿宋" w:cs="宋体"/>
                <w:kern w:val="0"/>
                <w:sz w:val="24"/>
                <w:highlight w:val="none"/>
                <w:lang w:val="en-US" w:eastAsia="zh-CN"/>
              </w:rPr>
              <w:t>水泥路面、机井等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2"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 w:hAnsi="仿宋" w:eastAsia="仿宋" w:cs="宋体"/>
                <w:kern w:val="0"/>
                <w:sz w:val="24"/>
                <w:highlight w:val="none"/>
                <w:lang w:val="en-US" w:eastAsia="zh-CN"/>
              </w:rPr>
            </w:pPr>
            <w:r>
              <w:rPr>
                <w:rFonts w:hint="eastAsia" w:ascii="仿宋" w:hAnsi="仿宋" w:eastAsia="仿宋" w:cs="宋体"/>
                <w:kern w:val="0"/>
                <w:sz w:val="24"/>
                <w:highlight w:val="none"/>
                <w:lang w:val="en-US" w:eastAsia="zh-CN"/>
              </w:rPr>
              <w:t>4</w:t>
            </w:r>
          </w:p>
        </w:tc>
        <w:tc>
          <w:tcPr>
            <w:tcW w:w="2083"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default" w:ascii="仿宋" w:hAnsi="仿宋" w:eastAsia="仿宋" w:cs="宋体"/>
                <w:kern w:val="0"/>
                <w:sz w:val="24"/>
                <w:highlight w:val="none"/>
                <w:lang w:val="en-US" w:eastAsia="zh-CN"/>
              </w:rPr>
            </w:pPr>
            <w:r>
              <w:rPr>
                <w:rFonts w:hint="eastAsia" w:ascii="仿宋" w:hAnsi="仿宋" w:eastAsia="仿宋" w:cs="宋体"/>
                <w:kern w:val="0"/>
                <w:sz w:val="24"/>
                <w:highlight w:val="none"/>
                <w:lang w:val="en-US" w:eastAsia="zh-CN"/>
              </w:rPr>
              <w:t>车辆</w:t>
            </w:r>
          </w:p>
        </w:tc>
        <w:tc>
          <w:tcPr>
            <w:tcW w:w="767"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default" w:ascii="仿宋" w:hAnsi="仿宋" w:eastAsia="仿宋" w:cs="宋体"/>
                <w:kern w:val="0"/>
                <w:sz w:val="24"/>
                <w:highlight w:val="none"/>
                <w:lang w:val="en-US" w:eastAsia="zh-CN"/>
              </w:rPr>
            </w:pPr>
            <w:r>
              <w:rPr>
                <w:rFonts w:hint="eastAsia" w:ascii="仿宋" w:hAnsi="仿宋" w:eastAsia="仿宋" w:cs="宋体"/>
                <w:kern w:val="0"/>
                <w:sz w:val="24"/>
                <w:highlight w:val="none"/>
                <w:lang w:val="en-US" w:eastAsia="zh-CN"/>
              </w:rPr>
              <w:t>4辆</w:t>
            </w:r>
          </w:p>
        </w:tc>
        <w:tc>
          <w:tcPr>
            <w:tcW w:w="4996" w:type="dxa"/>
            <w:noWrap w:val="0"/>
            <w:vAlign w:val="center"/>
          </w:tcPr>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jc w:val="center"/>
              <w:textAlignment w:val="auto"/>
              <w:rPr>
                <w:rFonts w:hint="eastAsia" w:ascii="仿宋" w:hAnsi="仿宋" w:eastAsia="仿宋" w:cs="宋体"/>
                <w:kern w:val="0"/>
                <w:sz w:val="24"/>
                <w:highlight w:val="none"/>
                <w:lang w:val="en-US" w:eastAsia="zh-CN"/>
              </w:rPr>
            </w:pPr>
            <w:r>
              <w:rPr>
                <w:rFonts w:hint="eastAsia" w:ascii="仿宋" w:hAnsi="仿宋" w:eastAsia="仿宋" w:cs="宋体"/>
                <w:kern w:val="0"/>
                <w:sz w:val="24"/>
                <w:highlight w:val="none"/>
              </w:rPr>
              <w:t>鲁Q5FE07、鲁Q5FG07、鲁Q5FA07、鲁Q5FC07</w:t>
            </w:r>
          </w:p>
        </w:tc>
      </w:tr>
    </w:tbl>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auto"/>
          <w:sz w:val="32"/>
          <w:szCs w:val="32"/>
        </w:rPr>
      </w:pPr>
      <w:r>
        <w:rPr>
          <w:rFonts w:hint="eastAsia" w:ascii="仿宋" w:hAnsi="仿宋" w:eastAsia="仿宋"/>
          <w:color w:val="auto"/>
          <w:sz w:val="32"/>
          <w:szCs w:val="32"/>
          <w:lang w:val="en-US" w:eastAsia="zh-CN"/>
        </w:rPr>
        <w:t>上述资产情况仅为管理人调查核实情况，具体情况请</w:t>
      </w:r>
      <w:r>
        <w:rPr>
          <w:rFonts w:hint="eastAsia" w:ascii="仿宋" w:hAnsi="仿宋" w:eastAsia="仿宋"/>
          <w:color w:val="auto"/>
          <w:sz w:val="32"/>
          <w:szCs w:val="32"/>
        </w:rPr>
        <w:t>意向重整投资人</w:t>
      </w:r>
      <w:r>
        <w:rPr>
          <w:rFonts w:hint="eastAsia" w:ascii="仿宋" w:hAnsi="仿宋" w:eastAsia="仿宋"/>
          <w:color w:val="auto"/>
          <w:sz w:val="32"/>
          <w:szCs w:val="32"/>
          <w:lang w:val="en-US" w:eastAsia="zh-CN"/>
        </w:rPr>
        <w:t>自行现场调查。</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hint="eastAsia" w:ascii="楷体" w:hAnsi="楷体" w:eastAsia="楷体"/>
          <w:color w:val="auto"/>
          <w:sz w:val="32"/>
          <w:szCs w:val="32"/>
          <w:lang w:eastAsia="zh-CN"/>
        </w:rPr>
      </w:pPr>
      <w:r>
        <w:rPr>
          <w:rFonts w:hint="eastAsia" w:ascii="楷体" w:hAnsi="楷体" w:eastAsia="楷体"/>
          <w:color w:val="auto"/>
          <w:sz w:val="32"/>
          <w:szCs w:val="32"/>
        </w:rPr>
        <w:t>（</w:t>
      </w:r>
      <w:r>
        <w:rPr>
          <w:rFonts w:hint="eastAsia" w:ascii="楷体" w:hAnsi="楷体" w:eastAsia="楷体"/>
          <w:color w:val="auto"/>
          <w:sz w:val="32"/>
          <w:szCs w:val="32"/>
          <w:lang w:val="en-US" w:eastAsia="zh-CN"/>
        </w:rPr>
        <w:t>三</w:t>
      </w:r>
      <w:r>
        <w:rPr>
          <w:rFonts w:ascii="楷体" w:hAnsi="楷体" w:eastAsia="楷体"/>
          <w:color w:val="auto"/>
          <w:sz w:val="32"/>
          <w:szCs w:val="32"/>
        </w:rPr>
        <w:t>）</w:t>
      </w:r>
      <w:r>
        <w:rPr>
          <w:rFonts w:hint="eastAsia" w:ascii="楷体" w:hAnsi="楷体" w:eastAsia="楷体"/>
          <w:color w:val="auto"/>
          <w:sz w:val="32"/>
          <w:szCs w:val="32"/>
        </w:rPr>
        <w:t>负债情况</w:t>
      </w:r>
      <w:r>
        <w:rPr>
          <w:rFonts w:hint="eastAsia" w:ascii="楷体" w:hAnsi="楷体" w:eastAsia="楷体"/>
          <w:color w:val="auto"/>
          <w:sz w:val="32"/>
          <w:szCs w:val="32"/>
          <w:lang w:eastAsia="zh-CN"/>
        </w:rPr>
        <w:t>。</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hint="eastAsia" w:ascii="仿宋" w:hAnsi="仿宋" w:eastAsia="仿宋"/>
          <w:color w:val="auto"/>
          <w:sz w:val="32"/>
          <w:szCs w:val="32"/>
        </w:rPr>
      </w:pPr>
      <w:r>
        <w:rPr>
          <w:rFonts w:hint="eastAsia" w:ascii="仿宋" w:hAnsi="仿宋" w:eastAsia="仿宋"/>
          <w:color w:val="auto"/>
          <w:sz w:val="32"/>
          <w:szCs w:val="32"/>
        </w:rPr>
        <w:t>截止本公告作出之日，共有</w:t>
      </w:r>
      <w:r>
        <w:rPr>
          <w:rFonts w:hint="eastAsia" w:ascii="仿宋" w:hAnsi="仿宋" w:eastAsia="仿宋"/>
          <w:color w:val="auto"/>
          <w:sz w:val="32"/>
          <w:szCs w:val="32"/>
          <w:lang w:val="en-US" w:eastAsia="zh-CN"/>
        </w:rPr>
        <w:t>55</w:t>
      </w:r>
      <w:r>
        <w:rPr>
          <w:rFonts w:hint="eastAsia" w:ascii="仿宋" w:hAnsi="仿宋" w:eastAsia="仿宋"/>
          <w:color w:val="auto"/>
          <w:sz w:val="32"/>
          <w:szCs w:val="32"/>
        </w:rPr>
        <w:t>户债权人申报债权，申报债权总额人民币5</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65亿</w:t>
      </w:r>
      <w:r>
        <w:rPr>
          <w:rFonts w:hint="eastAsia" w:ascii="仿宋" w:hAnsi="仿宋" w:eastAsia="仿宋"/>
          <w:color w:val="auto"/>
          <w:sz w:val="32"/>
          <w:szCs w:val="32"/>
        </w:rPr>
        <w:t>元；登记职工债权</w:t>
      </w:r>
      <w:r>
        <w:rPr>
          <w:rFonts w:hint="eastAsia" w:ascii="仿宋" w:hAnsi="仿宋" w:eastAsia="仿宋"/>
          <w:color w:val="auto"/>
          <w:sz w:val="32"/>
          <w:szCs w:val="32"/>
          <w:lang w:val="en-US" w:eastAsia="zh-CN"/>
        </w:rPr>
        <w:t>24</w:t>
      </w:r>
      <w:r>
        <w:rPr>
          <w:rFonts w:hint="eastAsia" w:ascii="仿宋" w:hAnsi="仿宋" w:eastAsia="仿宋"/>
          <w:color w:val="auto"/>
          <w:sz w:val="32"/>
          <w:szCs w:val="32"/>
        </w:rPr>
        <w:t>户，登记总额约人民币</w:t>
      </w:r>
      <w:r>
        <w:rPr>
          <w:rFonts w:hint="eastAsia" w:ascii="仿宋" w:hAnsi="仿宋" w:eastAsia="仿宋"/>
          <w:color w:val="auto"/>
          <w:sz w:val="32"/>
          <w:szCs w:val="32"/>
          <w:lang w:val="en-US" w:eastAsia="zh-CN"/>
        </w:rPr>
        <w:t>60</w:t>
      </w:r>
      <w:r>
        <w:rPr>
          <w:rFonts w:hint="eastAsia" w:ascii="仿宋" w:hAnsi="仿宋" w:eastAsia="仿宋"/>
          <w:color w:val="auto"/>
          <w:sz w:val="32"/>
          <w:szCs w:val="32"/>
        </w:rPr>
        <w:t>万元。上述债权审核确认工作正在进行中，债权性质及金额以法院裁定确认为准。同时，根据《中华人民共和国企业破产法》第九十二条之规定</w:t>
      </w:r>
      <w:r>
        <w:rPr>
          <w:rFonts w:hint="eastAsia" w:ascii="仿宋" w:hAnsi="仿宋" w:eastAsia="仿宋"/>
          <w:color w:val="auto"/>
          <w:sz w:val="32"/>
          <w:szCs w:val="32"/>
          <w:lang w:eastAsia="zh-CN"/>
        </w:rPr>
        <w:t>，</w:t>
      </w:r>
      <w:r>
        <w:rPr>
          <w:rFonts w:hint="eastAsia" w:ascii="仿宋" w:hAnsi="仿宋" w:eastAsia="仿宋"/>
          <w:color w:val="auto"/>
          <w:sz w:val="32"/>
          <w:szCs w:val="32"/>
        </w:rPr>
        <w:t>如未申报的债权人届时要求按重整计划规定的同类债权的清偿条件受偿的，</w:t>
      </w:r>
      <w:r>
        <w:rPr>
          <w:rFonts w:hint="eastAsia" w:ascii="仿宋" w:hAnsi="仿宋" w:eastAsia="仿宋"/>
          <w:color w:val="auto"/>
          <w:sz w:val="32"/>
          <w:szCs w:val="32"/>
          <w:lang w:val="en-US" w:eastAsia="zh-CN"/>
        </w:rPr>
        <w:t>鲁南粮油市场</w:t>
      </w:r>
      <w:r>
        <w:rPr>
          <w:rFonts w:hint="eastAsia" w:ascii="仿宋" w:hAnsi="仿宋" w:eastAsia="仿宋"/>
          <w:color w:val="auto"/>
          <w:sz w:val="32"/>
          <w:szCs w:val="32"/>
        </w:rPr>
        <w:t>应在重整投资人提供的偿债资金之外予以清偿</w:t>
      </w:r>
      <w:r>
        <w:rPr>
          <w:rFonts w:hint="eastAsia" w:ascii="仿宋" w:hAnsi="仿宋" w:eastAsia="仿宋"/>
          <w:color w:val="auto"/>
          <w:sz w:val="32"/>
          <w:szCs w:val="32"/>
          <w:lang w:eastAsia="zh-CN"/>
        </w:rPr>
        <w:t>，</w:t>
      </w:r>
      <w:r>
        <w:rPr>
          <w:rFonts w:hint="eastAsia" w:ascii="仿宋" w:hAnsi="仿宋" w:eastAsia="仿宋"/>
          <w:color w:val="auto"/>
          <w:sz w:val="32"/>
          <w:szCs w:val="32"/>
        </w:rPr>
        <w:t>意向重整投资人应充分考虑该因素。</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黑体" w:hAnsi="黑体" w:eastAsia="黑体"/>
          <w:b w:val="0"/>
          <w:bCs/>
          <w:color w:val="000000"/>
          <w:sz w:val="32"/>
          <w:szCs w:val="32"/>
        </w:rPr>
      </w:pPr>
      <w:r>
        <w:rPr>
          <w:rFonts w:hint="eastAsia" w:ascii="黑体" w:hAnsi="黑体" w:eastAsia="黑体"/>
          <w:b w:val="0"/>
          <w:bCs/>
          <w:color w:val="000000"/>
          <w:sz w:val="32"/>
          <w:szCs w:val="32"/>
        </w:rPr>
        <w:t>二、意向重整投资人基本条件</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意向重整投资人需同时具备以下条件：</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（一）合法设立并有效存续的企业法人，无作为被执行人执行数额较大的案件，最近三年无重大违法行为。</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（二）具有较高社会责任感，具有良好的财务状况、支付能力、投资能力和建设能力。</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（三）拥有足够的资金实力进行重整投资，并提供相应的资信证明。</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黑体" w:hAnsi="黑体" w:eastAsia="黑体"/>
          <w:b w:val="0"/>
          <w:bCs/>
          <w:color w:val="000000"/>
          <w:sz w:val="32"/>
          <w:szCs w:val="32"/>
        </w:rPr>
      </w:pPr>
      <w:r>
        <w:rPr>
          <w:rFonts w:hint="eastAsia" w:ascii="黑体" w:hAnsi="黑体" w:eastAsia="黑体"/>
          <w:b w:val="0"/>
          <w:bCs/>
          <w:color w:val="000000"/>
          <w:sz w:val="32"/>
          <w:szCs w:val="32"/>
        </w:rPr>
        <w:t>三、报名及招募文件的领取</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（一）报名时间：本次招募报名时间自本公告发布之日时起，至</w:t>
      </w:r>
      <w:r>
        <w:rPr>
          <w:rFonts w:hint="eastAsia" w:ascii="仿宋" w:hAnsi="仿宋" w:eastAsia="仿宋"/>
          <w:sz w:val="32"/>
          <w:szCs w:val="32"/>
          <w:highlight w:val="none"/>
          <w:lang w:val="en-US" w:eastAsia="zh-CN"/>
        </w:rPr>
        <w:t>2024</w:t>
      </w:r>
      <w:r>
        <w:rPr>
          <w:rFonts w:hint="eastAsia" w:ascii="仿宋" w:hAnsi="仿宋" w:eastAsia="仿宋"/>
          <w:sz w:val="32"/>
          <w:szCs w:val="32"/>
          <w:highlight w:val="none"/>
        </w:rPr>
        <w:t>年</w:t>
      </w:r>
      <w:r>
        <w:rPr>
          <w:rFonts w:hint="eastAsia" w:ascii="仿宋" w:hAnsi="仿宋" w:eastAsia="仿宋"/>
          <w:sz w:val="32"/>
          <w:szCs w:val="32"/>
          <w:highlight w:val="none"/>
          <w:lang w:val="en-US" w:eastAsia="zh-CN"/>
        </w:rPr>
        <w:t>1</w:t>
      </w:r>
      <w:r>
        <w:rPr>
          <w:rFonts w:ascii="仿宋" w:hAnsi="仿宋" w:eastAsia="仿宋"/>
          <w:sz w:val="32"/>
          <w:szCs w:val="32"/>
          <w:highlight w:val="none"/>
        </w:rPr>
        <w:t>月</w:t>
      </w:r>
      <w:r>
        <w:rPr>
          <w:rFonts w:hint="eastAsia" w:ascii="仿宋" w:hAnsi="仿宋" w:eastAsia="仿宋"/>
          <w:sz w:val="32"/>
          <w:szCs w:val="32"/>
          <w:highlight w:val="none"/>
          <w:lang w:val="en-US" w:eastAsia="zh-CN"/>
        </w:rPr>
        <w:t>8</w:t>
      </w:r>
      <w:r>
        <w:rPr>
          <w:rFonts w:hint="eastAsia" w:ascii="仿宋" w:hAnsi="仿宋" w:eastAsia="仿宋"/>
          <w:sz w:val="32"/>
          <w:szCs w:val="32"/>
          <w:highlight w:val="none"/>
        </w:rPr>
        <w:t>日</w:t>
      </w:r>
      <w:r>
        <w:rPr>
          <w:rFonts w:hint="eastAsia" w:ascii="仿宋" w:hAnsi="仿宋" w:eastAsia="仿宋"/>
          <w:sz w:val="32"/>
          <w:szCs w:val="32"/>
          <w:highlight w:val="none"/>
          <w:lang w:val="en-US" w:eastAsia="zh-CN"/>
        </w:rPr>
        <w:t>下午5时</w:t>
      </w:r>
      <w:r>
        <w:rPr>
          <w:rFonts w:hint="eastAsia" w:ascii="仿宋" w:hAnsi="仿宋" w:eastAsia="仿宋"/>
          <w:sz w:val="32"/>
          <w:szCs w:val="32"/>
          <w:highlight w:val="none"/>
        </w:rPr>
        <w:t>止。</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（二）报名方式：意向重整投资人需按照本公告第四条规定，于工作日现场提交书面材料进行报名。管理人确认以下通讯地址为报名材料接收地址：</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地址：山东省临</w:t>
      </w:r>
      <w:r>
        <w:rPr>
          <w:rFonts w:hint="eastAsia" w:ascii="仿宋" w:hAnsi="仿宋" w:eastAsia="仿宋"/>
          <w:color w:val="000000"/>
          <w:sz w:val="32"/>
          <w:szCs w:val="32"/>
          <w:lang w:val="en-US" w:eastAsia="zh-CN"/>
        </w:rPr>
        <w:t>沂市罗庄区盛庄街道办事处十里堡村（沂州路与沂河路交汇处向南200米）管理人办公室</w:t>
      </w:r>
      <w:r>
        <w:rPr>
          <w:rFonts w:hint="eastAsia" w:ascii="仿宋" w:hAnsi="仿宋" w:eastAsia="仿宋"/>
          <w:color w:val="000000"/>
          <w:sz w:val="32"/>
          <w:szCs w:val="32"/>
        </w:rPr>
        <w:t>。</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联系人：</w:t>
      </w:r>
      <w:r>
        <w:rPr>
          <w:rFonts w:hint="eastAsia" w:ascii="仿宋" w:hAnsi="仿宋" w:eastAsia="仿宋"/>
          <w:color w:val="000000"/>
          <w:sz w:val="32"/>
          <w:szCs w:val="32"/>
          <w:lang w:val="en-US" w:eastAsia="zh-CN"/>
        </w:rPr>
        <w:t xml:space="preserve">孙经理  </w:t>
      </w:r>
      <w:r>
        <w:rPr>
          <w:rFonts w:hint="eastAsia" w:ascii="仿宋" w:hAnsi="仿宋" w:eastAsia="仿宋"/>
          <w:color w:val="000000"/>
          <w:sz w:val="32"/>
          <w:szCs w:val="32"/>
        </w:rPr>
        <w:t>联系电话：</w:t>
      </w:r>
      <w:r>
        <w:rPr>
          <w:rFonts w:hint="eastAsia" w:ascii="仿宋" w:hAnsi="仿宋" w:eastAsia="仿宋"/>
          <w:sz w:val="32"/>
          <w:szCs w:val="32"/>
          <w:lang w:val="en-US" w:eastAsia="zh-CN"/>
        </w:rPr>
        <w:t>17853976736</w:t>
      </w:r>
      <w:r>
        <w:rPr>
          <w:rFonts w:hint="eastAsia" w:ascii="仿宋" w:hAnsi="仿宋" w:eastAsia="仿宋"/>
          <w:sz w:val="32"/>
          <w:szCs w:val="32"/>
        </w:rPr>
        <w:t>。</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（三）</w:t>
      </w:r>
      <w:r>
        <w:rPr>
          <w:rFonts w:hint="eastAsia" w:ascii="仿宋" w:hAnsi="仿宋" w:eastAsia="仿宋"/>
          <w:sz w:val="32"/>
          <w:szCs w:val="32"/>
        </w:rPr>
        <w:t>招募文件的领取：意向重整投资人报名并提交报名材料经管理人审核通过后获取招募文件。</w:t>
      </w:r>
      <w:r>
        <w:rPr>
          <w:rFonts w:ascii="仿宋" w:hAnsi="仿宋" w:eastAsia="仿宋"/>
          <w:color w:val="000000"/>
          <w:sz w:val="32"/>
          <w:szCs w:val="32"/>
        </w:rPr>
        <w:t xml:space="preserve"> </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黑体" w:hAnsi="黑体" w:eastAsia="黑体"/>
          <w:b w:val="0"/>
          <w:bCs/>
          <w:color w:val="000000"/>
          <w:sz w:val="32"/>
          <w:szCs w:val="32"/>
        </w:rPr>
      </w:pPr>
      <w:r>
        <w:rPr>
          <w:rFonts w:hint="eastAsia" w:ascii="黑体" w:hAnsi="黑体" w:eastAsia="黑体"/>
          <w:b w:val="0"/>
          <w:bCs/>
          <w:color w:val="000000"/>
          <w:sz w:val="32"/>
          <w:szCs w:val="32"/>
        </w:rPr>
        <w:t>四、意向重整投资人报名时需提交的材料</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（一）参与</w:t>
      </w:r>
      <w:r>
        <w:rPr>
          <w:rFonts w:hint="eastAsia" w:ascii="仿宋" w:hAnsi="仿宋" w:eastAsia="仿宋"/>
          <w:sz w:val="32"/>
          <w:szCs w:val="32"/>
        </w:rPr>
        <w:t>重整投资报名申请表及意</w:t>
      </w:r>
      <w:r>
        <w:rPr>
          <w:rFonts w:hint="eastAsia" w:ascii="仿宋" w:hAnsi="仿宋" w:eastAsia="仿宋"/>
          <w:color w:val="000000"/>
          <w:sz w:val="32"/>
          <w:szCs w:val="32"/>
        </w:rPr>
        <w:t>向重整投资人的基本情况、业绩情况介绍。（申请表请联系管理人获取电子版，企业法人须有法定代表人签名并加盖公司印章）；</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（二）主体材料，包括企业法人营业执照复印件、法定代表人身份证明、身份证复印件、企业简介及相关资质与业绩材料等；</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（三）资信证明，说明财务状况和资金实力；如与债务人的产业存在关联或具有经营管理经验和优势的可一并说明；</w:t>
      </w:r>
      <w:r>
        <w:rPr>
          <w:rFonts w:ascii="仿宋" w:hAnsi="仿宋" w:eastAsia="仿宋"/>
          <w:color w:val="000000"/>
          <w:sz w:val="32"/>
          <w:szCs w:val="32"/>
        </w:rPr>
        <w:t xml:space="preserve"> </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（四）意向重整投资人董事会、股东（大）会等决策机构同意重整投资的决议原件；</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（五）载明意向重整投资人联系地址、联系人、联系电话的送达地址确认书；</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（六）授权委托材料，包括载明经办人或者委托代理人姓名、联系方式、授权范围的书面授权委托书（须加盖公章）、受托人身份证复印件；</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（七）</w:t>
      </w:r>
      <w:r>
        <w:rPr>
          <w:rFonts w:ascii="仿宋" w:hAnsi="仿宋" w:eastAsia="仿宋"/>
          <w:color w:val="000000"/>
          <w:sz w:val="32"/>
          <w:szCs w:val="32"/>
        </w:rPr>
        <w:t>有意向参与重整投资者，应在报名时通过</w:t>
      </w:r>
      <w:r>
        <w:rPr>
          <w:rFonts w:hint="eastAsia" w:ascii="仿宋" w:hAnsi="仿宋" w:eastAsia="仿宋"/>
          <w:color w:val="000000"/>
          <w:sz w:val="32"/>
          <w:szCs w:val="32"/>
        </w:rPr>
        <w:t>意向重整投资人公户</w:t>
      </w:r>
      <w:r>
        <w:rPr>
          <w:rFonts w:ascii="仿宋" w:hAnsi="仿宋" w:eastAsia="仿宋"/>
          <w:color w:val="000000"/>
          <w:sz w:val="32"/>
          <w:szCs w:val="32"/>
        </w:rPr>
        <w:t>向管理人</w:t>
      </w:r>
      <w:r>
        <w:rPr>
          <w:rFonts w:hint="eastAsia" w:ascii="仿宋" w:hAnsi="仿宋" w:eastAsia="仿宋"/>
          <w:color w:val="000000"/>
          <w:sz w:val="32"/>
          <w:szCs w:val="32"/>
        </w:rPr>
        <w:t>预付投资</w:t>
      </w:r>
      <w:r>
        <w:rPr>
          <w:rFonts w:ascii="仿宋" w:hAnsi="仿宋" w:eastAsia="仿宋"/>
          <w:color w:val="000000"/>
          <w:sz w:val="32"/>
          <w:szCs w:val="32"/>
        </w:rPr>
        <w:t>保证金</w:t>
      </w:r>
      <w:r>
        <w:rPr>
          <w:rFonts w:hint="eastAsia" w:ascii="仿宋" w:hAnsi="仿宋" w:eastAsia="仿宋"/>
          <w:color w:val="000000"/>
          <w:sz w:val="32"/>
          <w:szCs w:val="32"/>
        </w:rPr>
        <w:t>人民币</w:t>
      </w:r>
      <w:r>
        <w:rPr>
          <w:rFonts w:hint="eastAsia" w:ascii="仿宋" w:hAnsi="仿宋" w:eastAsia="仿宋"/>
          <w:color w:val="000000"/>
          <w:sz w:val="32"/>
          <w:szCs w:val="32"/>
          <w:lang w:val="en-US" w:eastAsia="zh-CN"/>
        </w:rPr>
        <w:t>300</w:t>
      </w:r>
      <w:r>
        <w:rPr>
          <w:rFonts w:ascii="仿宋" w:hAnsi="仿宋" w:eastAsia="仿宋"/>
          <w:color w:val="000000"/>
          <w:sz w:val="32"/>
          <w:szCs w:val="32"/>
        </w:rPr>
        <w:t>万元（</w:t>
      </w:r>
      <w:r>
        <w:rPr>
          <w:rFonts w:hint="eastAsia" w:ascii="仿宋" w:hAnsi="仿宋" w:eastAsia="仿宋"/>
          <w:color w:val="000000"/>
          <w:sz w:val="32"/>
          <w:szCs w:val="32"/>
        </w:rPr>
        <w:t>报名时提交汇款凭据）</w:t>
      </w:r>
      <w:r>
        <w:rPr>
          <w:rFonts w:ascii="仿宋" w:hAnsi="仿宋" w:eastAsia="仿宋"/>
          <w:color w:val="000000"/>
          <w:sz w:val="32"/>
          <w:szCs w:val="32"/>
        </w:rPr>
        <w:t>，</w:t>
      </w:r>
      <w:r>
        <w:rPr>
          <w:rFonts w:hint="eastAsia" w:ascii="仿宋" w:hAnsi="仿宋" w:eastAsia="仿宋"/>
          <w:color w:val="000000"/>
          <w:sz w:val="32"/>
          <w:szCs w:val="32"/>
        </w:rPr>
        <w:t>汇款转入管理人以下账户：</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 xml:space="preserve">户 </w:t>
      </w:r>
      <w:r>
        <w:rPr>
          <w:rFonts w:ascii="仿宋" w:hAnsi="仿宋" w:eastAsia="仿宋"/>
          <w:color w:val="000000"/>
          <w:sz w:val="32"/>
          <w:szCs w:val="32"/>
        </w:rPr>
        <w:t xml:space="preserve"> </w:t>
      </w:r>
      <w:r>
        <w:rPr>
          <w:rFonts w:hint="eastAsia" w:ascii="仿宋" w:hAnsi="仿宋" w:eastAsia="仿宋"/>
          <w:color w:val="000000"/>
          <w:sz w:val="32"/>
          <w:szCs w:val="32"/>
        </w:rPr>
        <w:t>名：临沂鲁南国际粮油市场物流服务有限公司管理人</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sz w:val="32"/>
          <w:szCs w:val="32"/>
        </w:rPr>
      </w:pPr>
      <w:r>
        <w:rPr>
          <w:rFonts w:hint="eastAsia" w:ascii="仿宋" w:hAnsi="仿宋" w:eastAsia="仿宋"/>
          <w:sz w:val="32"/>
          <w:szCs w:val="32"/>
        </w:rPr>
        <w:t>开户行：临商银行罗庄支行</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sz w:val="32"/>
          <w:szCs w:val="32"/>
        </w:rPr>
      </w:pPr>
      <w:r>
        <w:rPr>
          <w:rFonts w:hint="eastAsia" w:ascii="仿宋" w:hAnsi="仿宋" w:eastAsia="仿宋"/>
          <w:sz w:val="32"/>
          <w:szCs w:val="32"/>
        </w:rPr>
        <w:t xml:space="preserve">账 </w:t>
      </w:r>
      <w:r>
        <w:rPr>
          <w:rFonts w:ascii="仿宋" w:hAnsi="仿宋" w:eastAsia="仿宋"/>
          <w:sz w:val="32"/>
          <w:szCs w:val="32"/>
        </w:rPr>
        <w:t xml:space="preserve"> </w:t>
      </w:r>
      <w:r>
        <w:rPr>
          <w:rFonts w:hint="eastAsia" w:ascii="仿宋" w:hAnsi="仿宋" w:eastAsia="仿宋"/>
          <w:sz w:val="32"/>
          <w:szCs w:val="32"/>
        </w:rPr>
        <w:t>号：818200101421012847</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hint="default" w:ascii="仿宋" w:hAnsi="仿宋" w:eastAsia="仿宋"/>
          <w:color w:val="000000"/>
          <w:sz w:val="32"/>
          <w:szCs w:val="32"/>
          <w:lang w:val="en-US" w:eastAsia="zh-CN"/>
        </w:rPr>
      </w:pPr>
      <w:r>
        <w:rPr>
          <w:rFonts w:hint="eastAsia" w:ascii="仿宋" w:hAnsi="仿宋" w:eastAsia="仿宋"/>
          <w:color w:val="000000"/>
          <w:sz w:val="32"/>
          <w:szCs w:val="32"/>
        </w:rPr>
        <w:t>（八）符合报名条件且提交资料准确齐全的，经管理人资格审查通过后，报名成功。报名成功的意向重整投资人同管理人签订《保密协议》后，可以开展尽职调查，管理人配合提供相关资料。意向重整投资人调查结束，决定继续参选的，需在提交重整投资文件之前，续缴投资保证金</w:t>
      </w:r>
      <w:r>
        <w:rPr>
          <w:rFonts w:hint="eastAsia" w:ascii="仿宋" w:hAnsi="仿宋" w:eastAsia="仿宋"/>
          <w:color w:val="000000"/>
          <w:sz w:val="32"/>
          <w:szCs w:val="32"/>
          <w:lang w:val="en-US" w:eastAsia="zh-CN"/>
        </w:rPr>
        <w:t>2000</w:t>
      </w:r>
      <w:r>
        <w:rPr>
          <w:rFonts w:hint="eastAsia" w:ascii="仿宋" w:hAnsi="仿宋" w:eastAsia="仿宋"/>
          <w:color w:val="000000"/>
          <w:sz w:val="32"/>
          <w:szCs w:val="32"/>
        </w:rPr>
        <w:t>万元，连同报名时预付投资保证金</w:t>
      </w:r>
      <w:r>
        <w:rPr>
          <w:rFonts w:hint="eastAsia" w:ascii="仿宋" w:hAnsi="仿宋" w:eastAsia="仿宋"/>
          <w:color w:val="000000"/>
          <w:sz w:val="32"/>
          <w:szCs w:val="32"/>
          <w:lang w:val="en-US" w:eastAsia="zh-CN"/>
        </w:rPr>
        <w:t>300</w:t>
      </w:r>
      <w:r>
        <w:rPr>
          <w:rFonts w:hint="eastAsia" w:ascii="仿宋" w:hAnsi="仿宋" w:eastAsia="仿宋"/>
          <w:color w:val="000000"/>
          <w:sz w:val="32"/>
          <w:szCs w:val="32"/>
        </w:rPr>
        <w:t>万元共计缴纳投资保证金</w:t>
      </w:r>
      <w:r>
        <w:rPr>
          <w:rFonts w:hint="eastAsia" w:ascii="仿宋" w:hAnsi="仿宋" w:eastAsia="仿宋"/>
          <w:color w:val="000000"/>
          <w:sz w:val="32"/>
          <w:szCs w:val="32"/>
          <w:lang w:val="en-US" w:eastAsia="zh-CN"/>
        </w:rPr>
        <w:t>2300</w:t>
      </w:r>
      <w:r>
        <w:rPr>
          <w:rFonts w:hint="eastAsia" w:ascii="仿宋" w:hAnsi="仿宋" w:eastAsia="仿宋"/>
          <w:color w:val="000000"/>
          <w:sz w:val="32"/>
          <w:szCs w:val="32"/>
        </w:rPr>
        <w:t>万元整</w:t>
      </w:r>
      <w:r>
        <w:rPr>
          <w:rFonts w:ascii="仿宋" w:hAnsi="仿宋" w:eastAsia="仿宋"/>
          <w:color w:val="000000"/>
          <w:sz w:val="32"/>
          <w:szCs w:val="32"/>
        </w:rPr>
        <w:t>（保证金缴存期间不计利息）</w:t>
      </w:r>
      <w:r>
        <w:rPr>
          <w:rFonts w:hint="eastAsia" w:ascii="仿宋" w:hAnsi="仿宋" w:eastAsia="仿宋"/>
          <w:color w:val="000000"/>
          <w:sz w:val="32"/>
          <w:szCs w:val="32"/>
        </w:rPr>
        <w:t>。</w:t>
      </w:r>
      <w:r>
        <w:rPr>
          <w:rFonts w:hint="eastAsia" w:ascii="仿宋" w:hAnsi="仿宋" w:eastAsia="仿宋"/>
          <w:color w:val="000000"/>
          <w:sz w:val="32"/>
          <w:szCs w:val="32"/>
          <w:lang w:val="en-US" w:eastAsia="zh-CN"/>
        </w:rPr>
        <w:t>如被选定，2300</w:t>
      </w:r>
      <w:r>
        <w:rPr>
          <w:rFonts w:hint="eastAsia" w:ascii="仿宋" w:hAnsi="仿宋" w:eastAsia="仿宋"/>
          <w:color w:val="000000"/>
          <w:sz w:val="32"/>
          <w:szCs w:val="32"/>
        </w:rPr>
        <w:t>万元</w:t>
      </w:r>
      <w:r>
        <w:rPr>
          <w:rFonts w:hint="eastAsia" w:ascii="仿宋" w:hAnsi="仿宋" w:eastAsia="仿宋"/>
          <w:color w:val="000000"/>
          <w:sz w:val="32"/>
          <w:szCs w:val="32"/>
          <w:lang w:val="en-US" w:eastAsia="zh-CN"/>
        </w:rPr>
        <w:t>保证金转为重整投资；如未被选定，2300</w:t>
      </w:r>
      <w:r>
        <w:rPr>
          <w:rFonts w:hint="eastAsia" w:ascii="仿宋" w:hAnsi="仿宋" w:eastAsia="仿宋"/>
          <w:color w:val="000000"/>
          <w:sz w:val="32"/>
          <w:szCs w:val="32"/>
        </w:rPr>
        <w:t>万元</w:t>
      </w:r>
      <w:r>
        <w:rPr>
          <w:rFonts w:hint="eastAsia" w:ascii="仿宋" w:hAnsi="仿宋" w:eastAsia="仿宋"/>
          <w:color w:val="000000"/>
          <w:sz w:val="32"/>
          <w:szCs w:val="32"/>
          <w:lang w:val="en-US" w:eastAsia="zh-CN"/>
        </w:rPr>
        <w:t>保证金在七日内无息原路退还。</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（九）管理人要求提交的其他相关材料。</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黑体" w:hAnsi="黑体" w:eastAsia="黑体"/>
          <w:b w:val="0"/>
          <w:bCs/>
          <w:color w:val="000000"/>
          <w:sz w:val="32"/>
          <w:szCs w:val="32"/>
        </w:rPr>
      </w:pPr>
      <w:r>
        <w:rPr>
          <w:rFonts w:hint="eastAsia" w:ascii="黑体" w:hAnsi="黑体" w:eastAsia="黑体"/>
          <w:b w:val="0"/>
          <w:bCs/>
          <w:color w:val="000000"/>
          <w:sz w:val="32"/>
          <w:szCs w:val="32"/>
        </w:rPr>
        <w:t>五、特别提示</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（一）本次招募</w:t>
      </w:r>
      <w:r>
        <w:rPr>
          <w:rFonts w:hint="eastAsia" w:ascii="仿宋" w:hAnsi="仿宋" w:eastAsia="仿宋"/>
          <w:color w:val="000000"/>
          <w:sz w:val="32"/>
          <w:szCs w:val="32"/>
          <w:lang w:val="en-US" w:eastAsia="zh-CN"/>
        </w:rPr>
        <w:t>本着</w:t>
      </w:r>
      <w:r>
        <w:rPr>
          <w:rFonts w:hint="eastAsia" w:ascii="仿宋" w:hAnsi="仿宋" w:eastAsia="仿宋"/>
          <w:color w:val="000000"/>
          <w:sz w:val="32"/>
          <w:szCs w:val="32"/>
        </w:rPr>
        <w:t>公开、公平、公正为原则，面向社会招募意向重整投资人。意向重整投资人向管理人提交相关资料的，视为认同本公告所公示全部内容、同意按</w:t>
      </w:r>
      <w:r>
        <w:rPr>
          <w:rFonts w:hint="eastAsia" w:ascii="仿宋" w:hAnsi="仿宋" w:eastAsia="仿宋"/>
          <w:color w:val="000000"/>
          <w:sz w:val="32"/>
          <w:szCs w:val="32"/>
          <w:lang w:val="en-US" w:eastAsia="zh-CN"/>
        </w:rPr>
        <w:t>鲁南粮油市场</w:t>
      </w:r>
      <w:r>
        <w:rPr>
          <w:rFonts w:hint="eastAsia" w:ascii="仿宋" w:hAnsi="仿宋" w:eastAsia="仿宋"/>
          <w:color w:val="000000"/>
          <w:sz w:val="32"/>
          <w:szCs w:val="32"/>
        </w:rPr>
        <w:t>现状进行投资，自行承担相关投资风险。</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二）关于公司的历史沿革、股权结构现状、开发现状、员工情况、税费情况、主要资产和负债现状等详细信息，请意向重整投资人以自行开展尽职调查的方式获取，因调查发生的费用自理。提交重整投资文件视为同意按</w:t>
      </w:r>
      <w:r>
        <w:rPr>
          <w:rFonts w:hint="eastAsia" w:ascii="仿宋" w:hAnsi="仿宋" w:eastAsia="仿宋"/>
          <w:color w:val="000000"/>
          <w:sz w:val="32"/>
          <w:szCs w:val="32"/>
          <w:lang w:val="en-US" w:eastAsia="zh-CN"/>
        </w:rPr>
        <w:t>鲁南粮油市场</w:t>
      </w:r>
      <w:r>
        <w:rPr>
          <w:rFonts w:hint="eastAsia" w:ascii="仿宋" w:hAnsi="仿宋" w:eastAsia="仿宋"/>
          <w:color w:val="000000"/>
          <w:sz w:val="32"/>
          <w:szCs w:val="32"/>
        </w:rPr>
        <w:t>现状进行投资，本招募公告并不当然替代意向重整投资人的尽职调查。</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（三）如出现影响项目重整的重大事项或人民法院提出要求，管理人可以中止或撤回本招募计划。本招募计划中止或撤回的，管理人无需对意向重整投资人所投入的工作进行任何补偿。</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（四）本项目不接受挂靠或借用资质等形式的单位进行投资。</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color w:val="000000"/>
          <w:sz w:val="32"/>
          <w:szCs w:val="32"/>
        </w:rPr>
      </w:pPr>
      <w:r>
        <w:rPr>
          <w:rFonts w:hint="eastAsia" w:ascii="仿宋" w:hAnsi="仿宋" w:eastAsia="仿宋"/>
          <w:color w:val="000000"/>
          <w:sz w:val="32"/>
          <w:szCs w:val="32"/>
        </w:rPr>
        <w:t>（五）本次重整投资人招募公告非要约文件，不适用《招标投标法》，管理人有权对本公告内容进行调整与变更，解释权属于管理人。</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ascii="仿宋" w:hAnsi="仿宋" w:eastAsia="仿宋"/>
          <w:sz w:val="32"/>
          <w:szCs w:val="32"/>
        </w:rPr>
      </w:pPr>
      <w:r>
        <w:rPr>
          <w:rFonts w:hint="eastAsia" w:ascii="仿宋" w:hAnsi="仿宋" w:eastAsia="仿宋"/>
          <w:sz w:val="32"/>
          <w:szCs w:val="32"/>
        </w:rPr>
        <w:t>（六）本公告与债权人会议决议不一致的，以债权人会议决议为准。</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hint="eastAsia" w:ascii="仿宋" w:hAnsi="仿宋" w:eastAsia="仿宋"/>
          <w:color w:val="000000"/>
          <w:sz w:val="32"/>
          <w:szCs w:val="32"/>
        </w:rPr>
      </w:pPr>
      <w:r>
        <w:rPr>
          <w:rFonts w:hint="eastAsia" w:ascii="仿宋" w:hAnsi="仿宋" w:eastAsia="仿宋"/>
          <w:color w:val="000000"/>
          <w:sz w:val="32"/>
          <w:szCs w:val="32"/>
        </w:rPr>
        <w:t>欢迎有实力的单位前来接洽、参与重整投资。</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hint="eastAsia" w:ascii="仿宋" w:hAnsi="仿宋" w:eastAsia="仿宋"/>
          <w:color w:val="000000"/>
          <w:sz w:val="32"/>
          <w:szCs w:val="32"/>
        </w:rPr>
      </w:pP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hint="eastAsia" w:ascii="仿宋" w:hAnsi="仿宋" w:eastAsia="仿宋"/>
          <w:color w:val="000000"/>
          <w:sz w:val="32"/>
          <w:szCs w:val="32"/>
        </w:rPr>
      </w:pPr>
      <w:r>
        <w:rPr>
          <w:rFonts w:hint="eastAsia" w:ascii="仿宋" w:hAnsi="仿宋" w:eastAsia="仿宋"/>
          <w:color w:val="000000"/>
          <w:sz w:val="32"/>
          <w:szCs w:val="32"/>
        </w:rPr>
        <w:t>附件：1.临沂鲁南国际粮油市场物流服务有限公司重整投资人报名申请表</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hint="eastAsia" w:ascii="仿宋" w:hAnsi="仿宋" w:eastAsia="仿宋"/>
          <w:color w:val="000000"/>
          <w:sz w:val="32"/>
          <w:szCs w:val="32"/>
        </w:rPr>
      </w:pP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1600" w:firstLineChars="500"/>
        <w:contextualSpacing/>
        <w:jc w:val="both"/>
        <w:textAlignment w:val="auto"/>
        <w:rPr>
          <w:rFonts w:ascii="仿宋" w:hAnsi="仿宋" w:eastAsia="仿宋"/>
          <w:color w:val="000000"/>
          <w:sz w:val="32"/>
          <w:szCs w:val="32"/>
        </w:rPr>
      </w:pPr>
      <w:r>
        <w:rPr>
          <w:rFonts w:ascii="仿宋" w:hAnsi="仿宋" w:eastAsia="仿宋"/>
          <w:color w:val="000000"/>
          <w:sz w:val="32"/>
          <w:szCs w:val="32"/>
        </w:rPr>
        <w:t xml:space="preserve"> </w:t>
      </w:r>
      <w:r>
        <w:rPr>
          <w:rFonts w:hint="eastAsia" w:ascii="仿宋" w:hAnsi="仿宋" w:eastAsia="仿宋"/>
          <w:color w:val="000000"/>
          <w:sz w:val="32"/>
          <w:szCs w:val="32"/>
        </w:rPr>
        <w:t>临沂鲁南国际粮油市场物流服务有限公司管理人</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left="0" w:firstLine="640" w:firstLineChars="200"/>
        <w:contextualSpacing/>
        <w:jc w:val="both"/>
        <w:textAlignment w:val="auto"/>
        <w:rPr>
          <w:rFonts w:hint="default" w:eastAsia="仿宋"/>
          <w:lang w:val="en-US" w:eastAsia="zh-CN"/>
        </w:rPr>
      </w:pPr>
      <w:r>
        <w:rPr>
          <w:rFonts w:hint="eastAsia" w:ascii="仿宋" w:hAnsi="仿宋" w:eastAsia="仿宋"/>
          <w:color w:val="000000"/>
          <w:sz w:val="32"/>
          <w:szCs w:val="32"/>
        </w:rPr>
        <w:t xml:space="preserve"> </w:t>
      </w:r>
      <w:r>
        <w:rPr>
          <w:rFonts w:ascii="仿宋" w:hAnsi="仿宋" w:eastAsia="仿宋"/>
          <w:color w:val="000000"/>
          <w:sz w:val="32"/>
          <w:szCs w:val="32"/>
        </w:rPr>
        <w:t xml:space="preserve">                 </w:t>
      </w:r>
      <w:r>
        <w:rPr>
          <w:rFonts w:hint="eastAsia" w:ascii="仿宋" w:hAnsi="仿宋" w:eastAsia="仿宋"/>
          <w:color w:val="000000"/>
          <w:sz w:val="32"/>
          <w:szCs w:val="32"/>
          <w:highlight w:val="none"/>
        </w:rPr>
        <w:t>二〇二</w:t>
      </w:r>
      <w:bookmarkStart w:id="2" w:name="_GoBack"/>
      <w:bookmarkEnd w:id="2"/>
      <w:r>
        <w:rPr>
          <w:rFonts w:hint="eastAsia" w:ascii="仿宋" w:hAnsi="仿宋" w:eastAsia="仿宋"/>
          <w:color w:val="000000"/>
          <w:sz w:val="32"/>
          <w:szCs w:val="32"/>
          <w:highlight w:val="none"/>
        </w:rPr>
        <w:t>三年</w:t>
      </w:r>
      <w:r>
        <w:rPr>
          <w:rFonts w:hint="eastAsia" w:ascii="仿宋" w:hAnsi="仿宋" w:eastAsia="仿宋"/>
          <w:color w:val="000000"/>
          <w:sz w:val="32"/>
          <w:szCs w:val="32"/>
          <w:highlight w:val="none"/>
          <w:lang w:val="en-US" w:eastAsia="zh-CN"/>
        </w:rPr>
        <w:t>十二</w:t>
      </w:r>
      <w:r>
        <w:rPr>
          <w:rFonts w:hint="eastAsia" w:ascii="仿宋" w:hAnsi="仿宋" w:eastAsia="仿宋"/>
          <w:color w:val="000000"/>
          <w:sz w:val="32"/>
          <w:szCs w:val="32"/>
          <w:highlight w:val="none"/>
        </w:rPr>
        <w:t>月</w:t>
      </w:r>
      <w:r>
        <w:rPr>
          <w:rFonts w:hint="eastAsia" w:ascii="仿宋" w:hAnsi="仿宋" w:eastAsia="仿宋"/>
          <w:sz w:val="32"/>
          <w:szCs w:val="32"/>
          <w:highlight w:val="none"/>
          <w:lang w:val="en-US" w:eastAsia="zh-CN"/>
        </w:rPr>
        <w:t>二十三</w:t>
      </w:r>
      <w:r>
        <w:rPr>
          <w:rFonts w:hint="eastAsia" w:ascii="仿宋" w:hAnsi="仿宋" w:eastAsia="仿宋"/>
          <w:color w:val="000000"/>
          <w:sz w:val="32"/>
          <w:szCs w:val="32"/>
          <w:highlight w:val="none"/>
        </w:rPr>
        <w:t>日</w:t>
      </w:r>
      <w:bookmarkEnd w:id="1"/>
    </w:p>
    <w:sectPr>
      <w:footerReference r:id="rId3" w:type="default"/>
      <w:pgSz w:w="11906" w:h="16838"/>
      <w:pgMar w:top="1440" w:right="1587" w:bottom="1440"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iNmMyYjczZmRmZWY2ZmY0NWU0MjVlODE4ZmFiYzQifQ=="/>
  </w:docVars>
  <w:rsids>
    <w:rsidRoot w:val="17242BC7"/>
    <w:rsid w:val="17242BC7"/>
    <w:rsid w:val="2E835E5F"/>
    <w:rsid w:val="369A2C21"/>
    <w:rsid w:val="3AAC0EE0"/>
    <w:rsid w:val="43F67CDC"/>
    <w:rsid w:val="48CF2379"/>
    <w:rsid w:val="65DF174E"/>
    <w:rsid w:val="67673010"/>
    <w:rsid w:val="758967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147</TotalTime>
  <ScaleCrop>false</ScaleCrop>
  <LinksUpToDate>false</LinksUpToDate>
  <CharactersWithSpaces>0</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2023-12-04T01:34:00Z</dcterms:created>
  <dc:creator>不落的尘埃</dc:creator>
  <cp:lastModifiedBy>不落的尘埃</cp:lastModifiedBy>
  <dcterms:modified xsi:type="dcterms:W3CDTF">2023-12-22T07:08:44Z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A190EA2D1A6C4A86B2DAE195E21BD82F_13</vt:lpwstr>
  </property>
</Properties>
</file>