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5"/>
        <w:widowControl/>
        <w:shd w:val="clear" w:color="auto" w:fill="FFFFFF"/>
        <w:spacing w:beforeAutospacing="0" w:afterAutospacing="0"/>
        <w:jc w:val="center"/>
        <w:rPr>
          <w:rFonts w:ascii="仿宋" w:hAnsi="仿宋" w:eastAsia="仿宋" w:cs="仿宋"/>
          <w:color w:val="000000"/>
          <w:sz w:val="27"/>
          <w:szCs w:val="27"/>
        </w:rPr>
      </w:pPr>
      <w:r>
        <w:rPr>
          <w:rFonts w:hint="eastAsia" w:ascii="仿宋" w:hAnsi="仿宋" w:eastAsia="仿宋" w:cs="仿宋"/>
          <w:color w:val="C21F3A"/>
          <w:sz w:val="48"/>
          <w:szCs w:val="48"/>
          <w:shd w:val="clear" w:color="auto" w:fill="FFFFFF"/>
        </w:rPr>
        <w:t>拍卖公告</w:t>
      </w:r>
    </w:p>
    <w:p>
      <w:pPr>
        <w:pStyle w:val="5"/>
        <w:widowControl/>
        <w:shd w:val="clear" w:color="auto" w:fill="FFFFFF"/>
        <w:spacing w:beforeAutospacing="0" w:afterAutospacing="0" w:line="390" w:lineRule="atLeast"/>
        <w:jc w:val="center"/>
        <w:rPr>
          <w:rFonts w:ascii="仿宋" w:hAnsi="仿宋" w:eastAsia="仿宋" w:cs="仿宋"/>
          <w:b/>
          <w:bCs/>
          <w:color w:val="000000"/>
          <w:sz w:val="30"/>
          <w:szCs w:val="30"/>
          <w:shd w:val="clear" w:color="auto" w:fill="FFFFFF"/>
        </w:rPr>
      </w:pPr>
      <w:r>
        <w:rPr>
          <w:rFonts w:hint="eastAsia" w:ascii="仿宋" w:hAnsi="仿宋" w:eastAsia="仿宋" w:cs="仿宋"/>
          <w:b/>
          <w:bCs/>
          <w:color w:val="000000"/>
          <w:sz w:val="30"/>
          <w:szCs w:val="30"/>
          <w:shd w:val="clear" w:color="auto" w:fill="FFFFFF"/>
        </w:rPr>
        <w:t>上海中齐建设工程发展有限公司管理人</w:t>
      </w:r>
    </w:p>
    <w:p>
      <w:pPr>
        <w:pStyle w:val="5"/>
        <w:widowControl/>
        <w:shd w:val="clear" w:color="auto" w:fill="FFFFFF"/>
        <w:spacing w:beforeAutospacing="0" w:afterAutospacing="0" w:line="390" w:lineRule="atLeast"/>
        <w:jc w:val="center"/>
        <w:rPr>
          <w:rFonts w:ascii="仿宋" w:hAnsi="仿宋" w:eastAsia="仿宋" w:cs="仿宋"/>
          <w:color w:val="000000"/>
          <w:sz w:val="27"/>
          <w:szCs w:val="27"/>
        </w:rPr>
      </w:pPr>
      <w:r>
        <w:rPr>
          <w:rFonts w:hint="eastAsia" w:ascii="仿宋" w:hAnsi="仿宋" w:eastAsia="仿宋" w:cs="仿宋"/>
          <w:b/>
          <w:bCs/>
          <w:color w:val="000000"/>
          <w:sz w:val="30"/>
          <w:szCs w:val="30"/>
          <w:shd w:val="clear" w:color="auto" w:fill="FFFFFF"/>
        </w:rPr>
        <w:t>关于拍卖沪C613TX</w:t>
      </w:r>
      <w:r>
        <w:rPr>
          <w:rFonts w:hint="eastAsia" w:ascii="仿宋" w:hAnsi="仿宋" w:eastAsia="仿宋" w:cs="仿宋"/>
          <w:b/>
          <w:bCs/>
          <w:color w:val="000000"/>
          <w:sz w:val="30"/>
          <w:szCs w:val="30"/>
          <w:shd w:val="clear" w:color="auto" w:fill="FFFFFF"/>
        </w:rPr>
        <w:tab/>
      </w:r>
      <w:r>
        <w:rPr>
          <w:rFonts w:hint="eastAsia" w:ascii="仿宋" w:hAnsi="仿宋" w:eastAsia="仿宋" w:cs="仿宋"/>
          <w:b/>
          <w:bCs/>
          <w:color w:val="000000"/>
          <w:sz w:val="30"/>
          <w:szCs w:val="30"/>
          <w:shd w:val="clear" w:color="auto" w:fill="FFFFFF"/>
        </w:rPr>
        <w:t>福田牌小型普通客车（不含车牌及牌照额度）的公告</w:t>
      </w:r>
    </w:p>
    <w:p>
      <w:pPr>
        <w:pStyle w:val="5"/>
        <w:widowControl/>
        <w:shd w:val="clear" w:color="auto" w:fill="FFFFFF"/>
        <w:spacing w:beforeAutospacing="0" w:afterAutospacing="0" w:line="390" w:lineRule="atLeast"/>
        <w:jc w:val="both"/>
        <w:rPr>
          <w:rFonts w:ascii="仿宋" w:hAnsi="仿宋" w:eastAsia="仿宋" w:cs="仿宋"/>
          <w:color w:val="000000"/>
          <w:sz w:val="30"/>
          <w:szCs w:val="30"/>
          <w:shd w:val="clear" w:color="auto" w:fill="FFFFFF"/>
        </w:rPr>
      </w:pPr>
    </w:p>
    <w:p>
      <w:pPr>
        <w:pStyle w:val="5"/>
        <w:widowControl/>
        <w:shd w:val="clear" w:color="auto" w:fill="FFFFFF"/>
        <w:spacing w:beforeAutospacing="0" w:afterAutospacing="0" w:line="390" w:lineRule="atLeast"/>
        <w:ind w:firstLine="600" w:firstLineChars="200"/>
        <w:jc w:val="both"/>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上海中齐建设工程发展有限公司管理人（下称“</w:t>
      </w:r>
      <w:r>
        <w:rPr>
          <w:rFonts w:hint="eastAsia" w:ascii="仿宋" w:hAnsi="仿宋" w:eastAsia="仿宋" w:cs="仿宋"/>
          <w:b/>
          <w:bCs/>
          <w:color w:val="000000"/>
          <w:sz w:val="30"/>
          <w:szCs w:val="30"/>
          <w:shd w:val="clear" w:color="auto" w:fill="FFFFFF"/>
        </w:rPr>
        <w:t>管理人</w:t>
      </w:r>
      <w:r>
        <w:rPr>
          <w:rFonts w:hint="eastAsia" w:ascii="仿宋" w:hAnsi="仿宋" w:eastAsia="仿宋" w:cs="仿宋"/>
          <w:color w:val="000000"/>
          <w:sz w:val="30"/>
          <w:szCs w:val="30"/>
          <w:shd w:val="clear" w:color="auto" w:fill="FFFFFF"/>
        </w:rPr>
        <w:t>”）将于</w:t>
      </w:r>
      <w:r>
        <w:rPr>
          <w:rFonts w:hint="eastAsia" w:ascii="仿宋" w:hAnsi="仿宋" w:eastAsia="仿宋" w:cs="仿宋"/>
          <w:b/>
          <w:bCs/>
          <w:color w:val="FF0000"/>
          <w:sz w:val="30"/>
          <w:szCs w:val="30"/>
          <w:shd w:val="clear" w:color="auto" w:fill="FFFFFF"/>
        </w:rPr>
        <w:t>2024年</w:t>
      </w:r>
      <w:r>
        <w:rPr>
          <w:rFonts w:hint="eastAsia" w:ascii="仿宋" w:hAnsi="仿宋" w:eastAsia="仿宋" w:cs="仿宋"/>
          <w:b/>
          <w:bCs/>
          <w:color w:val="FF0000"/>
          <w:sz w:val="30"/>
          <w:szCs w:val="30"/>
          <w:shd w:val="clear" w:color="auto" w:fill="FFFFFF"/>
          <w:lang w:val="en-US" w:eastAsia="zh-CN"/>
        </w:rPr>
        <w:t>2</w:t>
      </w:r>
      <w:r>
        <w:rPr>
          <w:rFonts w:hint="eastAsia" w:ascii="仿宋" w:hAnsi="仿宋" w:eastAsia="仿宋" w:cs="仿宋"/>
          <w:b/>
          <w:bCs/>
          <w:color w:val="FF0000"/>
          <w:sz w:val="30"/>
          <w:szCs w:val="30"/>
          <w:shd w:val="clear" w:color="auto" w:fill="FFFFFF"/>
        </w:rPr>
        <w:t>月1日10时</w:t>
      </w:r>
      <w:r>
        <w:rPr>
          <w:rFonts w:hint="eastAsia" w:ascii="仿宋" w:hAnsi="仿宋" w:eastAsia="仿宋" w:cs="仿宋"/>
          <w:color w:val="000000"/>
          <w:sz w:val="30"/>
          <w:szCs w:val="30"/>
          <w:shd w:val="clear" w:color="auto" w:fill="FFFFFF"/>
        </w:rPr>
        <w:t>至</w:t>
      </w:r>
      <w:r>
        <w:rPr>
          <w:rFonts w:hint="eastAsia" w:ascii="仿宋" w:hAnsi="仿宋" w:eastAsia="仿宋" w:cs="仿宋"/>
          <w:b/>
          <w:bCs/>
          <w:color w:val="FF0000"/>
          <w:sz w:val="30"/>
          <w:szCs w:val="30"/>
          <w:shd w:val="clear" w:color="auto" w:fill="FFFFFF"/>
        </w:rPr>
        <w:t>2024年</w:t>
      </w:r>
      <w:r>
        <w:rPr>
          <w:rFonts w:hint="eastAsia" w:ascii="仿宋" w:hAnsi="仿宋" w:eastAsia="仿宋" w:cs="仿宋"/>
          <w:b/>
          <w:bCs/>
          <w:color w:val="FF0000"/>
          <w:sz w:val="30"/>
          <w:szCs w:val="30"/>
          <w:shd w:val="clear" w:color="auto" w:fill="FFFFFF"/>
          <w:lang w:val="en-US" w:eastAsia="zh-CN"/>
        </w:rPr>
        <w:t>2</w:t>
      </w:r>
      <w:r>
        <w:rPr>
          <w:rFonts w:hint="eastAsia" w:ascii="仿宋" w:hAnsi="仿宋" w:eastAsia="仿宋" w:cs="仿宋"/>
          <w:b/>
          <w:bCs/>
          <w:color w:val="FF0000"/>
          <w:sz w:val="30"/>
          <w:szCs w:val="30"/>
          <w:shd w:val="clear" w:color="auto" w:fill="FFFFFF"/>
        </w:rPr>
        <w:t>月</w:t>
      </w:r>
      <w:r>
        <w:rPr>
          <w:rFonts w:hint="eastAsia" w:ascii="仿宋" w:hAnsi="仿宋" w:eastAsia="仿宋" w:cs="仿宋"/>
          <w:b/>
          <w:bCs/>
          <w:color w:val="FF0000"/>
          <w:sz w:val="30"/>
          <w:szCs w:val="30"/>
          <w:shd w:val="clear" w:color="auto" w:fill="FFFFFF"/>
          <w:lang w:val="en-US" w:eastAsia="zh-CN"/>
        </w:rPr>
        <w:t>2</w:t>
      </w:r>
      <w:r>
        <w:rPr>
          <w:rFonts w:hint="eastAsia" w:ascii="仿宋" w:hAnsi="仿宋" w:eastAsia="仿宋" w:cs="仿宋"/>
          <w:b/>
          <w:bCs/>
          <w:color w:val="FF0000"/>
          <w:sz w:val="30"/>
          <w:szCs w:val="30"/>
          <w:shd w:val="clear" w:color="auto" w:fill="FFFFFF"/>
        </w:rPr>
        <w:t>日10时止</w:t>
      </w:r>
      <w:r>
        <w:rPr>
          <w:rFonts w:hint="eastAsia" w:ascii="仿宋" w:hAnsi="仿宋" w:eastAsia="仿宋" w:cs="仿宋"/>
          <w:color w:val="000000"/>
          <w:sz w:val="30"/>
          <w:szCs w:val="30"/>
          <w:shd w:val="clear" w:color="auto" w:fill="FFFFFF"/>
        </w:rPr>
        <w:t>（延时除外）在淘宝网司法拍卖网络平台（处置单位：上海中齐建设工程发展有限公司管理人，监督单位：上海市第三中级人民法院），进行公开拍卖活动，现公告如下：</w:t>
      </w:r>
    </w:p>
    <w:p>
      <w:pPr>
        <w:pStyle w:val="5"/>
        <w:widowControl/>
        <w:shd w:val="clear" w:color="auto" w:fill="FFFFFF"/>
        <w:spacing w:beforeAutospacing="0" w:afterAutospacing="0" w:line="390" w:lineRule="atLeast"/>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一、重要提示</w:t>
      </w:r>
    </w:p>
    <w:p>
      <w:pPr>
        <w:pStyle w:val="5"/>
        <w:widowControl/>
        <w:shd w:val="clear" w:color="auto" w:fill="FFFFFF"/>
        <w:spacing w:beforeAutospacing="0" w:afterAutospacing="0" w:line="390" w:lineRule="atLeast"/>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1、郑重声明：本标的系管理人依法独立履行《中华人民共和国企业破产法》第25条第6项的职责在淘宝网司法拍卖网络平台处分上海中齐建设工程发展有限公司（下称“债务人”）财产，并承担相应责任。</w:t>
      </w:r>
    </w:p>
    <w:p>
      <w:pPr>
        <w:pStyle w:val="5"/>
        <w:widowControl/>
        <w:shd w:val="clear" w:color="auto" w:fill="FFFFFF"/>
        <w:spacing w:beforeAutospacing="0" w:afterAutospacing="0" w:line="390" w:lineRule="atLeast"/>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2、竞买人应当具备完全民事行为能力，法律、行政法规和司法解释等规范性法律文件等对买受人资格或者条件有特殊规定的，竞买人应当具备规定的资格或者条件。</w:t>
      </w:r>
    </w:p>
    <w:p>
      <w:pPr>
        <w:pStyle w:val="5"/>
        <w:widowControl/>
        <w:shd w:val="clear" w:color="auto" w:fill="FFFFFF"/>
        <w:spacing w:beforeAutospacing="0" w:afterAutospacing="0" w:line="390" w:lineRule="atLeast"/>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淘宝账户实名认证需48小时左右，请有意向参与竞拍的竞买人提前开设好淘宝账户，以防影响参与竞拍。</w:t>
      </w:r>
    </w:p>
    <w:p>
      <w:pPr>
        <w:pStyle w:val="5"/>
        <w:widowControl/>
        <w:shd w:val="clear" w:color="auto" w:fill="FFFFFF"/>
        <w:spacing w:beforeAutospacing="0" w:afterAutospacing="0" w:line="390" w:lineRule="atLeast"/>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竞拍前请务必遵照《竞买公告》《竞买须知》及《标的物介绍》要求，调查标的物信息、了解竞买资质、委托代理及尾款支付方式等内容。如违反相关规定，您的保证金可能会被划扣并产生其他法律责任，请理性参拍。</w:t>
      </w:r>
    </w:p>
    <w:p>
      <w:pPr>
        <w:pStyle w:val="5"/>
        <w:widowControl/>
        <w:shd w:val="clear" w:color="auto" w:fill="FFFFFF"/>
        <w:spacing w:beforeAutospacing="0" w:afterAutospacing="0" w:line="390" w:lineRule="atLeast"/>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3、本次拍卖标的物以实物现状或其权利现状（除车牌外）为准进行拍卖，管理人不承担标的瑕疵担保责任。有意者请亲自实地看样及调查了解，未看样或调查了解的竞买人视为对标的物的质量、数量、外观、结构、性能、型号规格等现状的确认，一切责任及后果自负。凡参与竞拍即视为竞拍人对标的物完全了解，确认标的现状，并接受标的物一切已知和未知瑕疵。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型号规格等问题为由拒绝或迟延或减轻履行义务。拍卖人提供的资料和数据仅供竞买人参考，不承担瑕疵担保责任，若与实际不符时，不影响本次拍卖的成交和成交价。</w:t>
      </w:r>
    </w:p>
    <w:p>
      <w:pPr>
        <w:pStyle w:val="5"/>
        <w:widowControl/>
        <w:shd w:val="clear" w:color="auto" w:fill="FFFFFF"/>
        <w:spacing w:beforeAutospacing="0" w:afterAutospacing="0" w:line="390" w:lineRule="atLeast"/>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4、本次拍卖公告所作的情况说明，仅为竞买人参与竞买提供参考，不能作为竞买人判断、权衡价值的最终依据，竞买人根据自身需求可自行调查、了解、核实。未尽事宜，管理人不承担任何责任。</w:t>
      </w:r>
    </w:p>
    <w:p>
      <w:pPr>
        <w:pStyle w:val="5"/>
        <w:widowControl/>
        <w:shd w:val="clear" w:color="auto" w:fill="FFFFFF"/>
        <w:spacing w:beforeAutospacing="0" w:afterAutospacing="0" w:line="390" w:lineRule="atLeast"/>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5、在</w:t>
      </w:r>
      <w:r>
        <w:rPr>
          <w:rFonts w:hint="eastAsia" w:ascii="仿宋" w:hAnsi="仿宋" w:eastAsia="仿宋" w:cs="仿宋"/>
          <w:color w:val="FF0000"/>
          <w:sz w:val="30"/>
          <w:szCs w:val="30"/>
          <w:shd w:val="clear" w:color="auto" w:fill="FFFFFF"/>
        </w:rPr>
        <w:t>2024年</w:t>
      </w:r>
      <w:r>
        <w:rPr>
          <w:rFonts w:hint="eastAsia" w:ascii="仿宋" w:hAnsi="仿宋" w:eastAsia="仿宋" w:cs="仿宋"/>
          <w:color w:val="FF0000"/>
          <w:sz w:val="30"/>
          <w:szCs w:val="30"/>
          <w:shd w:val="clear" w:color="auto" w:fill="FFFFFF"/>
          <w:lang w:val="en-US" w:eastAsia="zh-CN"/>
        </w:rPr>
        <w:t>2</w:t>
      </w:r>
      <w:r>
        <w:rPr>
          <w:rFonts w:hint="eastAsia" w:ascii="仿宋" w:hAnsi="仿宋" w:eastAsia="仿宋" w:cs="仿宋"/>
          <w:color w:val="FF0000"/>
          <w:sz w:val="30"/>
          <w:szCs w:val="30"/>
          <w:shd w:val="clear" w:color="auto" w:fill="FFFFFF"/>
        </w:rPr>
        <w:t>月</w:t>
      </w:r>
      <w:r>
        <w:rPr>
          <w:rFonts w:hint="eastAsia" w:ascii="仿宋" w:hAnsi="仿宋" w:eastAsia="仿宋" w:cs="仿宋"/>
          <w:color w:val="FF0000"/>
          <w:sz w:val="30"/>
          <w:szCs w:val="30"/>
          <w:shd w:val="clear" w:color="auto" w:fill="FFFFFF"/>
          <w:lang w:val="en-US" w:eastAsia="zh-CN"/>
        </w:rPr>
        <w:t>1</w:t>
      </w:r>
      <w:r>
        <w:rPr>
          <w:rFonts w:hint="eastAsia" w:ascii="仿宋" w:hAnsi="仿宋" w:eastAsia="仿宋" w:cs="仿宋"/>
          <w:color w:val="FF0000"/>
          <w:sz w:val="30"/>
          <w:szCs w:val="30"/>
          <w:shd w:val="clear" w:color="auto" w:fill="FFFFFF"/>
        </w:rPr>
        <w:t>日10时</w:t>
      </w:r>
      <w:r>
        <w:rPr>
          <w:rFonts w:hint="eastAsia" w:ascii="仿宋" w:hAnsi="仿宋" w:eastAsia="仿宋" w:cs="仿宋"/>
          <w:color w:val="000000"/>
          <w:sz w:val="30"/>
          <w:szCs w:val="30"/>
          <w:shd w:val="clear" w:color="auto" w:fill="FFFFFF"/>
        </w:rPr>
        <w:t>正式拍卖前，管理人有权随时撤回本次拍卖。管理人撤回拍卖的，竞买人已缴纳的保证金原路无息退回。</w:t>
      </w:r>
    </w:p>
    <w:p>
      <w:pPr>
        <w:pStyle w:val="5"/>
        <w:widowControl/>
        <w:shd w:val="clear" w:color="auto" w:fill="FFFFFF"/>
        <w:spacing w:beforeAutospacing="0" w:afterAutospacing="0" w:line="390" w:lineRule="atLeast"/>
        <w:ind w:right="685"/>
        <w:rPr>
          <w:rFonts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rPr>
        <w:t>二、</w:t>
      </w:r>
    </w:p>
    <w:p>
      <w:pPr>
        <w:pStyle w:val="5"/>
        <w:widowControl/>
        <w:shd w:val="clear" w:color="auto" w:fill="FFFFFF"/>
        <w:spacing w:beforeAutospacing="0" w:afterAutospacing="0" w:line="390" w:lineRule="atLeast"/>
        <w:ind w:right="685"/>
        <w:rPr>
          <w:rFonts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rPr>
        <w:t>1.拍卖标的：上海中齐建设工程发展有限公司所拥有的福田牌小型普通客车（6人）（沪C613TX,不带牌），按现状拍卖。</w:t>
      </w:r>
    </w:p>
    <w:tbl>
      <w:tblPr>
        <w:tblStyle w:val="10"/>
        <w:tblW w:w="8070" w:type="dxa"/>
        <w:tblInd w:w="7" w:type="dxa"/>
        <w:tblBorders>
          <w:top w:val="single" w:color="545454" w:sz="6" w:space="0"/>
          <w:left w:val="single" w:color="545454" w:sz="6" w:space="0"/>
          <w:bottom w:val="single" w:color="545454" w:sz="6" w:space="0"/>
          <w:right w:val="single" w:color="545454" w:sz="6" w:space="0"/>
          <w:insideH w:val="single" w:color="545454" w:sz="6" w:space="0"/>
          <w:insideV w:val="single" w:color="545454" w:sz="6" w:space="0"/>
        </w:tblBorders>
        <w:tblLayout w:type="fixed"/>
        <w:tblCellMar>
          <w:top w:w="0" w:type="dxa"/>
          <w:left w:w="0" w:type="dxa"/>
          <w:bottom w:w="0" w:type="dxa"/>
          <w:right w:w="0" w:type="dxa"/>
        </w:tblCellMar>
      </w:tblPr>
      <w:tblGrid>
        <w:gridCol w:w="786"/>
        <w:gridCol w:w="1531"/>
        <w:gridCol w:w="954"/>
        <w:gridCol w:w="1692"/>
        <w:gridCol w:w="1737"/>
        <w:gridCol w:w="1370"/>
      </w:tblGrid>
      <w:tr>
        <w:tblPrEx>
          <w:tblBorders>
            <w:top w:val="single" w:color="545454" w:sz="6" w:space="0"/>
            <w:left w:val="single" w:color="545454" w:sz="6" w:space="0"/>
            <w:bottom w:val="single" w:color="545454" w:sz="6" w:space="0"/>
            <w:right w:val="single" w:color="545454" w:sz="6" w:space="0"/>
            <w:insideH w:val="single" w:color="545454" w:sz="6" w:space="0"/>
            <w:insideV w:val="single" w:color="545454" w:sz="6" w:space="0"/>
          </w:tblBorders>
          <w:tblCellMar>
            <w:top w:w="0" w:type="dxa"/>
            <w:left w:w="0" w:type="dxa"/>
            <w:bottom w:w="0" w:type="dxa"/>
            <w:right w:w="0" w:type="dxa"/>
          </w:tblCellMar>
        </w:tblPrEx>
        <w:trPr>
          <w:trHeight w:val="482" w:hRule="atLeast"/>
        </w:trPr>
        <w:tc>
          <w:tcPr>
            <w:tcW w:w="786" w:type="dxa"/>
            <w:tcBorders>
              <w:top w:val="single" w:color="000000" w:sz="6" w:space="0"/>
              <w:left w:val="single" w:color="000000" w:sz="6" w:space="0"/>
            </w:tcBorders>
          </w:tcPr>
          <w:p>
            <w:pPr>
              <w:pStyle w:val="9"/>
              <w:spacing w:before="14" w:line="211" w:lineRule="auto"/>
              <w:ind w:left="178"/>
              <w:rPr>
                <w:rFonts w:ascii="仿宋" w:hAnsi="仿宋" w:eastAsia="仿宋" w:cs="仿宋"/>
                <w:sz w:val="21"/>
                <w:szCs w:val="21"/>
              </w:rPr>
            </w:pPr>
            <w:r>
              <w:rPr>
                <w:rFonts w:hint="eastAsia" w:ascii="仿宋" w:hAnsi="仿宋" w:eastAsia="仿宋" w:cs="仿宋"/>
                <w:spacing w:val="-3"/>
                <w:sz w:val="21"/>
                <w:szCs w:val="21"/>
              </w:rPr>
              <w:t>标的</w:t>
            </w:r>
          </w:p>
          <w:p>
            <w:pPr>
              <w:pStyle w:val="9"/>
              <w:spacing w:line="191" w:lineRule="auto"/>
              <w:ind w:left="288"/>
              <w:rPr>
                <w:rFonts w:ascii="仿宋" w:hAnsi="仿宋" w:eastAsia="仿宋" w:cs="仿宋"/>
                <w:sz w:val="21"/>
                <w:szCs w:val="21"/>
              </w:rPr>
            </w:pPr>
            <w:r>
              <w:rPr>
                <w:rFonts w:hint="eastAsia" w:ascii="仿宋" w:hAnsi="仿宋" w:eastAsia="仿宋" w:cs="仿宋"/>
                <w:sz w:val="21"/>
                <w:szCs w:val="21"/>
              </w:rPr>
              <w:t>号</w:t>
            </w:r>
          </w:p>
        </w:tc>
        <w:tc>
          <w:tcPr>
            <w:tcW w:w="1531" w:type="dxa"/>
          </w:tcPr>
          <w:p>
            <w:pPr>
              <w:pStyle w:val="9"/>
              <w:spacing w:before="134" w:line="219" w:lineRule="auto"/>
              <w:ind w:left="400"/>
              <w:rPr>
                <w:rFonts w:ascii="仿宋" w:hAnsi="仿宋" w:eastAsia="仿宋" w:cs="仿宋"/>
                <w:sz w:val="21"/>
                <w:szCs w:val="21"/>
              </w:rPr>
            </w:pPr>
            <w:r>
              <w:rPr>
                <w:rFonts w:hint="eastAsia" w:ascii="仿宋" w:hAnsi="仿宋" w:eastAsia="仿宋" w:cs="仿宋"/>
                <w:spacing w:val="-3"/>
                <w:sz w:val="21"/>
                <w:szCs w:val="21"/>
              </w:rPr>
              <w:t>车牌号</w:t>
            </w:r>
          </w:p>
        </w:tc>
        <w:tc>
          <w:tcPr>
            <w:tcW w:w="954" w:type="dxa"/>
          </w:tcPr>
          <w:p>
            <w:pPr>
              <w:pStyle w:val="9"/>
              <w:spacing w:before="134" w:line="219" w:lineRule="auto"/>
              <w:ind w:left="123"/>
              <w:rPr>
                <w:rFonts w:ascii="仿宋" w:hAnsi="仿宋" w:eastAsia="仿宋" w:cs="仿宋"/>
                <w:sz w:val="21"/>
                <w:szCs w:val="21"/>
              </w:rPr>
            </w:pPr>
            <w:r>
              <w:rPr>
                <w:rFonts w:hint="eastAsia" w:ascii="仿宋" w:hAnsi="仿宋" w:eastAsia="仿宋" w:cs="仿宋"/>
                <w:spacing w:val="-5"/>
                <w:sz w:val="21"/>
                <w:szCs w:val="21"/>
              </w:rPr>
              <w:t>品牌型号</w:t>
            </w:r>
          </w:p>
        </w:tc>
        <w:tc>
          <w:tcPr>
            <w:tcW w:w="1692" w:type="dxa"/>
          </w:tcPr>
          <w:p>
            <w:pPr>
              <w:pStyle w:val="9"/>
              <w:spacing w:before="124" w:line="219" w:lineRule="auto"/>
              <w:ind w:left="369"/>
              <w:rPr>
                <w:rFonts w:ascii="仿宋" w:hAnsi="仿宋" w:eastAsia="仿宋" w:cs="仿宋"/>
              </w:rPr>
            </w:pPr>
            <w:r>
              <w:rPr>
                <w:rFonts w:hint="eastAsia" w:ascii="仿宋" w:hAnsi="仿宋" w:eastAsia="仿宋" w:cs="仿宋"/>
                <w:color w:val="444444"/>
                <w:spacing w:val="-3"/>
              </w:rPr>
              <w:t>车辆类型</w:t>
            </w:r>
          </w:p>
        </w:tc>
        <w:tc>
          <w:tcPr>
            <w:tcW w:w="1737" w:type="dxa"/>
          </w:tcPr>
          <w:p>
            <w:pPr>
              <w:pStyle w:val="9"/>
              <w:spacing w:before="123" w:line="220" w:lineRule="auto"/>
              <w:ind w:left="391"/>
              <w:rPr>
                <w:rFonts w:ascii="仿宋" w:hAnsi="仿宋" w:eastAsia="仿宋" w:cs="仿宋"/>
              </w:rPr>
            </w:pPr>
            <w:r>
              <w:rPr>
                <w:rFonts w:hint="eastAsia" w:ascii="仿宋" w:hAnsi="仿宋" w:eastAsia="仿宋" w:cs="仿宋"/>
                <w:color w:val="444444"/>
                <w:spacing w:val="-2"/>
              </w:rPr>
              <w:t>注册日期</w:t>
            </w:r>
          </w:p>
        </w:tc>
        <w:tc>
          <w:tcPr>
            <w:tcW w:w="1370" w:type="dxa"/>
          </w:tcPr>
          <w:p>
            <w:pPr>
              <w:pStyle w:val="9"/>
              <w:spacing w:before="124" w:line="219" w:lineRule="auto"/>
              <w:ind w:left="210"/>
              <w:rPr>
                <w:rFonts w:ascii="仿宋" w:hAnsi="仿宋" w:eastAsia="仿宋" w:cs="仿宋"/>
              </w:rPr>
            </w:pPr>
            <w:r>
              <w:rPr>
                <w:rFonts w:hint="eastAsia" w:ascii="仿宋" w:hAnsi="仿宋" w:eastAsia="仿宋" w:cs="仿宋"/>
                <w:color w:val="444444"/>
                <w:spacing w:val="-2"/>
              </w:rPr>
              <w:t>使用性质</w:t>
            </w:r>
          </w:p>
        </w:tc>
      </w:tr>
      <w:tr>
        <w:tblPrEx>
          <w:tblBorders>
            <w:top w:val="single" w:color="545454" w:sz="6" w:space="0"/>
            <w:left w:val="single" w:color="545454" w:sz="6" w:space="0"/>
            <w:bottom w:val="single" w:color="545454" w:sz="6" w:space="0"/>
            <w:right w:val="single" w:color="545454" w:sz="6" w:space="0"/>
            <w:insideH w:val="single" w:color="545454" w:sz="6" w:space="0"/>
            <w:insideV w:val="single" w:color="545454" w:sz="6" w:space="0"/>
          </w:tblBorders>
        </w:tblPrEx>
        <w:trPr>
          <w:trHeight w:val="475" w:hRule="atLeast"/>
        </w:trPr>
        <w:tc>
          <w:tcPr>
            <w:tcW w:w="786" w:type="dxa"/>
          </w:tcPr>
          <w:p>
            <w:pPr>
              <w:pStyle w:val="9"/>
              <w:spacing w:before="164" w:line="184" w:lineRule="auto"/>
              <w:ind w:left="351"/>
              <w:rPr>
                <w:rFonts w:ascii="仿宋" w:hAnsi="仿宋" w:eastAsia="仿宋" w:cs="仿宋"/>
                <w:sz w:val="21"/>
                <w:szCs w:val="21"/>
              </w:rPr>
            </w:pPr>
            <w:r>
              <w:rPr>
                <w:rFonts w:hint="eastAsia" w:ascii="仿宋" w:hAnsi="仿宋" w:eastAsia="仿宋" w:cs="仿宋"/>
                <w:sz w:val="21"/>
                <w:szCs w:val="21"/>
              </w:rPr>
              <w:t>1</w:t>
            </w:r>
          </w:p>
        </w:tc>
        <w:tc>
          <w:tcPr>
            <w:tcW w:w="1531" w:type="dxa"/>
          </w:tcPr>
          <w:p>
            <w:pPr>
              <w:pStyle w:val="9"/>
              <w:spacing w:before="122" w:line="219" w:lineRule="auto"/>
              <w:ind w:left="170"/>
              <w:rPr>
                <w:rFonts w:ascii="仿宋" w:hAnsi="仿宋" w:eastAsia="仿宋" w:cs="仿宋"/>
                <w:color w:val="444444"/>
                <w:spacing w:val="-3"/>
                <w:lang w:eastAsia="zh-CN"/>
              </w:rPr>
            </w:pPr>
            <w:r>
              <w:rPr>
                <w:rFonts w:hint="eastAsia" w:ascii="仿宋" w:hAnsi="仿宋" w:eastAsia="仿宋" w:cs="仿宋"/>
                <w:color w:val="444444"/>
                <w:spacing w:val="-3"/>
                <w:lang w:eastAsia="zh-CN"/>
              </w:rPr>
              <w:t>沪C613TX</w:t>
            </w:r>
          </w:p>
        </w:tc>
        <w:tc>
          <w:tcPr>
            <w:tcW w:w="954" w:type="dxa"/>
          </w:tcPr>
          <w:p>
            <w:pPr>
              <w:pStyle w:val="9"/>
              <w:spacing w:before="122" w:line="219" w:lineRule="auto"/>
              <w:ind w:left="170"/>
              <w:rPr>
                <w:rFonts w:ascii="仿宋" w:hAnsi="仿宋" w:eastAsia="仿宋" w:cs="仿宋"/>
                <w:color w:val="444444"/>
                <w:spacing w:val="-3"/>
                <w:lang w:eastAsia="zh-CN"/>
              </w:rPr>
            </w:pPr>
            <w:r>
              <w:rPr>
                <w:rFonts w:hint="eastAsia" w:ascii="仿宋" w:hAnsi="仿宋" w:eastAsia="仿宋" w:cs="仿宋"/>
                <w:color w:val="444444"/>
                <w:spacing w:val="-3"/>
                <w:lang w:eastAsia="zh-CN"/>
              </w:rPr>
              <w:t>福田牌</w:t>
            </w:r>
          </w:p>
        </w:tc>
        <w:tc>
          <w:tcPr>
            <w:tcW w:w="1692" w:type="dxa"/>
          </w:tcPr>
          <w:p>
            <w:pPr>
              <w:pStyle w:val="9"/>
              <w:spacing w:before="122" w:line="219" w:lineRule="auto"/>
              <w:ind w:left="373"/>
              <w:rPr>
                <w:rFonts w:ascii="仿宋" w:hAnsi="仿宋" w:eastAsia="仿宋" w:cs="仿宋"/>
              </w:rPr>
            </w:pPr>
            <w:r>
              <w:rPr>
                <w:rFonts w:hint="eastAsia" w:ascii="仿宋" w:hAnsi="仿宋" w:eastAsia="仿宋" w:cs="仿宋"/>
                <w:color w:val="444444"/>
                <w:spacing w:val="-3"/>
              </w:rPr>
              <w:t>小型汽车</w:t>
            </w:r>
          </w:p>
        </w:tc>
        <w:tc>
          <w:tcPr>
            <w:tcW w:w="1737" w:type="dxa"/>
          </w:tcPr>
          <w:p>
            <w:pPr>
              <w:pStyle w:val="9"/>
              <w:spacing w:before="158" w:line="184" w:lineRule="auto"/>
              <w:ind w:left="274"/>
              <w:rPr>
                <w:rFonts w:ascii="仿宋" w:hAnsi="仿宋" w:eastAsia="仿宋" w:cs="仿宋"/>
                <w:lang w:eastAsia="zh-CN"/>
              </w:rPr>
            </w:pPr>
            <w:r>
              <w:rPr>
                <w:rFonts w:hint="eastAsia" w:ascii="仿宋" w:hAnsi="仿宋" w:eastAsia="仿宋" w:cs="仿宋"/>
                <w:color w:val="444444"/>
                <w:spacing w:val="-2"/>
              </w:rPr>
              <w:t>201</w:t>
            </w:r>
            <w:r>
              <w:rPr>
                <w:rFonts w:hint="eastAsia" w:ascii="仿宋" w:hAnsi="仿宋" w:eastAsia="仿宋" w:cs="仿宋"/>
                <w:color w:val="444444"/>
                <w:spacing w:val="-2"/>
                <w:lang w:eastAsia="zh-CN"/>
              </w:rPr>
              <w:t>9</w:t>
            </w:r>
            <w:r>
              <w:rPr>
                <w:rFonts w:hint="eastAsia" w:ascii="仿宋" w:hAnsi="仿宋" w:eastAsia="仿宋" w:cs="仿宋"/>
                <w:color w:val="444444"/>
                <w:spacing w:val="-2"/>
              </w:rPr>
              <w:t>-0</w:t>
            </w:r>
            <w:r>
              <w:rPr>
                <w:rFonts w:hint="eastAsia" w:ascii="仿宋" w:hAnsi="仿宋" w:eastAsia="仿宋" w:cs="仿宋"/>
                <w:color w:val="444444"/>
                <w:spacing w:val="-2"/>
                <w:lang w:eastAsia="zh-CN"/>
              </w:rPr>
              <w:t>1</w:t>
            </w:r>
            <w:r>
              <w:rPr>
                <w:rFonts w:hint="eastAsia" w:ascii="仿宋" w:hAnsi="仿宋" w:eastAsia="仿宋" w:cs="仿宋"/>
                <w:color w:val="444444"/>
                <w:spacing w:val="-2"/>
              </w:rPr>
              <w:t>-</w:t>
            </w:r>
            <w:r>
              <w:rPr>
                <w:rFonts w:hint="eastAsia" w:ascii="仿宋" w:hAnsi="仿宋" w:eastAsia="仿宋" w:cs="仿宋"/>
                <w:color w:val="444444"/>
                <w:spacing w:val="-2"/>
                <w:lang w:eastAsia="zh-CN"/>
              </w:rPr>
              <w:t>8</w:t>
            </w:r>
          </w:p>
        </w:tc>
        <w:tc>
          <w:tcPr>
            <w:tcW w:w="1370" w:type="dxa"/>
          </w:tcPr>
          <w:p>
            <w:pPr>
              <w:pStyle w:val="9"/>
              <w:spacing w:before="121" w:line="220" w:lineRule="auto"/>
              <w:ind w:left="333"/>
              <w:rPr>
                <w:rFonts w:ascii="仿宋" w:hAnsi="仿宋" w:eastAsia="仿宋" w:cs="仿宋"/>
              </w:rPr>
            </w:pPr>
            <w:r>
              <w:rPr>
                <w:rFonts w:hint="eastAsia" w:ascii="仿宋" w:hAnsi="仿宋" w:eastAsia="仿宋" w:cs="仿宋"/>
                <w:color w:val="444444"/>
                <w:spacing w:val="-3"/>
              </w:rPr>
              <w:t>非运营</w:t>
            </w:r>
          </w:p>
        </w:tc>
      </w:tr>
    </w:tbl>
    <w:p>
      <w:pPr>
        <w:pStyle w:val="5"/>
        <w:widowControl/>
        <w:shd w:val="clear" w:color="auto" w:fill="FFFFFF"/>
        <w:spacing w:beforeAutospacing="0" w:afterAutospacing="0" w:line="390" w:lineRule="atLeast"/>
        <w:ind w:right="685"/>
        <w:rPr>
          <w:rFonts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rPr>
        <w:t>2.起拍价、保证金及增价幅度：</w:t>
      </w:r>
    </w:p>
    <w:p>
      <w:pPr>
        <w:pStyle w:val="5"/>
        <w:widowControl/>
        <w:shd w:val="clear" w:color="auto" w:fill="FFFFFF"/>
        <w:spacing w:beforeAutospacing="0" w:afterAutospacing="0" w:line="390" w:lineRule="atLeast"/>
        <w:ind w:right="685"/>
        <w:rPr>
          <w:rFonts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rPr>
        <w:t>1）福田牌小型汽车</w:t>
      </w:r>
    </w:p>
    <w:p>
      <w:pPr>
        <w:pStyle w:val="5"/>
        <w:widowControl/>
        <w:shd w:val="clear" w:color="auto" w:fill="FFFFFF"/>
        <w:spacing w:beforeAutospacing="0" w:afterAutospacing="0" w:line="390" w:lineRule="atLeast"/>
        <w:ind w:right="685"/>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评估价：</w:t>
      </w:r>
      <w:r>
        <w:rPr>
          <w:rFonts w:hint="eastAsia" w:ascii="仿宋" w:hAnsi="仿宋" w:eastAsia="仿宋" w:cs="仿宋"/>
          <w:color w:val="000000"/>
          <w:sz w:val="30"/>
          <w:szCs w:val="30"/>
          <w:shd w:val="clear" w:color="auto" w:fill="FFFFFF"/>
          <w:lang w:val="en-US" w:eastAsia="zh-CN"/>
        </w:rPr>
        <w:t>27000</w:t>
      </w:r>
      <w:r>
        <w:rPr>
          <w:rFonts w:hint="eastAsia" w:ascii="仿宋" w:hAnsi="仿宋" w:eastAsia="仿宋" w:cs="仿宋"/>
          <w:color w:val="000000"/>
          <w:sz w:val="30"/>
          <w:szCs w:val="30"/>
          <w:shd w:val="clear" w:color="auto" w:fill="FFFFFF"/>
        </w:rPr>
        <w:t>元</w:t>
      </w:r>
    </w:p>
    <w:p>
      <w:pPr>
        <w:pStyle w:val="5"/>
        <w:widowControl/>
        <w:shd w:val="clear" w:color="auto" w:fill="FFFFFF"/>
        <w:spacing w:beforeAutospacing="0" w:afterAutospacing="0"/>
        <w:rPr>
          <w:rFonts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rPr>
        <w:t>起拍价：</w:t>
      </w:r>
      <w:r>
        <w:rPr>
          <w:rFonts w:hint="eastAsia" w:ascii="仿宋" w:hAnsi="仿宋" w:eastAsia="仿宋" w:cs="仿宋"/>
          <w:color w:val="000000"/>
          <w:sz w:val="30"/>
          <w:szCs w:val="30"/>
          <w:shd w:val="clear" w:color="auto" w:fill="FFFFFF"/>
          <w:lang w:val="en-US" w:eastAsia="zh-CN"/>
        </w:rPr>
        <w:t>18900</w:t>
      </w:r>
      <w:r>
        <w:rPr>
          <w:rFonts w:hint="eastAsia" w:ascii="仿宋" w:hAnsi="仿宋" w:eastAsia="仿宋" w:cs="仿宋"/>
          <w:color w:val="000000"/>
          <w:sz w:val="30"/>
          <w:szCs w:val="30"/>
          <w:shd w:val="clear" w:color="auto" w:fill="FFFFFF"/>
        </w:rPr>
        <w:t>元；保证金10000元；增价幅度：100元及其倍数。</w:t>
      </w:r>
    </w:p>
    <w:p>
      <w:pPr>
        <w:pStyle w:val="5"/>
        <w:widowControl/>
        <w:shd w:val="clear" w:color="auto" w:fill="FFFFFF"/>
        <w:spacing w:beforeAutospacing="0" w:afterAutospacing="0"/>
        <w:jc w:val="both"/>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注：拍卖结束后，买受人支付的保证金将作为成交款的一部分，自动转入委托方指定账户，买受人应在规定时间内付清抵扣保证金后的剩余款项，</w:t>
      </w:r>
      <w:r>
        <w:rPr>
          <w:rFonts w:hint="eastAsia" w:ascii="仿宋" w:hAnsi="仿宋" w:eastAsia="仿宋" w:cs="仿宋"/>
          <w:b/>
          <w:bCs/>
          <w:color w:val="000000"/>
          <w:sz w:val="30"/>
          <w:szCs w:val="30"/>
          <w:shd w:val="clear" w:color="auto" w:fill="FFFFFF"/>
        </w:rPr>
        <w:t>因车辆尚未办理退牌手续，买受人应向管理人支付</w:t>
      </w:r>
      <w:r>
        <w:rPr>
          <w:rFonts w:hint="eastAsia" w:ascii="仿宋" w:hAnsi="仿宋" w:eastAsia="仿宋" w:cs="仿宋"/>
          <w:b/>
          <w:bCs/>
          <w:color w:val="FF0000"/>
          <w:sz w:val="30"/>
          <w:szCs w:val="30"/>
          <w:shd w:val="clear" w:color="auto" w:fill="FFFFFF"/>
        </w:rPr>
        <w:t>办证过户履约保证金1万元</w:t>
      </w:r>
      <w:r>
        <w:rPr>
          <w:rFonts w:hint="eastAsia" w:ascii="仿宋" w:hAnsi="仿宋" w:eastAsia="仿宋" w:cs="仿宋"/>
          <w:b/>
          <w:bCs/>
          <w:color w:val="000000"/>
          <w:sz w:val="30"/>
          <w:szCs w:val="30"/>
          <w:shd w:val="clear" w:color="auto" w:fill="FFFFFF"/>
        </w:rPr>
        <w:t>，办证过户履约保证金将在车辆退牌手续及证照变更登记手续完成后无息退回</w:t>
      </w:r>
      <w:r>
        <w:rPr>
          <w:rFonts w:hint="eastAsia" w:ascii="仿宋" w:hAnsi="仿宋" w:eastAsia="仿宋" w:cs="仿宋"/>
          <w:color w:val="000000"/>
          <w:sz w:val="30"/>
          <w:szCs w:val="30"/>
          <w:shd w:val="clear" w:color="auto" w:fill="FFFFFF"/>
        </w:rPr>
        <w:t>。</w:t>
      </w:r>
    </w:p>
    <w:p>
      <w:pPr>
        <w:pStyle w:val="5"/>
        <w:widowControl/>
        <w:shd w:val="clear" w:color="auto" w:fill="FFFFFF"/>
        <w:spacing w:beforeAutospacing="0" w:afterAutospacing="0"/>
        <w:jc w:val="both"/>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三、拍卖标的特别告知：沪籍车辆成交后，管理人出《拍卖成交确认书》。买受人应在收到管理人通知起30天内配合管理人办理车辆退牌过户手续。</w:t>
      </w:r>
    </w:p>
    <w:p>
      <w:pPr>
        <w:pStyle w:val="5"/>
        <w:widowControl/>
        <w:shd w:val="clear" w:color="auto" w:fill="FFFFFF"/>
        <w:spacing w:beforeAutospacing="0" w:afterAutospacing="0"/>
        <w:jc w:val="both"/>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四、车辆办证条件：</w:t>
      </w:r>
    </w:p>
    <w:p>
      <w:pPr>
        <w:pStyle w:val="5"/>
        <w:widowControl/>
        <w:shd w:val="clear" w:color="auto" w:fill="FFFFFF"/>
        <w:spacing w:beforeAutospacing="0" w:afterAutospacing="0"/>
        <w:jc w:val="both"/>
        <w:rPr>
          <w:rFonts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rPr>
        <w:t>车辆成交后，由买受人自行了解当地办证政策，成交后不能过户转籍的风险由买受人自行承担。</w:t>
      </w:r>
    </w:p>
    <w:p>
      <w:pPr>
        <w:pStyle w:val="5"/>
        <w:widowControl/>
        <w:shd w:val="clear" w:color="auto" w:fill="FFFFFF"/>
        <w:spacing w:beforeAutospacing="0" w:afterAutospacing="0"/>
        <w:jc w:val="both"/>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五、拍卖时间：</w:t>
      </w:r>
      <w:r>
        <w:rPr>
          <w:rFonts w:hint="eastAsia" w:ascii="仿宋" w:hAnsi="仿宋" w:eastAsia="仿宋" w:cs="仿宋"/>
          <w:color w:val="FF0000"/>
          <w:sz w:val="30"/>
          <w:szCs w:val="30"/>
          <w:shd w:val="clear" w:color="auto" w:fill="FFFFFF"/>
        </w:rPr>
        <w:t>2024年</w:t>
      </w:r>
      <w:r>
        <w:rPr>
          <w:rFonts w:hint="eastAsia" w:ascii="仿宋" w:hAnsi="仿宋" w:eastAsia="仿宋" w:cs="仿宋"/>
          <w:color w:val="FF0000"/>
          <w:sz w:val="30"/>
          <w:szCs w:val="30"/>
          <w:shd w:val="clear" w:color="auto" w:fill="FFFFFF"/>
          <w:lang w:val="en-US" w:eastAsia="zh-CN"/>
        </w:rPr>
        <w:t>2</w:t>
      </w:r>
      <w:r>
        <w:rPr>
          <w:rFonts w:hint="eastAsia" w:ascii="仿宋" w:hAnsi="仿宋" w:eastAsia="仿宋" w:cs="仿宋"/>
          <w:color w:val="FF0000"/>
          <w:sz w:val="30"/>
          <w:szCs w:val="30"/>
          <w:shd w:val="clear" w:color="auto" w:fill="FFFFFF"/>
        </w:rPr>
        <w:t>月</w:t>
      </w:r>
      <w:r>
        <w:rPr>
          <w:rFonts w:hint="eastAsia" w:ascii="仿宋" w:hAnsi="仿宋" w:eastAsia="仿宋" w:cs="仿宋"/>
          <w:color w:val="FF0000"/>
          <w:sz w:val="30"/>
          <w:szCs w:val="30"/>
          <w:shd w:val="clear" w:color="auto" w:fill="FFFFFF"/>
          <w:lang w:val="en-US" w:eastAsia="zh-CN"/>
        </w:rPr>
        <w:t>1</w:t>
      </w:r>
      <w:r>
        <w:rPr>
          <w:rFonts w:hint="eastAsia" w:ascii="仿宋" w:hAnsi="仿宋" w:eastAsia="仿宋" w:cs="仿宋"/>
          <w:color w:val="FF0000"/>
          <w:sz w:val="30"/>
          <w:szCs w:val="30"/>
          <w:shd w:val="clear" w:color="auto" w:fill="FFFFFF"/>
        </w:rPr>
        <w:t>日10时</w:t>
      </w:r>
      <w:r>
        <w:rPr>
          <w:rFonts w:hint="eastAsia" w:ascii="仿宋" w:hAnsi="仿宋" w:eastAsia="仿宋" w:cs="仿宋"/>
          <w:color w:val="000000"/>
          <w:sz w:val="30"/>
          <w:szCs w:val="30"/>
          <w:shd w:val="clear" w:color="auto" w:fill="FFFFFF"/>
        </w:rPr>
        <w:t>至</w:t>
      </w:r>
      <w:r>
        <w:rPr>
          <w:rFonts w:hint="eastAsia" w:ascii="仿宋" w:hAnsi="仿宋" w:eastAsia="仿宋" w:cs="仿宋"/>
          <w:color w:val="FF0000"/>
          <w:sz w:val="30"/>
          <w:szCs w:val="30"/>
          <w:shd w:val="clear" w:color="auto" w:fill="FFFFFF"/>
        </w:rPr>
        <w:t>2024年</w:t>
      </w:r>
      <w:r>
        <w:rPr>
          <w:rFonts w:hint="eastAsia" w:ascii="仿宋" w:hAnsi="仿宋" w:eastAsia="仿宋" w:cs="仿宋"/>
          <w:color w:val="FF0000"/>
          <w:sz w:val="30"/>
          <w:szCs w:val="30"/>
          <w:shd w:val="clear" w:color="auto" w:fill="FFFFFF"/>
          <w:lang w:val="en-US" w:eastAsia="zh-CN"/>
        </w:rPr>
        <w:t>2</w:t>
      </w:r>
      <w:r>
        <w:rPr>
          <w:rFonts w:hint="eastAsia" w:ascii="仿宋" w:hAnsi="仿宋" w:eastAsia="仿宋" w:cs="仿宋"/>
          <w:color w:val="FF0000"/>
          <w:sz w:val="30"/>
          <w:szCs w:val="30"/>
          <w:shd w:val="clear" w:color="auto" w:fill="FFFFFF"/>
        </w:rPr>
        <w:t>月</w:t>
      </w:r>
      <w:r>
        <w:rPr>
          <w:rFonts w:hint="eastAsia" w:ascii="仿宋" w:hAnsi="仿宋" w:eastAsia="仿宋" w:cs="仿宋"/>
          <w:color w:val="FF0000"/>
          <w:sz w:val="30"/>
          <w:szCs w:val="30"/>
          <w:shd w:val="clear" w:color="auto" w:fill="FFFFFF"/>
          <w:lang w:val="en-US" w:eastAsia="zh-CN"/>
        </w:rPr>
        <w:t>2</w:t>
      </w:r>
      <w:r>
        <w:rPr>
          <w:rFonts w:hint="eastAsia" w:ascii="仿宋" w:hAnsi="仿宋" w:eastAsia="仿宋" w:cs="仿宋"/>
          <w:color w:val="FF0000"/>
          <w:sz w:val="30"/>
          <w:szCs w:val="30"/>
          <w:shd w:val="clear" w:color="auto" w:fill="FFFFFF"/>
        </w:rPr>
        <w:t>日10时止</w:t>
      </w:r>
      <w:r>
        <w:rPr>
          <w:rFonts w:hint="eastAsia" w:ascii="仿宋" w:hAnsi="仿宋" w:eastAsia="仿宋" w:cs="仿宋"/>
          <w:color w:val="000000"/>
          <w:sz w:val="30"/>
          <w:szCs w:val="30"/>
          <w:shd w:val="clear" w:color="auto" w:fill="FFFFFF"/>
        </w:rPr>
        <w:t>（延时除外）。</w:t>
      </w:r>
    </w:p>
    <w:p>
      <w:pPr>
        <w:pStyle w:val="5"/>
        <w:widowControl/>
        <w:shd w:val="clear" w:color="auto" w:fill="FFFFFF"/>
        <w:spacing w:beforeAutospacing="0" w:afterAutospacing="0"/>
        <w:jc w:val="both"/>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六、竞买人须完成拍卖标的实地看样并签署看样确认单后，在拍卖竞价程序结束前交纳保证金，经委托方或网络服务提供者确认后取得竞买资格。未竞得标的的竞买人所交付的保证金将退还原支付账户。保证金均不计利息。</w:t>
      </w:r>
    </w:p>
    <w:p>
      <w:pPr>
        <w:pStyle w:val="5"/>
        <w:widowControl/>
        <w:shd w:val="clear" w:color="auto" w:fill="FFFFFF"/>
        <w:spacing w:beforeAutospacing="0" w:afterAutospacing="0"/>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七、拍卖方式：设有起拍价的增价拍卖方式。竞价程序结束前五分钟内无人出价的，最后出价即为成交价；有出价的，竞价时间自该出价时点顺延五分钟。</w:t>
      </w:r>
    </w:p>
    <w:p>
      <w:pPr>
        <w:pStyle w:val="5"/>
        <w:widowControl/>
        <w:shd w:val="clear" w:color="auto" w:fill="FFFFFF"/>
        <w:spacing w:beforeAutospacing="0" w:afterAutospacing="0"/>
        <w:jc w:val="both"/>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八、咨询、展示：自公告之日起至拍卖结束前，可向管理人咨询并预约看样。联系人：杨律师（13812271497）。</w:t>
      </w:r>
    </w:p>
    <w:p>
      <w:pPr>
        <w:pStyle w:val="5"/>
        <w:widowControl/>
        <w:shd w:val="clear" w:color="auto" w:fill="FFFFFF"/>
        <w:spacing w:beforeAutospacing="0" w:afterAutospacing="0"/>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九、标的物以其现状为准（除车牌外），破产管理人对标的物所作的说明和提供的视频资料、图片等，仅供竞买人参考，管理人不承担拍卖标的资产的瑕疵保证责任。竞买人应对拍卖标的的实际状况以及瑕疵（含显性、隐性瑕疵）等自行调查核实。有意者请亲自实地看样，未看样的竞买人视为对标的物及相关实物现状的确认，责任自负。请竞买人在拍卖竞价前务必仔细阅读《标的物介绍》及《竞买须知》。</w:t>
      </w:r>
    </w:p>
    <w:p>
      <w:pPr>
        <w:pStyle w:val="5"/>
        <w:widowControl/>
        <w:shd w:val="clear" w:color="auto" w:fill="FFFFFF"/>
        <w:spacing w:beforeAutospacing="0" w:afterAutospacing="0"/>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十、拍卖产生相关费用</w:t>
      </w:r>
    </w:p>
    <w:p>
      <w:pPr>
        <w:pStyle w:val="5"/>
        <w:widowControl/>
        <w:shd w:val="clear" w:color="auto" w:fill="FFFFFF"/>
        <w:spacing w:beforeAutospacing="0" w:afterAutospacing="0"/>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pStyle w:val="5"/>
        <w:widowControl/>
        <w:shd w:val="clear" w:color="auto" w:fill="FFFFFF"/>
        <w:spacing w:beforeAutospacing="0" w:afterAutospacing="0"/>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十一、拍卖成交后，买受人交纳的保证金可以充抵价款，本标的物买受人原锁定的保证金24小时内自动转入管理人指定账户。</w:t>
      </w:r>
      <w:r>
        <w:rPr>
          <w:rFonts w:hint="eastAsia" w:ascii="仿宋" w:hAnsi="仿宋" w:eastAsia="仿宋" w:cs="仿宋"/>
          <w:color w:val="000000"/>
          <w:sz w:val="30"/>
          <w:szCs w:val="30"/>
          <w:u w:val="single"/>
          <w:shd w:val="clear" w:color="auto" w:fill="FFFFFF"/>
        </w:rPr>
        <w:t>办证过户履约保证金、拍卖余款请买受人于2024年</w:t>
      </w:r>
      <w:r>
        <w:rPr>
          <w:rFonts w:hint="eastAsia" w:ascii="仿宋" w:hAnsi="仿宋" w:eastAsia="仿宋" w:cs="仿宋"/>
          <w:color w:val="000000"/>
          <w:sz w:val="30"/>
          <w:szCs w:val="30"/>
          <w:u w:val="single"/>
          <w:shd w:val="clear" w:color="auto" w:fill="FFFFFF"/>
          <w:lang w:val="en-US" w:eastAsia="zh-CN"/>
        </w:rPr>
        <w:t>2</w:t>
      </w:r>
      <w:r>
        <w:rPr>
          <w:rFonts w:hint="eastAsia" w:ascii="仿宋" w:hAnsi="仿宋" w:eastAsia="仿宋" w:cs="仿宋"/>
          <w:color w:val="000000"/>
          <w:sz w:val="30"/>
          <w:szCs w:val="30"/>
          <w:u w:val="single"/>
          <w:shd w:val="clear" w:color="auto" w:fill="FFFFFF"/>
        </w:rPr>
        <w:t>月5日10:00时前汇款至管理人指定账户：</w:t>
      </w:r>
    </w:p>
    <w:p>
      <w:pPr>
        <w:pStyle w:val="5"/>
        <w:widowControl/>
        <w:shd w:val="clear" w:color="auto" w:fill="FFFFFF"/>
        <w:spacing w:beforeAutospacing="0" w:afterAutospacing="0"/>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开户行：中信银行股份有限公司上海杨浦支行</w:t>
      </w:r>
    </w:p>
    <w:p>
      <w:pPr>
        <w:pStyle w:val="5"/>
        <w:widowControl/>
        <w:shd w:val="clear" w:color="auto" w:fill="FFFFFF"/>
        <w:spacing w:beforeAutospacing="0" w:afterAutospacing="0"/>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户  名：上海中齐建设工程发展有限公司管理人</w:t>
      </w:r>
    </w:p>
    <w:p>
      <w:pPr>
        <w:pStyle w:val="5"/>
        <w:widowControl/>
        <w:shd w:val="clear" w:color="auto" w:fill="FFFFFF"/>
        <w:spacing w:beforeAutospacing="0" w:afterAutospacing="0"/>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账  号：8110201012901713397</w:t>
      </w:r>
    </w:p>
    <w:p>
      <w:pPr>
        <w:pStyle w:val="5"/>
        <w:widowControl/>
        <w:numPr>
          <w:ilvl w:val="0"/>
          <w:numId w:val="1"/>
        </w:numPr>
        <w:shd w:val="clear" w:color="auto" w:fill="FFFFFF"/>
        <w:spacing w:beforeAutospacing="0" w:afterAutospacing="0"/>
        <w:rPr>
          <w:rFonts w:hint="eastAsia"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hint="eastAsia" w:ascii="仿宋" w:hAnsi="仿宋" w:eastAsia="仿宋" w:cs="仿宋"/>
          <w:color w:val="000000"/>
          <w:sz w:val="30"/>
          <w:szCs w:val="30"/>
          <w:shd w:val="clear" w:color="auto" w:fill="FFFFFF"/>
        </w:rPr>
        <w:fldChar w:fldCharType="begin"/>
      </w:r>
      <w:r>
        <w:rPr>
          <w:rFonts w:hint="eastAsia" w:ascii="仿宋" w:hAnsi="仿宋" w:eastAsia="仿宋" w:cs="仿宋"/>
          <w:color w:val="000000"/>
          <w:sz w:val="30"/>
          <w:szCs w:val="30"/>
          <w:shd w:val="clear" w:color="auto" w:fill="FFFFFF"/>
        </w:rPr>
        <w:instrText xml:space="preserve"> HYPERLINK "https://www.taobao.com/market/paimai/sf-helpcenter.php?path=sf-hc-right-content5#q1。" </w:instrText>
      </w:r>
      <w:r>
        <w:rPr>
          <w:rFonts w:hint="eastAsia" w:ascii="仿宋" w:hAnsi="仿宋" w:eastAsia="仿宋" w:cs="仿宋"/>
          <w:color w:val="000000"/>
          <w:sz w:val="30"/>
          <w:szCs w:val="30"/>
          <w:shd w:val="clear" w:color="auto" w:fill="FFFFFF"/>
        </w:rPr>
        <w:fldChar w:fldCharType="separate"/>
      </w:r>
      <w:r>
        <w:rPr>
          <w:rStyle w:val="8"/>
          <w:rFonts w:hint="eastAsia" w:ascii="仿宋" w:hAnsi="仿宋" w:eastAsia="仿宋" w:cs="仿宋"/>
          <w:color w:val="000000"/>
          <w:sz w:val="30"/>
          <w:szCs w:val="30"/>
          <w:shd w:val="clear" w:color="auto" w:fill="FFFFFF"/>
        </w:rPr>
        <w:t>https://www.taobao.com/market/paimai/sf-helpcenter.php?path=sf-hc-right-content5#q1。</w:t>
      </w:r>
      <w:r>
        <w:rPr>
          <w:rFonts w:hint="eastAsia" w:ascii="仿宋" w:hAnsi="仿宋" w:eastAsia="仿宋" w:cs="仿宋"/>
          <w:color w:val="000000"/>
          <w:sz w:val="30"/>
          <w:szCs w:val="30"/>
          <w:shd w:val="clear" w:color="auto" w:fill="FFFFFF"/>
        </w:rPr>
        <w:fldChar w:fldCharType="end"/>
      </w:r>
    </w:p>
    <w:p>
      <w:pPr>
        <w:pStyle w:val="5"/>
        <w:widowControl/>
        <w:numPr>
          <w:ilvl w:val="0"/>
          <w:numId w:val="1"/>
        </w:numPr>
        <w:shd w:val="clear" w:color="auto" w:fill="FFFFFF"/>
        <w:spacing w:beforeAutospacing="0" w:afterAutospacing="0"/>
        <w:rPr>
          <w:rFonts w:hint="eastAsia"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rPr>
        <w:t>拍卖成交后，买受人另需支付停车出库、车辆评估检测费费用合计【2325】元（不含发票）后，方可办理车辆过户手续并提车。</w:t>
      </w:r>
    </w:p>
    <w:p>
      <w:pPr>
        <w:pStyle w:val="5"/>
        <w:widowControl/>
        <w:shd w:val="clear" w:color="auto" w:fill="FFFFFF"/>
        <w:spacing w:beforeAutospacing="0" w:afterAutospacing="0"/>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十</w:t>
      </w:r>
      <w:r>
        <w:rPr>
          <w:rFonts w:hint="eastAsia" w:ascii="仿宋" w:hAnsi="仿宋" w:eastAsia="仿宋" w:cs="仿宋"/>
          <w:color w:val="000000"/>
          <w:sz w:val="30"/>
          <w:szCs w:val="30"/>
          <w:shd w:val="clear" w:color="auto" w:fill="FFFFFF"/>
          <w:lang w:val="en-US" w:eastAsia="zh-CN"/>
        </w:rPr>
        <w:t>四</w:t>
      </w:r>
      <w:r>
        <w:rPr>
          <w:rFonts w:hint="eastAsia" w:ascii="仿宋" w:hAnsi="仿宋" w:eastAsia="仿宋" w:cs="仿宋"/>
          <w:color w:val="000000"/>
          <w:sz w:val="30"/>
          <w:szCs w:val="30"/>
          <w:shd w:val="clear" w:color="auto" w:fill="FFFFFF"/>
        </w:rPr>
        <w:t>、沪籍车辆标的物转让登记手续由管理人协助买受人办理。在办理过户时所涉及的一切费用，均由买受人承担（包括但不限于过户办证费</w:t>
      </w:r>
      <w:r>
        <w:rPr>
          <w:rFonts w:hint="eastAsia" w:ascii="仿宋" w:hAnsi="仿宋" w:eastAsia="仿宋" w:cs="仿宋"/>
          <w:color w:val="000000"/>
          <w:sz w:val="30"/>
          <w:szCs w:val="30"/>
          <w:shd w:val="clear" w:color="auto" w:fill="FFFFFF"/>
          <w:lang w:eastAsia="zh-CN"/>
        </w:rPr>
        <w:t>、</w:t>
      </w:r>
      <w:bookmarkStart w:id="0" w:name="_GoBack"/>
      <w:bookmarkEnd w:id="0"/>
      <w:r>
        <w:rPr>
          <w:rFonts w:hint="eastAsia" w:ascii="仿宋" w:hAnsi="仿宋" w:eastAsia="仿宋" w:cs="仿宋"/>
          <w:color w:val="000000"/>
          <w:sz w:val="30"/>
          <w:szCs w:val="30"/>
          <w:shd w:val="clear" w:color="auto" w:fill="FFFFFF"/>
        </w:rPr>
        <w:t>车辆退牌费、车辆上牌费、停车费、拖车费、过户交易费、补验车、购买保险、违章扣分和罚款及违章滞纳金等）。</w:t>
      </w:r>
    </w:p>
    <w:p>
      <w:pPr>
        <w:pStyle w:val="5"/>
        <w:widowControl/>
        <w:shd w:val="clear" w:color="auto" w:fill="FFFFFF"/>
        <w:spacing w:beforeAutospacing="0" w:afterAutospacing="0"/>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十</w:t>
      </w:r>
      <w:r>
        <w:rPr>
          <w:rFonts w:hint="eastAsia" w:ascii="仿宋" w:hAnsi="仿宋" w:eastAsia="仿宋" w:cs="仿宋"/>
          <w:color w:val="000000"/>
          <w:sz w:val="30"/>
          <w:szCs w:val="30"/>
          <w:shd w:val="clear" w:color="auto" w:fill="FFFFFF"/>
          <w:lang w:val="en-US" w:eastAsia="zh-CN"/>
        </w:rPr>
        <w:t>五</w:t>
      </w:r>
      <w:r>
        <w:rPr>
          <w:rFonts w:hint="eastAsia" w:ascii="仿宋" w:hAnsi="仿宋" w:eastAsia="仿宋" w:cs="仿宋"/>
          <w:color w:val="000000"/>
          <w:sz w:val="30"/>
          <w:szCs w:val="30"/>
          <w:shd w:val="clear" w:color="auto" w:fill="FFFFFF"/>
        </w:rPr>
        <w:t>、对上述标的权属有异议者，请于2024年</w:t>
      </w:r>
      <w:r>
        <w:rPr>
          <w:rFonts w:hint="eastAsia" w:ascii="仿宋" w:hAnsi="仿宋" w:eastAsia="仿宋" w:cs="仿宋"/>
          <w:color w:val="000000"/>
          <w:sz w:val="30"/>
          <w:szCs w:val="30"/>
          <w:shd w:val="clear" w:color="auto" w:fill="FFFFFF"/>
          <w:lang w:val="en-US" w:eastAsia="zh-CN"/>
        </w:rPr>
        <w:t>1</w:t>
      </w:r>
      <w:r>
        <w:rPr>
          <w:rFonts w:hint="eastAsia" w:ascii="仿宋" w:hAnsi="仿宋" w:eastAsia="仿宋" w:cs="仿宋"/>
          <w:color w:val="000000"/>
          <w:sz w:val="30"/>
          <w:szCs w:val="30"/>
          <w:shd w:val="clear" w:color="auto" w:fill="FFFFFF"/>
        </w:rPr>
        <w:t>月</w:t>
      </w:r>
      <w:r>
        <w:rPr>
          <w:rFonts w:hint="eastAsia" w:ascii="仿宋" w:hAnsi="仿宋" w:eastAsia="仿宋" w:cs="仿宋"/>
          <w:color w:val="000000"/>
          <w:sz w:val="30"/>
          <w:szCs w:val="30"/>
          <w:shd w:val="clear" w:color="auto" w:fill="FFFFFF"/>
          <w:lang w:val="en-US" w:eastAsia="zh-CN"/>
        </w:rPr>
        <w:t>31</w:t>
      </w:r>
      <w:r>
        <w:rPr>
          <w:rFonts w:hint="eastAsia" w:ascii="仿宋" w:hAnsi="仿宋" w:eastAsia="仿宋" w:cs="仿宋"/>
          <w:color w:val="000000"/>
          <w:sz w:val="30"/>
          <w:szCs w:val="30"/>
          <w:shd w:val="clear" w:color="auto" w:fill="FFFFFF"/>
        </w:rPr>
        <w:t>日前与管理人联系。</w:t>
      </w:r>
    </w:p>
    <w:p>
      <w:pPr>
        <w:pStyle w:val="5"/>
        <w:widowControl/>
        <w:shd w:val="clear" w:color="auto" w:fill="FFFFFF"/>
        <w:spacing w:beforeAutospacing="0" w:afterAutospacing="0"/>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十</w:t>
      </w:r>
      <w:r>
        <w:rPr>
          <w:rFonts w:hint="eastAsia" w:ascii="仿宋" w:hAnsi="仿宋" w:eastAsia="仿宋" w:cs="仿宋"/>
          <w:color w:val="000000"/>
          <w:sz w:val="30"/>
          <w:szCs w:val="30"/>
          <w:shd w:val="clear" w:color="auto" w:fill="FFFFFF"/>
          <w:lang w:val="en-US" w:eastAsia="zh-CN"/>
        </w:rPr>
        <w:t>六</w:t>
      </w:r>
      <w:r>
        <w:rPr>
          <w:rFonts w:hint="eastAsia" w:ascii="仿宋" w:hAnsi="仿宋" w:eastAsia="仿宋" w:cs="仿宋"/>
          <w:color w:val="000000"/>
          <w:sz w:val="30"/>
          <w:szCs w:val="30"/>
          <w:shd w:val="clear" w:color="auto" w:fill="FFFFFF"/>
        </w:rPr>
        <w:t>、本次拍卖事项经委托方通知各方当事人。若无法送达，自本公告发布之日起经过</w:t>
      </w:r>
      <w:r>
        <w:rPr>
          <w:rFonts w:hint="eastAsia" w:ascii="仿宋" w:hAnsi="仿宋" w:eastAsia="仿宋" w:cs="仿宋"/>
          <w:color w:val="000000"/>
          <w:sz w:val="30"/>
          <w:szCs w:val="30"/>
          <w:shd w:val="clear" w:color="auto" w:fill="FFFFFF"/>
          <w:lang w:val="en-US" w:eastAsia="zh-CN"/>
        </w:rPr>
        <w:t>10</w:t>
      </w:r>
      <w:r>
        <w:rPr>
          <w:rFonts w:hint="eastAsia" w:ascii="仿宋" w:hAnsi="仿宋" w:eastAsia="仿宋" w:cs="仿宋"/>
          <w:color w:val="000000"/>
          <w:sz w:val="30"/>
          <w:szCs w:val="30"/>
          <w:shd w:val="clear" w:color="auto" w:fill="FFFFFF"/>
        </w:rPr>
        <w:t>天即视为送达。</w:t>
      </w:r>
    </w:p>
    <w:p>
      <w:pPr>
        <w:pStyle w:val="5"/>
        <w:widowControl/>
        <w:shd w:val="clear" w:color="auto" w:fill="FFFFFF"/>
        <w:spacing w:beforeAutospacing="0" w:afterAutospacing="0"/>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十</w:t>
      </w:r>
      <w:r>
        <w:rPr>
          <w:rFonts w:hint="eastAsia" w:ascii="仿宋" w:hAnsi="仿宋" w:eastAsia="仿宋" w:cs="仿宋"/>
          <w:color w:val="000000"/>
          <w:sz w:val="30"/>
          <w:szCs w:val="30"/>
          <w:shd w:val="clear" w:color="auto" w:fill="FFFFFF"/>
          <w:lang w:val="en-US" w:eastAsia="zh-CN"/>
        </w:rPr>
        <w:t>七</w:t>
      </w:r>
      <w:r>
        <w:rPr>
          <w:rFonts w:hint="eastAsia" w:ascii="仿宋" w:hAnsi="仿宋" w:eastAsia="仿宋" w:cs="仿宋"/>
          <w:color w:val="000000"/>
          <w:sz w:val="30"/>
          <w:szCs w:val="30"/>
          <w:shd w:val="clear" w:color="auto" w:fill="FFFFFF"/>
        </w:rPr>
        <w:t>、本公告未尽事宜，请向管理人咨询。</w:t>
      </w:r>
    </w:p>
    <w:p>
      <w:pPr>
        <w:pStyle w:val="5"/>
        <w:widowControl/>
        <w:shd w:val="clear" w:color="auto" w:fill="FFFFFF"/>
        <w:spacing w:beforeAutospacing="0" w:afterAutospacing="0" w:line="390" w:lineRule="atLeast"/>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管理人：上海正策律师事务所。</w:t>
      </w:r>
    </w:p>
    <w:p>
      <w:pPr>
        <w:pStyle w:val="5"/>
        <w:widowControl/>
        <w:shd w:val="clear" w:color="auto" w:fill="FFFFFF"/>
        <w:spacing w:beforeAutospacing="0" w:afterAutospacing="0" w:line="390" w:lineRule="atLeast"/>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咨询电话：杨律师（13812271497）。</w:t>
      </w:r>
    </w:p>
    <w:p>
      <w:pPr>
        <w:pStyle w:val="5"/>
        <w:widowControl/>
        <w:shd w:val="clear" w:color="auto" w:fill="FFFFFF"/>
        <w:spacing w:beforeAutospacing="0" w:afterAutospacing="0" w:line="390" w:lineRule="atLeast"/>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淘宝技术咨询：400-822-2870。</w:t>
      </w:r>
    </w:p>
    <w:p>
      <w:pPr>
        <w:pStyle w:val="5"/>
        <w:widowControl/>
        <w:shd w:val="clear" w:color="auto" w:fill="FFFFFF"/>
        <w:spacing w:beforeAutospacing="0" w:afterAutospacing="0" w:line="390" w:lineRule="atLeast"/>
        <w:jc w:val="right"/>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上海中齐建设工程发展有限公司管理人</w:t>
      </w:r>
    </w:p>
    <w:p>
      <w:pPr>
        <w:pStyle w:val="5"/>
        <w:widowControl/>
        <w:shd w:val="clear" w:color="auto" w:fill="FFFFFF"/>
        <w:spacing w:beforeAutospacing="0" w:afterAutospacing="0" w:line="390" w:lineRule="atLeast"/>
        <w:jc w:val="right"/>
        <w:rPr>
          <w:rFonts w:ascii="仿宋" w:hAnsi="仿宋" w:eastAsia="仿宋" w:cs="仿宋"/>
          <w:color w:val="000000"/>
          <w:sz w:val="27"/>
          <w:szCs w:val="27"/>
        </w:rPr>
      </w:pPr>
      <w:r>
        <w:rPr>
          <w:rFonts w:hint="eastAsia" w:ascii="仿宋" w:hAnsi="仿宋" w:eastAsia="仿宋" w:cs="仿宋"/>
          <w:color w:val="000000"/>
          <w:sz w:val="30"/>
          <w:szCs w:val="30"/>
          <w:shd w:val="clear" w:color="auto" w:fill="FFFFFF"/>
        </w:rPr>
        <w:t>2024年1月</w:t>
      </w:r>
      <w:r>
        <w:rPr>
          <w:rFonts w:hint="eastAsia" w:ascii="仿宋" w:hAnsi="仿宋" w:eastAsia="仿宋" w:cs="仿宋"/>
          <w:color w:val="000000"/>
          <w:sz w:val="30"/>
          <w:szCs w:val="30"/>
          <w:shd w:val="clear" w:color="auto" w:fill="FFFFFF"/>
          <w:lang w:val="en-US" w:eastAsia="zh-CN"/>
        </w:rPr>
        <w:t>17</w:t>
      </w:r>
      <w:r>
        <w:rPr>
          <w:rFonts w:hint="eastAsia" w:ascii="仿宋" w:hAnsi="仿宋" w:eastAsia="仿宋" w:cs="仿宋"/>
          <w:color w:val="000000"/>
          <w:sz w:val="30"/>
          <w:szCs w:val="30"/>
          <w:shd w:val="clear" w:color="auto" w:fill="FFFFFF"/>
        </w:rPr>
        <w:t>日</w:t>
      </w:r>
    </w:p>
    <w:p>
      <w:pPr>
        <w:widowControl/>
        <w:jc w:val="left"/>
        <w:rPr>
          <w:rFonts w:ascii="仿宋" w:hAnsi="仿宋" w:eastAsia="仿宋" w:cs="仿宋"/>
        </w:rPr>
      </w:pPr>
    </w:p>
    <w:p>
      <w:pPr>
        <w:rPr>
          <w:rFonts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FD3C18"/>
    <w:multiLevelType w:val="singleLevel"/>
    <w:tmpl w:val="B9FD3C18"/>
    <w:lvl w:ilvl="0" w:tentative="0">
      <w:start w:val="1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JhN2U0N2YxMTJiZGVlMmYzM2MwNDlhNjAwZGZlMWQifQ=="/>
  </w:docVars>
  <w:rsids>
    <w:rsidRoot w:val="5F7E7A49"/>
    <w:rsid w:val="008260C4"/>
    <w:rsid w:val="00C163E5"/>
    <w:rsid w:val="00C612F5"/>
    <w:rsid w:val="076F17EB"/>
    <w:rsid w:val="080C014B"/>
    <w:rsid w:val="1289208F"/>
    <w:rsid w:val="16F100FD"/>
    <w:rsid w:val="1C1C590A"/>
    <w:rsid w:val="263E62D7"/>
    <w:rsid w:val="27D07660"/>
    <w:rsid w:val="29F85218"/>
    <w:rsid w:val="2AE568ED"/>
    <w:rsid w:val="2FFC0F5C"/>
    <w:rsid w:val="35453974"/>
    <w:rsid w:val="42BE597D"/>
    <w:rsid w:val="479864E3"/>
    <w:rsid w:val="49AE0E18"/>
    <w:rsid w:val="5051026C"/>
    <w:rsid w:val="5B1651BC"/>
    <w:rsid w:val="5E5847B1"/>
    <w:rsid w:val="5F7E7A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7">
    <w:name w:val="Default Paragraph Font"/>
    <w:autoRedefine/>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semiHidden/>
    <w:qFormat/>
    <w:uiPriority w:val="0"/>
    <w:rPr>
      <w:rFonts w:ascii="宋体" w:hAnsi="宋体" w:eastAsia="宋体" w:cs="宋体"/>
      <w:sz w:val="21"/>
      <w:szCs w:val="21"/>
      <w:lang w:eastAsia="en-US"/>
    </w:rPr>
  </w:style>
  <w:style w:type="paragraph" w:styleId="3">
    <w:name w:val="footer"/>
    <w:basedOn w:val="1"/>
    <w:link w:val="12"/>
    <w:autoRedefine/>
    <w:qFormat/>
    <w:uiPriority w:val="0"/>
    <w:pPr>
      <w:tabs>
        <w:tab w:val="center" w:pos="4153"/>
        <w:tab w:val="right" w:pos="8306"/>
      </w:tabs>
      <w:snapToGrid w:val="0"/>
      <w:jc w:val="left"/>
    </w:pPr>
    <w:rPr>
      <w:sz w:val="18"/>
      <w:szCs w:val="18"/>
    </w:rPr>
  </w:style>
  <w:style w:type="paragraph" w:styleId="4">
    <w:name w:val="header"/>
    <w:basedOn w:val="1"/>
    <w:link w:val="11"/>
    <w:autoRedefine/>
    <w:qFormat/>
    <w:uiPriority w:val="0"/>
    <w:pPr>
      <w:tabs>
        <w:tab w:val="center" w:pos="4153"/>
        <w:tab w:val="right" w:pos="8306"/>
      </w:tabs>
      <w:snapToGrid w:val="0"/>
      <w:jc w:val="center"/>
    </w:pPr>
    <w:rPr>
      <w:sz w:val="18"/>
      <w:szCs w:val="18"/>
    </w:rPr>
  </w:style>
  <w:style w:type="paragraph" w:styleId="5">
    <w:name w:val="Normal (Web)"/>
    <w:basedOn w:val="1"/>
    <w:autoRedefine/>
    <w:qFormat/>
    <w:uiPriority w:val="0"/>
    <w:pPr>
      <w:spacing w:beforeAutospacing="1" w:afterAutospacing="1"/>
      <w:jc w:val="left"/>
    </w:pPr>
    <w:rPr>
      <w:rFonts w:cs="Times New Roman"/>
      <w:kern w:val="0"/>
    </w:rPr>
  </w:style>
  <w:style w:type="character" w:styleId="8">
    <w:name w:val="Hyperlink"/>
    <w:basedOn w:val="7"/>
    <w:uiPriority w:val="0"/>
    <w:rPr>
      <w:color w:val="0000FF"/>
      <w:u w:val="single"/>
    </w:rPr>
  </w:style>
  <w:style w:type="paragraph" w:customStyle="1" w:styleId="9">
    <w:name w:val="Table Text"/>
    <w:basedOn w:val="1"/>
    <w:autoRedefine/>
    <w:semiHidden/>
    <w:qFormat/>
    <w:uiPriority w:val="0"/>
    <w:rPr>
      <w:rFonts w:ascii="宋体" w:hAnsi="宋体" w:eastAsia="宋体" w:cs="宋体"/>
      <w:lang w:eastAsia="en-US"/>
    </w:rPr>
  </w:style>
  <w:style w:type="table" w:customStyle="1" w:styleId="10">
    <w:name w:val="Table Normal"/>
    <w:autoRedefine/>
    <w:semiHidden/>
    <w:unhideWhenUsed/>
    <w:qFormat/>
    <w:uiPriority w:val="0"/>
    <w:tblPr>
      <w:tblCellMar>
        <w:top w:w="0" w:type="dxa"/>
        <w:left w:w="0" w:type="dxa"/>
        <w:bottom w:w="0" w:type="dxa"/>
        <w:right w:w="0" w:type="dxa"/>
      </w:tblCellMar>
    </w:tblPr>
  </w:style>
  <w:style w:type="character" w:customStyle="1" w:styleId="11">
    <w:name w:val="页眉 字符"/>
    <w:basedOn w:val="7"/>
    <w:link w:val="4"/>
    <w:autoRedefine/>
    <w:qFormat/>
    <w:uiPriority w:val="0"/>
    <w:rPr>
      <w:rFonts w:asciiTheme="minorHAnsi" w:hAnsiTheme="minorHAnsi" w:eastAsiaTheme="minorEastAsia" w:cstheme="minorBidi"/>
      <w:kern w:val="2"/>
      <w:sz w:val="18"/>
      <w:szCs w:val="18"/>
    </w:rPr>
  </w:style>
  <w:style w:type="character" w:customStyle="1" w:styleId="12">
    <w:name w:val="页脚 字符"/>
    <w:basedOn w:val="7"/>
    <w:link w:val="3"/>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404</Words>
  <Characters>2306</Characters>
  <Lines>19</Lines>
  <Paragraphs>5</Paragraphs>
  <TotalTime>0</TotalTime>
  <ScaleCrop>false</ScaleCrop>
  <LinksUpToDate>false</LinksUpToDate>
  <CharactersWithSpaces>2705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2024-01-05T10:22:00Z</dcterms:created>
  <dc:creator>杨帅</dc:creator>
  <cp:lastModifiedBy>LGD</cp:lastModifiedBy>
  <dcterms:modified xsi:type="dcterms:W3CDTF">2024-01-17T06:00:38Z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3D1E687149BB4DBBA1B5418B1F4B3409_13</vt:lpwstr>
  </property>
</Properties>
</file>