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kinsoku/>
        <w:overflowPunct/>
        <w:topLinePunct w:val="0"/>
        <w:autoSpaceDE/>
        <w:autoSpaceDN/>
        <w:bidi w:val="0"/>
        <w:adjustRightInd/>
        <w:snapToGrid/>
        <w:spacing w:before="240" w:beforeAutospacing="0" w:afterAutospacing="0" w:line="360" w:lineRule="auto"/>
        <w:ind w:firstLine="560" w:firstLineChars="200"/>
        <w:jc w:val="center"/>
        <w:textAlignment w:val="auto"/>
        <w:rPr>
          <w:rFonts w:hint="eastAsia" w:asciiTheme="minorEastAsia" w:hAnsiTheme="minorEastAsia" w:eastAsiaTheme="minorEastAsia" w:cstheme="minorEastAsia"/>
          <w:color w:val="auto"/>
          <w:sz w:val="28"/>
          <w:szCs w:val="28"/>
          <w:highlight w:val="none"/>
          <w:lang w:eastAsia="zh-Hans"/>
        </w:rPr>
      </w:pPr>
      <w:r>
        <w:rPr>
          <w:rFonts w:hint="eastAsia" w:asciiTheme="minorEastAsia" w:hAnsiTheme="minorEastAsia" w:eastAsiaTheme="minorEastAsia" w:cstheme="minorEastAsia"/>
          <w:color w:val="auto"/>
          <w:sz w:val="28"/>
          <w:szCs w:val="28"/>
          <w:highlight w:val="none"/>
        </w:rPr>
        <w:t>上海赛安生物医药科技股份有限公司</w:t>
      </w:r>
      <w:r>
        <w:rPr>
          <w:rFonts w:hint="eastAsia" w:asciiTheme="minorEastAsia" w:hAnsiTheme="minorEastAsia" w:eastAsiaTheme="minorEastAsia" w:cstheme="minorEastAsia"/>
          <w:color w:val="auto"/>
          <w:sz w:val="28"/>
          <w:szCs w:val="28"/>
          <w:highlight w:val="none"/>
          <w:lang w:eastAsia="zh-Hans"/>
        </w:rPr>
        <w:t>持有的公司股权</w:t>
      </w:r>
    </w:p>
    <w:p>
      <w:pPr>
        <w:pStyle w:val="5"/>
        <w:keepNext w:val="0"/>
        <w:keepLines w:val="0"/>
        <w:pageBreakBefore w:val="0"/>
        <w:widowControl/>
        <w:kinsoku/>
        <w:overflowPunct/>
        <w:topLinePunct w:val="0"/>
        <w:autoSpaceDE/>
        <w:autoSpaceDN/>
        <w:bidi w:val="0"/>
        <w:adjustRightInd/>
        <w:snapToGrid/>
        <w:spacing w:before="240" w:beforeAutospacing="0" w:afterAutospacing="0" w:line="360" w:lineRule="auto"/>
        <w:ind w:firstLine="560" w:firstLineChars="200"/>
        <w:jc w:val="center"/>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Hans"/>
        </w:rPr>
        <w:t>第一次</w:t>
      </w:r>
      <w:r>
        <w:rPr>
          <w:rFonts w:hint="eastAsia" w:asciiTheme="minorEastAsia" w:hAnsiTheme="minorEastAsia" w:eastAsiaTheme="minorEastAsia" w:cstheme="minorEastAsia"/>
          <w:color w:val="auto"/>
          <w:sz w:val="28"/>
          <w:szCs w:val="28"/>
          <w:highlight w:val="none"/>
        </w:rPr>
        <w:t>拍卖公告</w:t>
      </w:r>
    </w:p>
    <w:p>
      <w:pPr>
        <w:pStyle w:val="5"/>
        <w:keepNext w:val="0"/>
        <w:keepLines w:val="0"/>
        <w:pageBreakBefore w:val="0"/>
        <w:widowControl/>
        <w:kinsoku/>
        <w:overflowPunct/>
        <w:topLinePunct w:val="0"/>
        <w:autoSpaceDE/>
        <w:autoSpaceDN/>
        <w:bidi w:val="0"/>
        <w:adjustRightInd/>
        <w:snapToGrid/>
        <w:spacing w:before="240" w:beforeAutospacing="0" w:afterAutospacing="0"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上海赛安生物医药科技股份有限公司因不能清偿到期债务，且资产不足以清偿全部债务，上海市第三中级人民法院（下称“三中院”）于2021年12月16日裁定受理上海赛安生物医药科技股份有限公司破产清算一案（下称“</w:t>
      </w:r>
      <w:r>
        <w:rPr>
          <w:rFonts w:hint="eastAsia" w:asciiTheme="minorEastAsia" w:hAnsiTheme="minorEastAsia" w:eastAsiaTheme="minorEastAsia" w:cstheme="minorEastAsia"/>
          <w:color w:val="auto"/>
          <w:sz w:val="24"/>
          <w:szCs w:val="24"/>
          <w:highlight w:val="none"/>
          <w:lang w:eastAsia="zh-Hans"/>
        </w:rPr>
        <w:t>赛安公司</w:t>
      </w:r>
      <w:r>
        <w:rPr>
          <w:rFonts w:hint="eastAsia" w:asciiTheme="minorEastAsia" w:hAnsiTheme="minorEastAsia" w:eastAsiaTheme="minorEastAsia" w:cstheme="minorEastAsia"/>
          <w:color w:val="auto"/>
          <w:sz w:val="24"/>
          <w:szCs w:val="24"/>
          <w:highlight w:val="none"/>
        </w:rPr>
        <w:t>”）破产清算一案，并于2022年1月7日指定</w:t>
      </w:r>
      <w:r>
        <w:rPr>
          <w:rFonts w:hint="eastAsia" w:asciiTheme="minorEastAsia" w:hAnsiTheme="minorEastAsia" w:eastAsiaTheme="minorEastAsia" w:cstheme="minorEastAsia"/>
          <w:color w:val="auto"/>
          <w:sz w:val="24"/>
          <w:szCs w:val="24"/>
          <w:highlight w:val="none"/>
          <w:lang w:eastAsia="zh-Hans"/>
        </w:rPr>
        <w:t>上海市君悦</w:t>
      </w:r>
      <w:r>
        <w:rPr>
          <w:rFonts w:hint="eastAsia" w:asciiTheme="minorEastAsia" w:hAnsiTheme="minorEastAsia" w:eastAsiaTheme="minorEastAsia" w:cstheme="minorEastAsia"/>
          <w:color w:val="auto"/>
          <w:sz w:val="24"/>
          <w:szCs w:val="24"/>
          <w:highlight w:val="none"/>
        </w:rPr>
        <w:t>律师事务所担任上海赛安生物医药科技股份有限公司管理人（下称“管理人”）。</w:t>
      </w:r>
    </w:p>
    <w:p>
      <w:pPr>
        <w:pStyle w:val="5"/>
        <w:keepNext w:val="0"/>
        <w:keepLines w:val="0"/>
        <w:pageBreakBefore w:val="0"/>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管理人将于2024年2月18日10时至2024年2月19日10时止（延时除外）在京东拍卖破产强清平台（处置单位：上海赛安生物医药科技股份有限公司管理人，监督单位：上海市第三中级人民法院，网址：https://auction.jd.com/bankrupt.html）进行公开拍卖活动，现公告如下：</w:t>
      </w:r>
    </w:p>
    <w:p>
      <w:pPr>
        <w:pStyle w:val="5"/>
        <w:keepNext w:val="0"/>
        <w:keepLines w:val="0"/>
        <w:pageBreakBefore w:val="0"/>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一、拍卖标的</w:t>
      </w:r>
    </w:p>
    <w:p>
      <w:pPr>
        <w:pStyle w:val="5"/>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本次拍卖标的</w:t>
      </w:r>
      <w:r>
        <w:rPr>
          <w:rFonts w:hint="eastAsia" w:asciiTheme="minorEastAsia" w:hAnsiTheme="minorEastAsia" w:eastAsiaTheme="minorEastAsia" w:cstheme="minorEastAsia"/>
          <w:color w:val="000000"/>
          <w:sz w:val="24"/>
          <w:szCs w:val="24"/>
          <w:lang w:val="en-US" w:eastAsia="zh-Hans"/>
        </w:rPr>
        <w:t>为</w:t>
      </w:r>
      <w:r>
        <w:rPr>
          <w:rFonts w:hint="eastAsia" w:asciiTheme="minorEastAsia" w:hAnsiTheme="minorEastAsia" w:eastAsiaTheme="minorEastAsia" w:cstheme="minorEastAsia"/>
          <w:color w:val="000000"/>
          <w:sz w:val="24"/>
          <w:szCs w:val="24"/>
        </w:rPr>
        <w:t>上海赛安生物医药科技股份有限公司持有的公司股权，明细详见《上海赛安生物医药科技股份有限公司</w:t>
      </w:r>
      <w:r>
        <w:rPr>
          <w:rFonts w:hint="eastAsia" w:asciiTheme="minorEastAsia" w:hAnsiTheme="minorEastAsia" w:eastAsiaTheme="minorEastAsia" w:cstheme="minorEastAsia"/>
          <w:color w:val="000000"/>
          <w:sz w:val="24"/>
          <w:szCs w:val="24"/>
          <w:lang w:val="en-US" w:eastAsia="zh-Hans"/>
        </w:rPr>
        <w:t>对外投资情况表</w:t>
      </w:r>
      <w:r>
        <w:rPr>
          <w:rFonts w:hint="eastAsia" w:asciiTheme="minorEastAsia" w:hAnsiTheme="minorEastAsia" w:eastAsiaTheme="minorEastAsia" w:cstheme="minorEastAsia"/>
          <w:color w:val="000000"/>
          <w:sz w:val="24"/>
          <w:szCs w:val="24"/>
        </w:rPr>
        <w:t>》。</w:t>
      </w:r>
    </w:p>
    <w:tbl>
      <w:tblPr>
        <w:tblStyle w:val="6"/>
        <w:tblW w:w="8400" w:type="dxa"/>
        <w:tblInd w:w="3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28"/>
        <w:gridCol w:w="2138"/>
        <w:gridCol w:w="1241"/>
        <w:gridCol w:w="1379"/>
        <w:gridCol w:w="1288"/>
        <w:gridCol w:w="1526"/>
      </w:tblGrid>
      <w:tr>
        <w:trPr>
          <w:trHeight w:val="387" w:hRule="atLeast"/>
        </w:trPr>
        <w:tc>
          <w:tcPr>
            <w:tcW w:w="82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lang w:val="en-US" w:eastAsia="zh-Hans"/>
              </w:rPr>
            </w:pPr>
            <w:r>
              <w:rPr>
                <w:rFonts w:hint="eastAsia" w:asciiTheme="minorEastAsia" w:hAnsiTheme="minorEastAsia" w:eastAsiaTheme="minorEastAsia" w:cstheme="minorEastAsia"/>
                <w:color w:val="000000"/>
                <w:kern w:val="0"/>
                <w:sz w:val="24"/>
                <w:szCs w:val="24"/>
                <w:lang w:val="en-US" w:eastAsia="zh-Hans"/>
              </w:rPr>
              <w:t>序号</w:t>
            </w:r>
          </w:p>
        </w:tc>
        <w:tc>
          <w:tcPr>
            <w:tcW w:w="213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lang w:val="en-US" w:eastAsia="zh-Hans"/>
              </w:rPr>
              <w:t>被投资企业</w:t>
            </w:r>
            <w:r>
              <w:rPr>
                <w:rFonts w:hint="eastAsia" w:asciiTheme="minorEastAsia" w:hAnsiTheme="minorEastAsia" w:eastAsiaTheme="minorEastAsia" w:cstheme="minorEastAsia"/>
                <w:color w:val="000000"/>
                <w:kern w:val="0"/>
                <w:sz w:val="24"/>
                <w:szCs w:val="24"/>
              </w:rPr>
              <w:t>名称</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lang w:val="en-US" w:eastAsia="zh-Hans"/>
              </w:rPr>
            </w:pPr>
            <w:r>
              <w:rPr>
                <w:rFonts w:hint="eastAsia" w:asciiTheme="minorEastAsia" w:hAnsiTheme="minorEastAsia" w:eastAsiaTheme="minorEastAsia" w:cstheme="minorEastAsia"/>
                <w:color w:val="000000"/>
                <w:kern w:val="0"/>
                <w:sz w:val="24"/>
                <w:szCs w:val="24"/>
                <w:lang w:val="en-US" w:eastAsia="zh-Hans"/>
              </w:rPr>
              <w:t>成立日期</w:t>
            </w:r>
          </w:p>
        </w:tc>
        <w:tc>
          <w:tcPr>
            <w:tcW w:w="1379"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lang w:val="en-US" w:eastAsia="zh-Hans"/>
              </w:rPr>
            </w:pPr>
            <w:r>
              <w:rPr>
                <w:rFonts w:hint="eastAsia" w:asciiTheme="minorEastAsia" w:hAnsiTheme="minorEastAsia" w:eastAsiaTheme="minorEastAsia" w:cstheme="minorEastAsia"/>
                <w:color w:val="000000"/>
                <w:kern w:val="0"/>
                <w:sz w:val="24"/>
                <w:szCs w:val="24"/>
                <w:lang w:val="en-US" w:eastAsia="zh-Hans"/>
              </w:rPr>
              <w:t>注册资本</w:t>
            </w:r>
          </w:p>
        </w:tc>
        <w:tc>
          <w:tcPr>
            <w:tcW w:w="128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rPr>
              <w:t>经营状态</w:t>
            </w:r>
          </w:p>
        </w:tc>
        <w:tc>
          <w:tcPr>
            <w:tcW w:w="15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lang w:val="en-US" w:eastAsia="zh-Hans"/>
              </w:rPr>
            </w:pPr>
            <w:r>
              <w:rPr>
                <w:rFonts w:hint="eastAsia" w:asciiTheme="minorEastAsia" w:hAnsiTheme="minorEastAsia" w:eastAsiaTheme="minorEastAsia" w:cstheme="minorEastAsia"/>
                <w:color w:val="000000"/>
                <w:kern w:val="0"/>
                <w:sz w:val="24"/>
                <w:szCs w:val="24"/>
              </w:rPr>
              <w:t>持股比例</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692" w:hRule="atLeast"/>
        </w:trPr>
        <w:tc>
          <w:tcPr>
            <w:tcW w:w="82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60" w:lineRule="auto"/>
              <w:ind w:left="425" w:leftChars="0" w:hanging="425" w:firstLineChars="0"/>
              <w:jc w:val="center"/>
              <w:textAlignment w:val="auto"/>
              <w:rPr>
                <w:rFonts w:hint="eastAsia" w:asciiTheme="minorEastAsia" w:hAnsiTheme="minorEastAsia" w:eastAsiaTheme="minorEastAsia" w:cstheme="minorEastAsia"/>
                <w:color w:val="000000"/>
                <w:kern w:val="0"/>
                <w:sz w:val="24"/>
                <w:szCs w:val="24"/>
              </w:rPr>
            </w:pPr>
          </w:p>
        </w:tc>
        <w:tc>
          <w:tcPr>
            <w:tcW w:w="213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上海赛安基因科技有限公司</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lang w:eastAsia="zh-Hans"/>
              </w:rPr>
            </w:pPr>
            <w:r>
              <w:rPr>
                <w:rFonts w:hint="eastAsia" w:asciiTheme="minorEastAsia" w:hAnsiTheme="minorEastAsia" w:eastAsiaTheme="minorEastAsia" w:cstheme="minorEastAsia"/>
                <w:color w:val="000000"/>
                <w:kern w:val="0"/>
                <w:sz w:val="24"/>
                <w:szCs w:val="24"/>
              </w:rPr>
              <w:t>2016</w:t>
            </w:r>
            <w:r>
              <w:rPr>
                <w:rFonts w:hint="eastAsia" w:asciiTheme="minorEastAsia" w:hAnsiTheme="minorEastAsia" w:eastAsiaTheme="minorEastAsia" w:cstheme="minorEastAsia"/>
                <w:color w:val="000000"/>
                <w:kern w:val="0"/>
                <w:sz w:val="24"/>
                <w:szCs w:val="24"/>
                <w:lang w:val="en-US" w:eastAsia="zh-Hans"/>
              </w:rPr>
              <w:t>.</w:t>
            </w:r>
            <w:r>
              <w:rPr>
                <w:rFonts w:hint="eastAsia" w:asciiTheme="minorEastAsia" w:hAnsiTheme="minorEastAsia" w:eastAsiaTheme="minorEastAsia" w:cstheme="minorEastAsia"/>
                <w:color w:val="000000"/>
                <w:kern w:val="0"/>
                <w:sz w:val="24"/>
                <w:szCs w:val="24"/>
                <w:lang w:eastAsia="zh-Hans"/>
              </w:rPr>
              <w:t>8</w:t>
            </w:r>
            <w:r>
              <w:rPr>
                <w:rFonts w:hint="eastAsia" w:asciiTheme="minorEastAsia" w:hAnsiTheme="minorEastAsia" w:eastAsiaTheme="minorEastAsia" w:cstheme="minorEastAsia"/>
                <w:color w:val="000000"/>
                <w:kern w:val="0"/>
                <w:sz w:val="24"/>
                <w:szCs w:val="24"/>
                <w:lang w:val="en-US" w:eastAsia="zh-Hans"/>
              </w:rPr>
              <w:t>.</w:t>
            </w:r>
            <w:r>
              <w:rPr>
                <w:rFonts w:hint="eastAsia" w:asciiTheme="minorEastAsia" w:hAnsiTheme="minorEastAsia" w:eastAsiaTheme="minorEastAsia" w:cstheme="minorEastAsia"/>
                <w:color w:val="000000"/>
                <w:kern w:val="0"/>
                <w:sz w:val="24"/>
                <w:szCs w:val="24"/>
                <w:lang w:eastAsia="zh-Hans"/>
              </w:rPr>
              <w:t>9</w:t>
            </w:r>
          </w:p>
        </w:tc>
        <w:tc>
          <w:tcPr>
            <w:tcW w:w="1379"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lang w:val="en-US" w:eastAsia="zh-Hans"/>
              </w:rPr>
            </w:pPr>
            <w:r>
              <w:rPr>
                <w:rFonts w:hint="eastAsia" w:asciiTheme="minorEastAsia" w:hAnsiTheme="minorEastAsia" w:eastAsiaTheme="minorEastAsia" w:cstheme="minorEastAsia"/>
                <w:color w:val="000000"/>
                <w:kern w:val="0"/>
                <w:sz w:val="24"/>
                <w:szCs w:val="24"/>
              </w:rPr>
              <w:t>210</w:t>
            </w:r>
            <w:r>
              <w:rPr>
                <w:rFonts w:hint="eastAsia" w:asciiTheme="minorEastAsia" w:hAnsiTheme="minorEastAsia" w:eastAsiaTheme="minorEastAsia" w:cstheme="minorEastAsia"/>
                <w:color w:val="000000"/>
                <w:kern w:val="0"/>
                <w:sz w:val="24"/>
                <w:szCs w:val="24"/>
                <w:lang w:val="en-US" w:eastAsia="zh-Hans"/>
              </w:rPr>
              <w:t>万元</w:t>
            </w:r>
          </w:p>
        </w:tc>
        <w:tc>
          <w:tcPr>
            <w:tcW w:w="128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lang w:eastAsia="zh-CN" w:bidi="ar-SA"/>
              </w:rPr>
            </w:pPr>
            <w:r>
              <w:rPr>
                <w:rFonts w:hint="eastAsia" w:asciiTheme="minorEastAsia" w:hAnsiTheme="minorEastAsia" w:eastAsiaTheme="minorEastAsia" w:cstheme="minorEastAsia"/>
                <w:color w:val="000000"/>
                <w:kern w:val="0"/>
                <w:sz w:val="24"/>
                <w:szCs w:val="24"/>
                <w:lang w:val="en-US" w:eastAsia="zh-Hans"/>
              </w:rPr>
              <w:t>存续</w:t>
            </w:r>
          </w:p>
        </w:tc>
        <w:tc>
          <w:tcPr>
            <w:tcW w:w="15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58.8%</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953" w:hRule="atLeast"/>
        </w:trPr>
        <w:tc>
          <w:tcPr>
            <w:tcW w:w="82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60" w:lineRule="auto"/>
              <w:ind w:left="425" w:leftChars="0" w:hanging="425" w:firstLineChars="0"/>
              <w:jc w:val="center"/>
              <w:textAlignment w:val="auto"/>
              <w:rPr>
                <w:rFonts w:hint="eastAsia" w:asciiTheme="minorEastAsia" w:hAnsiTheme="minorEastAsia" w:eastAsiaTheme="minorEastAsia" w:cstheme="minorEastAsia"/>
                <w:color w:val="000000"/>
                <w:kern w:val="0"/>
                <w:sz w:val="24"/>
                <w:szCs w:val="24"/>
              </w:rPr>
            </w:pPr>
          </w:p>
        </w:tc>
        <w:tc>
          <w:tcPr>
            <w:tcW w:w="213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南京赛安生物医药科技有限公司</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lang w:eastAsia="zh-Hans"/>
              </w:rPr>
            </w:pPr>
            <w:r>
              <w:rPr>
                <w:rFonts w:hint="eastAsia" w:asciiTheme="minorEastAsia" w:hAnsiTheme="minorEastAsia" w:eastAsiaTheme="minorEastAsia" w:cstheme="minorEastAsia"/>
                <w:color w:val="000000"/>
                <w:kern w:val="0"/>
                <w:sz w:val="24"/>
                <w:szCs w:val="24"/>
              </w:rPr>
              <w:t>2015</w:t>
            </w:r>
            <w:r>
              <w:rPr>
                <w:rFonts w:hint="eastAsia" w:asciiTheme="minorEastAsia" w:hAnsiTheme="minorEastAsia" w:eastAsiaTheme="minorEastAsia" w:cstheme="minorEastAsia"/>
                <w:color w:val="000000"/>
                <w:kern w:val="0"/>
                <w:sz w:val="24"/>
                <w:szCs w:val="24"/>
                <w:lang w:val="en-US" w:eastAsia="zh-Hans"/>
              </w:rPr>
              <w:t>.</w:t>
            </w:r>
            <w:r>
              <w:rPr>
                <w:rFonts w:hint="eastAsia" w:asciiTheme="minorEastAsia" w:hAnsiTheme="minorEastAsia" w:eastAsiaTheme="minorEastAsia" w:cstheme="minorEastAsia"/>
                <w:color w:val="000000"/>
                <w:kern w:val="0"/>
                <w:sz w:val="24"/>
                <w:szCs w:val="24"/>
                <w:lang w:eastAsia="zh-Hans"/>
              </w:rPr>
              <w:t>2</w:t>
            </w:r>
            <w:r>
              <w:rPr>
                <w:rFonts w:hint="eastAsia" w:asciiTheme="minorEastAsia" w:hAnsiTheme="minorEastAsia" w:eastAsiaTheme="minorEastAsia" w:cstheme="minorEastAsia"/>
                <w:color w:val="000000"/>
                <w:kern w:val="0"/>
                <w:sz w:val="24"/>
                <w:szCs w:val="24"/>
                <w:lang w:val="en-US" w:eastAsia="zh-Hans"/>
              </w:rPr>
              <w:t>.</w:t>
            </w:r>
            <w:r>
              <w:rPr>
                <w:rFonts w:hint="eastAsia" w:asciiTheme="minorEastAsia" w:hAnsiTheme="minorEastAsia" w:eastAsiaTheme="minorEastAsia" w:cstheme="minorEastAsia"/>
                <w:color w:val="000000"/>
                <w:kern w:val="0"/>
                <w:sz w:val="24"/>
                <w:szCs w:val="24"/>
                <w:lang w:eastAsia="zh-Hans"/>
              </w:rPr>
              <w:t>3</w:t>
            </w:r>
          </w:p>
        </w:tc>
        <w:tc>
          <w:tcPr>
            <w:tcW w:w="1379"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lang w:val="en-US" w:eastAsia="zh-Hans"/>
              </w:rPr>
            </w:pPr>
            <w:r>
              <w:rPr>
                <w:rFonts w:hint="eastAsia" w:asciiTheme="minorEastAsia" w:hAnsiTheme="minorEastAsia" w:eastAsiaTheme="minorEastAsia" w:cstheme="minorEastAsia"/>
                <w:color w:val="000000"/>
                <w:kern w:val="0"/>
                <w:sz w:val="24"/>
                <w:szCs w:val="24"/>
              </w:rPr>
              <w:t>40</w:t>
            </w:r>
            <w:r>
              <w:rPr>
                <w:rFonts w:hint="eastAsia" w:asciiTheme="minorEastAsia" w:hAnsiTheme="minorEastAsia" w:eastAsiaTheme="minorEastAsia" w:cstheme="minorEastAsia"/>
                <w:color w:val="000000"/>
                <w:kern w:val="0"/>
                <w:sz w:val="24"/>
                <w:szCs w:val="24"/>
                <w:lang w:val="en-US" w:eastAsia="zh-Hans"/>
              </w:rPr>
              <w:t>万元</w:t>
            </w:r>
          </w:p>
        </w:tc>
        <w:tc>
          <w:tcPr>
            <w:tcW w:w="128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lang w:eastAsia="zh-CN" w:bidi="ar-SA"/>
              </w:rPr>
            </w:pPr>
            <w:r>
              <w:rPr>
                <w:rFonts w:hint="eastAsia" w:asciiTheme="minorEastAsia" w:hAnsiTheme="minorEastAsia" w:eastAsiaTheme="minorEastAsia" w:cstheme="minorEastAsia"/>
                <w:color w:val="000000"/>
                <w:kern w:val="0"/>
                <w:sz w:val="24"/>
                <w:szCs w:val="24"/>
                <w:lang w:val="en-US" w:eastAsia="zh-Hans"/>
              </w:rPr>
              <w:t>存续</w:t>
            </w:r>
          </w:p>
        </w:tc>
        <w:tc>
          <w:tcPr>
            <w:tcW w:w="15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40%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639" w:hRule="atLeast"/>
        </w:trPr>
        <w:tc>
          <w:tcPr>
            <w:tcW w:w="82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numPr>
                <w:ilvl w:val="0"/>
                <w:numId w:val="1"/>
              </w:numPr>
              <w:kinsoku/>
              <w:wordWrap w:val="0"/>
              <w:overflowPunct/>
              <w:topLinePunct w:val="0"/>
              <w:autoSpaceDE/>
              <w:autoSpaceDN/>
              <w:bidi w:val="0"/>
              <w:adjustRightInd/>
              <w:snapToGrid/>
              <w:spacing w:line="360" w:lineRule="auto"/>
              <w:ind w:left="425" w:leftChars="0" w:hanging="425" w:firstLineChars="0"/>
              <w:jc w:val="center"/>
              <w:textAlignment w:val="auto"/>
              <w:rPr>
                <w:rFonts w:hint="eastAsia" w:asciiTheme="minorEastAsia" w:hAnsiTheme="minorEastAsia" w:eastAsiaTheme="minorEastAsia" w:cstheme="minorEastAsia"/>
                <w:color w:val="000000"/>
                <w:kern w:val="0"/>
                <w:sz w:val="24"/>
                <w:szCs w:val="24"/>
              </w:rPr>
            </w:pPr>
          </w:p>
        </w:tc>
        <w:tc>
          <w:tcPr>
            <w:tcW w:w="213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河南强华医药科技有限公司</w:t>
            </w:r>
          </w:p>
        </w:tc>
        <w:tc>
          <w:tcPr>
            <w:tcW w:w="1241"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2017</w:t>
            </w:r>
            <w:r>
              <w:rPr>
                <w:rFonts w:hint="eastAsia" w:asciiTheme="minorEastAsia" w:hAnsiTheme="minorEastAsia" w:eastAsiaTheme="minorEastAsia" w:cstheme="minorEastAsia"/>
                <w:color w:val="000000"/>
                <w:kern w:val="0"/>
                <w:sz w:val="24"/>
                <w:szCs w:val="24"/>
                <w:lang w:val="en-US" w:eastAsia="zh-Hans"/>
              </w:rPr>
              <w:t>.</w:t>
            </w:r>
            <w:r>
              <w:rPr>
                <w:rFonts w:hint="eastAsia" w:asciiTheme="minorEastAsia" w:hAnsiTheme="minorEastAsia" w:eastAsiaTheme="minorEastAsia" w:cstheme="minorEastAsia"/>
                <w:color w:val="000000"/>
                <w:kern w:val="0"/>
                <w:sz w:val="24"/>
                <w:szCs w:val="24"/>
                <w:lang w:eastAsia="zh-Hans"/>
              </w:rPr>
              <w:t>1</w:t>
            </w:r>
            <w:r>
              <w:rPr>
                <w:rFonts w:hint="eastAsia" w:asciiTheme="minorEastAsia" w:hAnsiTheme="minorEastAsia" w:eastAsiaTheme="minorEastAsia" w:cstheme="minorEastAsia"/>
                <w:color w:val="000000"/>
                <w:kern w:val="0"/>
                <w:sz w:val="24"/>
                <w:szCs w:val="24"/>
                <w:lang w:val="en-US" w:eastAsia="zh-Hans"/>
              </w:rPr>
              <w:t>.</w:t>
            </w:r>
            <w:r>
              <w:rPr>
                <w:rFonts w:hint="eastAsia" w:asciiTheme="minorEastAsia" w:hAnsiTheme="minorEastAsia" w:eastAsiaTheme="minorEastAsia" w:cstheme="minorEastAsia"/>
                <w:color w:val="000000"/>
                <w:kern w:val="0"/>
                <w:sz w:val="24"/>
                <w:szCs w:val="24"/>
                <w:lang w:eastAsia="zh-Hans"/>
              </w:rPr>
              <w:t>16</w:t>
            </w:r>
          </w:p>
        </w:tc>
        <w:tc>
          <w:tcPr>
            <w:tcW w:w="1379"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lang w:val="en-US" w:eastAsia="zh-Hans"/>
              </w:rPr>
            </w:pPr>
            <w:r>
              <w:rPr>
                <w:rFonts w:hint="eastAsia" w:asciiTheme="minorEastAsia" w:hAnsiTheme="minorEastAsia" w:eastAsiaTheme="minorEastAsia" w:cstheme="minorEastAsia"/>
                <w:color w:val="000000"/>
                <w:kern w:val="0"/>
                <w:sz w:val="24"/>
                <w:szCs w:val="24"/>
              </w:rPr>
              <w:t>50</w:t>
            </w:r>
            <w:r>
              <w:rPr>
                <w:rFonts w:hint="eastAsia" w:asciiTheme="minorEastAsia" w:hAnsiTheme="minorEastAsia" w:eastAsiaTheme="minorEastAsia" w:cstheme="minorEastAsia"/>
                <w:color w:val="000000"/>
                <w:kern w:val="0"/>
                <w:sz w:val="24"/>
                <w:szCs w:val="24"/>
                <w:lang w:val="en-US" w:eastAsia="zh-Hans"/>
              </w:rPr>
              <w:t>万元</w:t>
            </w:r>
          </w:p>
        </w:tc>
        <w:tc>
          <w:tcPr>
            <w:tcW w:w="128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Hans"/>
              </w:rPr>
              <w:t>存续</w:t>
            </w:r>
          </w:p>
        </w:tc>
        <w:tc>
          <w:tcPr>
            <w:tcW w:w="15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val="0"/>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5%</w:t>
            </w:r>
          </w:p>
        </w:tc>
      </w:tr>
    </w:tbl>
    <w:p>
      <w:pPr>
        <w:pStyle w:val="5"/>
        <w:keepNext w:val="0"/>
        <w:keepLines w:val="0"/>
        <w:pageBreakBefore w:val="0"/>
        <w:shd w:val="clear" w:color="auto" w:fill="FFFFFF"/>
        <w:kinsoku/>
        <w:wordWrap w:val="0"/>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Theme="minorEastAsia" w:hAnsiTheme="minorEastAsia" w:eastAsiaTheme="minorEastAsia" w:cstheme="minorEastAsia"/>
          <w:b/>
          <w:bCs/>
          <w:color w:val="FF0000"/>
          <w:sz w:val="24"/>
          <w:szCs w:val="24"/>
        </w:rPr>
      </w:pPr>
      <w:r>
        <w:rPr>
          <w:rFonts w:hint="eastAsia" w:asciiTheme="minorEastAsia" w:hAnsiTheme="minorEastAsia" w:eastAsiaTheme="minorEastAsia" w:cstheme="minorEastAsia"/>
          <w:b/>
          <w:bCs/>
          <w:color w:val="FF0000"/>
          <w:sz w:val="24"/>
          <w:szCs w:val="24"/>
          <w:lang w:val="en-US" w:eastAsia="zh-Hans"/>
        </w:rPr>
        <w:t>对</w:t>
      </w:r>
      <w:r>
        <w:rPr>
          <w:rFonts w:hint="eastAsia" w:asciiTheme="minorEastAsia" w:hAnsiTheme="minorEastAsia" w:eastAsiaTheme="minorEastAsia" w:cstheme="minorEastAsia"/>
          <w:b/>
          <w:bCs/>
          <w:color w:val="FF0000"/>
          <w:sz w:val="24"/>
          <w:szCs w:val="24"/>
        </w:rPr>
        <w:t>上述</w:t>
      </w:r>
      <w:r>
        <w:rPr>
          <w:rFonts w:hint="eastAsia" w:asciiTheme="minorEastAsia" w:hAnsiTheme="minorEastAsia" w:eastAsiaTheme="minorEastAsia" w:cstheme="minorEastAsia"/>
          <w:b/>
          <w:bCs/>
          <w:color w:val="FF0000"/>
          <w:sz w:val="24"/>
          <w:szCs w:val="24"/>
          <w:lang w:val="en-US" w:eastAsia="zh-Hans"/>
        </w:rPr>
        <w:t>赛安公司持有的公司股权</w:t>
      </w:r>
      <w:r>
        <w:rPr>
          <w:rFonts w:hint="eastAsia" w:asciiTheme="minorEastAsia" w:hAnsiTheme="minorEastAsia" w:eastAsiaTheme="minorEastAsia" w:cstheme="minorEastAsia"/>
          <w:b/>
          <w:bCs/>
          <w:color w:val="FF0000"/>
          <w:sz w:val="24"/>
          <w:szCs w:val="24"/>
        </w:rPr>
        <w:t>打包进行公开拍卖，起拍价：</w:t>
      </w:r>
      <w:r>
        <w:rPr>
          <w:rFonts w:hint="eastAsia" w:asciiTheme="minorEastAsia" w:hAnsiTheme="minorEastAsia" w:eastAsiaTheme="minorEastAsia" w:cstheme="minorEastAsia"/>
          <w:b/>
          <w:bCs/>
          <w:color w:val="FF0000"/>
          <w:sz w:val="24"/>
          <w:szCs w:val="24"/>
          <w:lang w:eastAsia="zh-CN"/>
        </w:rPr>
        <w:t>【</w:t>
      </w:r>
      <w:r>
        <w:rPr>
          <w:rFonts w:hint="eastAsia" w:asciiTheme="minorEastAsia" w:hAnsiTheme="minorEastAsia" w:eastAsiaTheme="minorEastAsia" w:cstheme="minorEastAsia"/>
          <w:b/>
          <w:bCs/>
          <w:color w:val="FF0000"/>
          <w:sz w:val="24"/>
          <w:szCs w:val="24"/>
          <w:lang w:val="en-US" w:eastAsia="zh-CN"/>
        </w:rPr>
        <w:t>1】元</w:t>
      </w:r>
      <w:r>
        <w:rPr>
          <w:rFonts w:hint="eastAsia" w:asciiTheme="minorEastAsia" w:hAnsiTheme="minorEastAsia" w:eastAsiaTheme="minorEastAsia" w:cstheme="minorEastAsia"/>
          <w:b/>
          <w:bCs/>
          <w:color w:val="FF0000"/>
          <w:sz w:val="24"/>
          <w:szCs w:val="24"/>
        </w:rPr>
        <w:t>，保证金：【</w:t>
      </w:r>
      <w:r>
        <w:rPr>
          <w:rFonts w:hint="eastAsia" w:asciiTheme="minorEastAsia" w:hAnsiTheme="minorEastAsia" w:eastAsiaTheme="minorEastAsia" w:cstheme="minorEastAsia"/>
          <w:b/>
          <w:bCs/>
          <w:color w:val="FF0000"/>
          <w:sz w:val="24"/>
          <w:szCs w:val="24"/>
          <w:lang w:val="en-US" w:eastAsia="zh-CN"/>
        </w:rPr>
        <w:t>100</w:t>
      </w:r>
      <w:r>
        <w:rPr>
          <w:rFonts w:hint="eastAsia" w:asciiTheme="minorEastAsia" w:hAnsiTheme="minorEastAsia" w:eastAsiaTheme="minorEastAsia" w:cstheme="minorEastAsia"/>
          <w:b/>
          <w:bCs/>
          <w:color w:val="FF0000"/>
          <w:sz w:val="24"/>
          <w:szCs w:val="24"/>
        </w:rPr>
        <w:t>】元，增加幅度：</w:t>
      </w:r>
      <w:r>
        <w:rPr>
          <w:rFonts w:hint="eastAsia" w:asciiTheme="minorEastAsia" w:hAnsiTheme="minorEastAsia" w:eastAsiaTheme="minorEastAsia" w:cstheme="minorEastAsia"/>
          <w:b/>
          <w:bCs/>
          <w:color w:val="FF0000"/>
          <w:sz w:val="24"/>
          <w:szCs w:val="24"/>
          <w:lang w:eastAsia="zh-CN"/>
        </w:rPr>
        <w:t>【</w:t>
      </w:r>
      <w:r>
        <w:rPr>
          <w:rFonts w:hint="eastAsia" w:asciiTheme="minorEastAsia" w:hAnsiTheme="minorEastAsia" w:eastAsiaTheme="minorEastAsia" w:cstheme="minorEastAsia"/>
          <w:b/>
          <w:bCs/>
          <w:color w:val="FF0000"/>
          <w:sz w:val="24"/>
          <w:szCs w:val="24"/>
          <w:lang w:val="en-US" w:eastAsia="zh-CN"/>
        </w:rPr>
        <w:t>1,000】</w:t>
      </w:r>
      <w:r>
        <w:rPr>
          <w:rFonts w:hint="eastAsia" w:asciiTheme="minorEastAsia" w:hAnsiTheme="minorEastAsia" w:eastAsiaTheme="minorEastAsia" w:cstheme="minorEastAsia"/>
          <w:b/>
          <w:bCs/>
          <w:color w:val="FF0000"/>
          <w:sz w:val="24"/>
          <w:szCs w:val="24"/>
        </w:rPr>
        <w:t>元及其整数倍。</w:t>
      </w:r>
    </w:p>
    <w:p>
      <w:pPr>
        <w:pStyle w:val="5"/>
        <w:keepNext w:val="0"/>
        <w:keepLines w:val="0"/>
        <w:pageBreakBefore w:val="0"/>
        <w:numPr>
          <w:ilvl w:val="0"/>
          <w:numId w:val="2"/>
        </w:numPr>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咨询、展示看样的时间与方式</w:t>
      </w: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自公告之日起至开拍前两天接受咨询（休息日节假日除外）。联系人：宋律师，咨询电话：17811946223（请在工作日的10点至17点拨打，其余非工作时间将可能电话无法接听）</w:t>
      </w: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三、标的已知优先购买权人</w:t>
      </w: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竞价标的如若存在优先购买权人，优先购买权人参加竞买的，应于竞价活动开始</w:t>
      </w:r>
      <w:r>
        <w:rPr>
          <w:rFonts w:hint="eastAsia" w:asciiTheme="minorEastAsia" w:hAnsiTheme="minorEastAsia" w:eastAsiaTheme="minorEastAsia" w:cstheme="minorEastAsia"/>
          <w:b/>
          <w:bCs/>
          <w:color w:val="auto"/>
          <w:sz w:val="24"/>
          <w:szCs w:val="24"/>
          <w:highlight w:val="none"/>
        </w:rPr>
        <w:t>5个工作日</w:t>
      </w:r>
      <w:r>
        <w:rPr>
          <w:rFonts w:hint="eastAsia" w:asciiTheme="minorEastAsia" w:hAnsiTheme="minorEastAsia" w:eastAsiaTheme="minorEastAsia" w:cstheme="minorEastAsia"/>
          <w:color w:val="auto"/>
          <w:sz w:val="24"/>
          <w:szCs w:val="24"/>
          <w:highlight w:val="none"/>
        </w:rPr>
        <w:t>前向管理人提交合法有效的证明（登记的证件信息必须与京东实名认证相一致），资格经管理人确认后才能以优先购买权人的身份参与竞买，逾期不提交的，视为放弃对本标的物享有优先购买权。本标的优先购买权人未参加竞价，亦视为放弃优先购买权。</w:t>
      </w: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四、对上述标的权属有异议者，竞价开始</w:t>
      </w:r>
      <w:r>
        <w:rPr>
          <w:rFonts w:hint="eastAsia" w:asciiTheme="minorEastAsia" w:hAnsiTheme="minorEastAsia" w:eastAsiaTheme="minorEastAsia" w:cstheme="minorEastAsia"/>
          <w:b/>
          <w:bCs/>
          <w:color w:val="auto"/>
          <w:sz w:val="24"/>
          <w:szCs w:val="24"/>
          <w:highlight w:val="none"/>
        </w:rPr>
        <w:t>5个工作日</w:t>
      </w:r>
      <w:r>
        <w:rPr>
          <w:rFonts w:hint="eastAsia" w:asciiTheme="minorEastAsia" w:hAnsiTheme="minorEastAsia" w:eastAsiaTheme="minorEastAsia" w:cstheme="minorEastAsia"/>
          <w:color w:val="auto"/>
          <w:sz w:val="24"/>
          <w:szCs w:val="24"/>
          <w:highlight w:val="none"/>
        </w:rPr>
        <w:t>前与管理人联系。与本标的物有利害关系的当事人可参加竞价，不参加竞价的请关注本次竞价活动的整个过程。</w:t>
      </w: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五、竞价方式</w:t>
      </w: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（一）竞价从起拍价开始以递增出价方式竞价，增价幅度由管理人确定，竞买人以低于起拍价出价的无效。</w:t>
      </w: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（二）本次竞价活动设置延时出价功能，在竞价活动结束前，每最后5分钟如果有竞买人出价，就自动延迟5分钟。</w:t>
      </w: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（三）本次拍卖保留价为起拍价。</w:t>
      </w: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六、保证金与余款交纳</w:t>
      </w: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竞价成交后，标的物竞得者原锁定的保证金自动转入管理人指定账户。买受人应于成交之时起5个工作日内将竞价成交价余款（扣除保证金后的余款）缴入</w:t>
      </w:r>
      <w:r>
        <w:rPr>
          <w:rFonts w:hint="eastAsia" w:asciiTheme="minorEastAsia" w:hAnsiTheme="minorEastAsia" w:eastAsiaTheme="minorEastAsia" w:cstheme="minorEastAsia"/>
          <w:color w:val="FF0000"/>
          <w:sz w:val="24"/>
          <w:szCs w:val="24"/>
          <w:highlight w:val="none"/>
        </w:rPr>
        <w:t>管理人指定账户（户名：上海赛安生物医药科技股份有限公司管理人；账号：70010122003280409；开户行：宁波银行股份有限公司上海分行），并注明“破产清算案号：（2021）沪03破326号；款项性质：股权拍卖成交余款”</w:t>
      </w:r>
      <w:r>
        <w:rPr>
          <w:rFonts w:hint="eastAsia" w:asciiTheme="minorEastAsia" w:hAnsiTheme="minorEastAsia" w:eastAsiaTheme="minorEastAsia" w:cstheme="minorEastAsia"/>
          <w:color w:val="auto"/>
          <w:sz w:val="24"/>
          <w:szCs w:val="24"/>
          <w:highlight w:val="none"/>
        </w:rPr>
        <w:t>。逾期则视为买受人违约，竞买保证金不予退还。</w:t>
      </w: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七、移交与过户</w:t>
      </w: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买受人在交齐所有成交款（以管理人账户实际收款时间为准）后5个工作日内（凭付款凭证及相关身份材料、委托手续等原件）到上海赛安生物医药科技股份有限公司管理人（地址：上海市静安区南京西路1717号7楼）办理交接手续并签署《拍卖成交确认书》。</w:t>
      </w: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竞价成交后，管理人将股权转让证明文件及持有拍卖标的的相关资料移交买受人即视为履行完全部交付义务。办理完毕拍卖标的现场移交手续后，标的物的一切风险转移至买受人。逾期不办理的，买受人应支付由此产生的费用，并自逾期之日起承担拍卖标的可能发生的损毁、灭失等风险。</w:t>
      </w: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本次竞价活动计价货币为人民币，竞价时的起拍价、成交价均不含买受人在竞价标的物交割时所发生的全部费用和税费。产生的双方应负担的一切税、费（包括但不限于所得税、增值税及其附加、印花税、契税等）均由买受人承担，具体金额由买受人向相关主管部门自行核定。买受人在承担后不得据此主张竞价无效或向管理人、上拍机构索偿。</w:t>
      </w: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八、风险提示</w:t>
      </w:r>
    </w:p>
    <w:p>
      <w:pPr>
        <w:pStyle w:val="5"/>
        <w:keepNext w:val="0"/>
        <w:keepLines w:val="0"/>
        <w:pageBreakBefore w:val="0"/>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b/>
          <w:bCs/>
          <w:color w:val="auto"/>
          <w:sz w:val="24"/>
          <w:szCs w:val="24"/>
          <w:highlight w:val="none"/>
          <w:u w:val="single"/>
        </w:rPr>
      </w:pPr>
      <w:r>
        <w:rPr>
          <w:rFonts w:hint="eastAsia" w:asciiTheme="minorEastAsia" w:hAnsiTheme="minorEastAsia" w:eastAsiaTheme="minorEastAsia" w:cstheme="minorEastAsia"/>
          <w:color w:val="auto"/>
          <w:sz w:val="24"/>
          <w:szCs w:val="24"/>
          <w:highlight w:val="none"/>
        </w:rPr>
        <w:t>风险提示部分内容较多，具体详见京东拍卖破产强清平台公告内容，链接为：https://paimai.jd.com/305028186。</w:t>
      </w:r>
      <w:r>
        <w:rPr>
          <w:rFonts w:hint="eastAsia" w:asciiTheme="minorEastAsia" w:hAnsiTheme="minorEastAsia" w:eastAsiaTheme="minorEastAsia" w:cstheme="minorEastAsia"/>
          <w:b/>
          <w:bCs/>
          <w:color w:val="auto"/>
          <w:sz w:val="24"/>
          <w:szCs w:val="24"/>
          <w:highlight w:val="none"/>
          <w:u w:val="single"/>
        </w:rPr>
        <w:t>请买受人务必进入前述链接阅读风险提示内容。</w:t>
      </w:r>
    </w:p>
    <w:p>
      <w:pPr>
        <w:pStyle w:val="5"/>
        <w:keepNext w:val="0"/>
        <w:keepLines w:val="0"/>
        <w:pageBreakBefore w:val="0"/>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九、本次网上公开拍卖《拍卖公告》《拍卖须知》《标的物详情》等标的债权相关文件已在京东网络竞价平台公开展示，请仔细阅读，竞买人知悉并同意接受前述文件的全部条款和内容，竞买人和资产处置方双方不存在任何歧异和误认。竞买人若参与竞买，视为承诺不再对前述文件的条款提出任何异议。</w:t>
      </w:r>
    </w:p>
    <w:p>
      <w:pPr>
        <w:pStyle w:val="5"/>
        <w:keepNext w:val="0"/>
        <w:keepLines w:val="0"/>
        <w:pageBreakBefore w:val="0"/>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十、竞买人在竞价前请务必仔细阅读相应标的拍卖须知、标的详情。管理人有对本公告的最终解释权，其他未尽事宜，请向管理人咨询。</w:t>
      </w:r>
    </w:p>
    <w:p>
      <w:pPr>
        <w:pStyle w:val="5"/>
        <w:keepNext w:val="0"/>
        <w:keepLines w:val="0"/>
        <w:pageBreakBefore w:val="0"/>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咨询电话：</w:t>
      </w:r>
      <w:r>
        <w:rPr>
          <w:rStyle w:val="13"/>
          <w:rFonts w:hint="eastAsia" w:asciiTheme="minorEastAsia" w:hAnsiTheme="minorEastAsia" w:eastAsiaTheme="minorEastAsia" w:cstheme="minorEastAsia"/>
          <w:color w:val="FF0000"/>
          <w:sz w:val="24"/>
          <w:szCs w:val="24"/>
          <w:highlight w:val="none"/>
        </w:rPr>
        <w:t>17811946223</w:t>
      </w:r>
      <w:bookmarkStart w:id="0" w:name="_GoBack"/>
      <w:bookmarkEnd w:id="0"/>
    </w:p>
    <w:p>
      <w:pPr>
        <w:pStyle w:val="5"/>
        <w:keepNext w:val="0"/>
        <w:keepLines w:val="0"/>
        <w:pageBreakBefore w:val="0"/>
        <w:shd w:val="clear" w:color="auto" w:fill="FFFFFF"/>
        <w:kinsoku/>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京东技术咨询电话：4006229586</w:t>
      </w:r>
    </w:p>
    <w:p>
      <w:pPr>
        <w:pStyle w:val="5"/>
        <w:keepNext w:val="0"/>
        <w:keepLines w:val="0"/>
        <w:pageBreakBefore w:val="0"/>
        <w:shd w:val="clear" w:color="auto" w:fill="FFFFFF"/>
        <w:kinsoku/>
        <w:overflowPunct/>
        <w:topLinePunct w:val="0"/>
        <w:autoSpaceDE/>
        <w:autoSpaceDN/>
        <w:bidi w:val="0"/>
        <w:adjustRightInd/>
        <w:snapToGrid/>
        <w:spacing w:beforeAutospacing="0" w:afterAutospacing="0"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此公告同步“京东网”发布，</w:t>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HYPERLINK "https://auction.jd.com/bankrupt.html" </w:instrText>
      </w:r>
      <w:r>
        <w:rPr>
          <w:rFonts w:hint="eastAsia" w:asciiTheme="minorEastAsia" w:hAnsiTheme="minorEastAsia" w:eastAsiaTheme="minorEastAsia" w:cstheme="minorEastAsia"/>
          <w:color w:val="auto"/>
          <w:sz w:val="24"/>
          <w:szCs w:val="24"/>
          <w:highlight w:val="none"/>
        </w:rPr>
        <w:fldChar w:fldCharType="separate"/>
      </w:r>
      <w:r>
        <w:rPr>
          <w:rStyle w:val="8"/>
          <w:rFonts w:hint="eastAsia" w:asciiTheme="minorEastAsia" w:hAnsiTheme="minorEastAsia" w:eastAsiaTheme="minorEastAsia" w:cstheme="minorEastAsia"/>
          <w:color w:val="auto"/>
          <w:sz w:val="24"/>
          <w:szCs w:val="24"/>
          <w:highlight w:val="none"/>
        </w:rPr>
        <w:t>https://auction.jd.com/bankrupt.html</w:t>
      </w:r>
      <w:r>
        <w:rPr>
          <w:rStyle w:val="8"/>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t>。</w:t>
      </w:r>
    </w:p>
    <w:p>
      <w:pPr>
        <w:pStyle w:val="5"/>
        <w:keepNext w:val="0"/>
        <w:keepLines w:val="0"/>
        <w:pageBreakBefore w:val="0"/>
        <w:shd w:val="clear" w:color="auto" w:fill="FFFFFF"/>
        <w:kinsoku/>
        <w:overflowPunct/>
        <w:topLinePunct w:val="0"/>
        <w:autoSpaceDE/>
        <w:autoSpaceDN/>
        <w:bidi w:val="0"/>
        <w:adjustRightInd/>
        <w:snapToGrid/>
        <w:spacing w:beforeAutospacing="0" w:afterAutospacing="0"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righ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上海赛安生物医药科技股份有限公司管理人</w:t>
      </w:r>
    </w:p>
    <w:p>
      <w:pPr>
        <w:pStyle w:val="5"/>
        <w:keepNext w:val="0"/>
        <w:keepLines w:val="0"/>
        <w:pageBreakBefore w:val="0"/>
        <w:widowControl w:val="0"/>
        <w:numPr>
          <w:ilvl w:val="0"/>
          <w:numId w:val="0"/>
        </w:numPr>
        <w:shd w:val="clear" w:color="auto" w:fill="FFFFFF"/>
        <w:kinsoku/>
        <w:overflowPunct/>
        <w:topLinePunct w:val="0"/>
        <w:autoSpaceDE/>
        <w:autoSpaceDN/>
        <w:bidi w:val="0"/>
        <w:adjustRightInd/>
        <w:snapToGrid/>
        <w:spacing w:beforeAutospacing="0" w:afterAutospacing="0" w:line="360" w:lineRule="auto"/>
        <w:ind w:firstLine="480" w:firstLineChars="200"/>
        <w:jc w:val="righ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二〇二四年一月二十九日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0000" w:usb1="00000000" w:usb2="00000000" w:usb3="00000000" w:csb0="00000000"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EF46CE"/>
    <w:multiLevelType w:val="singleLevel"/>
    <w:tmpl w:val="FFEF46CE"/>
    <w:lvl w:ilvl="0" w:tentative="0">
      <w:start w:val="2"/>
      <w:numFmt w:val="chineseCounting"/>
      <w:suff w:val="nothing"/>
      <w:lvlText w:val="%1、"/>
      <w:lvlJc w:val="left"/>
      <w:rPr>
        <w:rFonts w:hint="eastAsia"/>
      </w:rPr>
    </w:lvl>
  </w:abstractNum>
  <w:abstractNum w:abstractNumId="1">
    <w:nsid w:val="2CDA90D6"/>
    <w:multiLevelType w:val="singleLevel"/>
    <w:tmpl w:val="2CDA90D6"/>
    <w:lvl w:ilvl="0" w:tentative="0">
      <w:start w:val="1"/>
      <w:numFmt w:val="decimal"/>
      <w:lvlText w:val="%1"/>
      <w:lvlJc w:val="left"/>
      <w:pPr>
        <w:tabs>
          <w:tab w:val="left" w:pos="420"/>
        </w:tabs>
        <w:ind w:left="425" w:leftChars="0" w:hanging="425" w:firstLineChars="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0MTUxNmQyOTgyMDI0Y2NiMjcwOWFhMzI1MjZiNDkifQ=="/>
  </w:docVars>
  <w:rsids>
    <w:rsidRoot w:val="13C01F86"/>
    <w:rsid w:val="0014078D"/>
    <w:rsid w:val="00162DAD"/>
    <w:rsid w:val="001732B2"/>
    <w:rsid w:val="00225486"/>
    <w:rsid w:val="00236481"/>
    <w:rsid w:val="002B14BB"/>
    <w:rsid w:val="003515F1"/>
    <w:rsid w:val="003863FE"/>
    <w:rsid w:val="003C6E3C"/>
    <w:rsid w:val="003C7FF8"/>
    <w:rsid w:val="00403509"/>
    <w:rsid w:val="00442F47"/>
    <w:rsid w:val="005F2331"/>
    <w:rsid w:val="006C75F2"/>
    <w:rsid w:val="007206ED"/>
    <w:rsid w:val="007363F8"/>
    <w:rsid w:val="0076157C"/>
    <w:rsid w:val="00780F5F"/>
    <w:rsid w:val="0093151E"/>
    <w:rsid w:val="00963E3E"/>
    <w:rsid w:val="00AD3D30"/>
    <w:rsid w:val="00AF07D7"/>
    <w:rsid w:val="00B111A7"/>
    <w:rsid w:val="00C6100D"/>
    <w:rsid w:val="00CF42A0"/>
    <w:rsid w:val="00DC7CAE"/>
    <w:rsid w:val="00DF4375"/>
    <w:rsid w:val="13C01F86"/>
    <w:rsid w:val="17DFC0CE"/>
    <w:rsid w:val="3CFA7B3E"/>
    <w:rsid w:val="559D7ED7"/>
    <w:rsid w:val="5AEE394A"/>
    <w:rsid w:val="5EFF1A23"/>
    <w:rsid w:val="6BEF06CC"/>
    <w:rsid w:val="6D7F7937"/>
    <w:rsid w:val="6DFB73CF"/>
    <w:rsid w:val="751F6566"/>
    <w:rsid w:val="76E74DAB"/>
    <w:rsid w:val="797C180E"/>
    <w:rsid w:val="79F300EB"/>
    <w:rsid w:val="7F777C57"/>
    <w:rsid w:val="973FFD9E"/>
    <w:rsid w:val="9ADDBE50"/>
    <w:rsid w:val="9FFAB06C"/>
    <w:rsid w:val="AD6FAF6F"/>
    <w:rsid w:val="BBB53AA3"/>
    <w:rsid w:val="CDA5E87E"/>
    <w:rsid w:val="CFFDB6D6"/>
    <w:rsid w:val="D7FF0E7E"/>
    <w:rsid w:val="DDD1B4E2"/>
    <w:rsid w:val="EFAD1009"/>
    <w:rsid w:val="F6FF9345"/>
    <w:rsid w:val="F7BFFDB6"/>
    <w:rsid w:val="FB9F4033"/>
    <w:rsid w:val="FEFB217D"/>
    <w:rsid w:val="FFCD3009"/>
    <w:rsid w:val="FFF49A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Hyperlink"/>
    <w:basedOn w:val="7"/>
    <w:qFormat/>
    <w:uiPriority w:val="0"/>
    <w:rPr>
      <w:color w:val="0000FF"/>
      <w:u w:val="single"/>
    </w:rPr>
  </w:style>
  <w:style w:type="character" w:styleId="9">
    <w:name w:val="annotation reference"/>
    <w:basedOn w:val="7"/>
    <w:qFormat/>
    <w:uiPriority w:val="0"/>
    <w:rPr>
      <w:sz w:val="21"/>
      <w:szCs w:val="21"/>
    </w:rPr>
  </w:style>
  <w:style w:type="character" w:customStyle="1" w:styleId="10">
    <w:name w:val="页眉 字符"/>
    <w:basedOn w:val="7"/>
    <w:link w:val="4"/>
    <w:qFormat/>
    <w:uiPriority w:val="0"/>
    <w:rPr>
      <w:rFonts w:asciiTheme="minorHAnsi" w:hAnsiTheme="minorHAnsi" w:eastAsiaTheme="minorEastAsia" w:cstheme="minorBidi"/>
      <w:kern w:val="2"/>
      <w:sz w:val="18"/>
      <w:szCs w:val="18"/>
    </w:rPr>
  </w:style>
  <w:style w:type="character" w:customStyle="1" w:styleId="11">
    <w:name w:val="页脚 字符"/>
    <w:basedOn w:val="7"/>
    <w:link w:val="3"/>
    <w:qFormat/>
    <w:uiPriority w:val="0"/>
    <w:rPr>
      <w:rFonts w:asciiTheme="minorHAnsi" w:hAnsiTheme="minorHAnsi" w:eastAsiaTheme="minorEastAsia" w:cstheme="minorBidi"/>
      <w:kern w:val="2"/>
      <w:sz w:val="18"/>
      <w:szCs w:val="18"/>
    </w:rPr>
  </w:style>
  <w:style w:type="paragraph" w:customStyle="1" w:styleId="12">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3">
    <w:name w:val="apple-converted-space"/>
    <w:basedOn w:val="7"/>
    <w:qFormat/>
    <w:uiPriority w:val="0"/>
  </w:style>
  <w:style w:type="character" w:customStyle="1" w:styleId="14">
    <w:name w:val="未处理的提及1"/>
    <w:basedOn w:val="7"/>
    <w:semiHidden/>
    <w:unhideWhenUsed/>
    <w:qFormat/>
    <w:uiPriority w:val="99"/>
    <w:rPr>
      <w:color w:val="605E5C"/>
      <w:shd w:val="clear" w:color="auto" w:fill="E1DFDD"/>
    </w:rPr>
  </w:style>
  <w:style w:type="paragraph" w:customStyle="1" w:styleId="15">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745</Words>
  <Characters>4249</Characters>
  <Lines>35</Lines>
  <Paragraphs>9</Paragraphs>
  <TotalTime>9</TotalTime>
  <ScaleCrop>false</ScaleCrop>
  <LinksUpToDate>false</LinksUpToDate>
  <CharactersWithSpaces>4985</CharactersWithSpaces>
  <Application>WPS Office_5.2.0.7734_F1E327BC-269C-435d-A152-05C5408002CA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2023-06-08T21:37:00Z</dcterms:created>
  <dc:creator>吴玲</dc:creator>
  <cp:lastModifiedBy>mhp</cp:lastModifiedBy>
  <cp:lastPrinted>2023-03-29T10:35:00Z</cp:lastPrinted>
  <dcterms:modified xsi:type="dcterms:W3CDTF">2024-01-31T17:29:15Z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2052-5.2.0.7734</vt:lpwstr>
  </property>
  <property fmtid="{D5CDD505-2E9C-101B-9397-08002B2CF9AE}" pid="3" name="ICV">
    <vt:lpwstr>24635CBE0E43002FA20CBA6577183575_43</vt:lpwstr>
  </property>
</Properties>
</file>