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rPr>
      </w:pPr>
      <w:r>
        <w:rPr>
          <w:rFonts w:hint="eastAsia"/>
          <w:b/>
          <w:bCs/>
          <w:sz w:val="44"/>
          <w:szCs w:val="44"/>
        </w:rPr>
        <w:t>四川永恒房地产开发有限公司管理人</w:t>
      </w:r>
    </w:p>
    <w:p>
      <w:pPr>
        <w:jc w:val="center"/>
        <w:rPr>
          <w:rFonts w:hint="eastAsia"/>
          <w:b/>
          <w:bCs/>
          <w:sz w:val="44"/>
          <w:szCs w:val="44"/>
        </w:rPr>
      </w:pPr>
      <w:r>
        <w:rPr>
          <w:rFonts w:hint="eastAsia"/>
          <w:b/>
          <w:bCs/>
          <w:sz w:val="44"/>
          <w:szCs w:val="44"/>
        </w:rPr>
        <w:t>关于公开</w:t>
      </w:r>
      <w:r>
        <w:rPr>
          <w:rFonts w:hint="eastAsia"/>
          <w:b/>
          <w:bCs/>
          <w:sz w:val="44"/>
          <w:szCs w:val="44"/>
          <w:lang w:val="en-US" w:eastAsia="zh-CN"/>
        </w:rPr>
        <w:t>比选</w:t>
      </w:r>
      <w:r>
        <w:rPr>
          <w:rFonts w:hint="eastAsia"/>
          <w:b/>
          <w:bCs/>
          <w:sz w:val="44"/>
          <w:szCs w:val="44"/>
        </w:rPr>
        <w:t>“西门商业城”</w:t>
      </w:r>
      <w:bookmarkStart w:id="0" w:name="_GoBack"/>
      <w:r>
        <w:rPr>
          <w:rFonts w:hint="eastAsia"/>
          <w:b/>
          <w:bCs/>
          <w:sz w:val="44"/>
          <w:szCs w:val="44"/>
        </w:rPr>
        <w:t>项目</w:t>
      </w:r>
      <w:bookmarkEnd w:id="0"/>
      <w:r>
        <w:rPr>
          <w:rFonts w:hint="eastAsia"/>
          <w:b/>
          <w:bCs/>
          <w:sz w:val="44"/>
          <w:szCs w:val="44"/>
        </w:rPr>
        <w:t>房屋安全鉴定机构的公告</w:t>
      </w:r>
    </w:p>
    <w:p>
      <w:pPr>
        <w:keepNext w:val="0"/>
        <w:keepLines w:val="0"/>
        <w:pageBreakBefore w:val="0"/>
        <w:widowControl w:val="0"/>
        <w:kinsoku/>
        <w:wordWrap/>
        <w:overflowPunct/>
        <w:topLinePunct w:val="0"/>
        <w:autoSpaceDE/>
        <w:autoSpaceDN/>
        <w:bidi w:val="0"/>
        <w:adjustRightInd/>
        <w:snapToGrid/>
        <w:spacing w:before="157" w:beforeLines="50"/>
        <w:ind w:firstLine="560" w:firstLineChars="200"/>
        <w:textAlignment w:val="auto"/>
        <w:rPr>
          <w:rFonts w:hint="default" w:ascii="仿宋" w:hAnsi="仿宋" w:eastAsia="仿宋" w:cs="仿宋"/>
          <w:lang w:val="en-US" w:eastAsia="zh-CN"/>
        </w:rPr>
      </w:pPr>
      <w:r>
        <w:rPr>
          <w:rFonts w:hint="eastAsia" w:ascii="仿宋" w:hAnsi="仿宋" w:eastAsia="仿宋" w:cs="仿宋"/>
        </w:rPr>
        <w:t>2022年1月24日，四川省犍为县人民法院根据申请人犍为新万兴投资发展有限公司的申请，以（2022）川1123破申1号裁定书裁定受理了四川永恒房地产开发有限公司（以下简称“永恒公司”或“债务人”）破产重整一案，并于同日以（2022）川1123破申1号决定书，指定四川永恒房地产开发有限公司清算组为管理人（以下简称“管理人”）。</w:t>
      </w:r>
      <w:r>
        <w:rPr>
          <w:rFonts w:hint="eastAsia" w:ascii="仿宋" w:hAnsi="仿宋" w:cs="仿宋"/>
          <w:lang w:val="en-US" w:eastAsia="zh-CN"/>
        </w:rPr>
        <w:t>经管理人申请，2024年1月29日，犍为县人民法院终止永恒公司破产重整程序并宣告永恒公司破产。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为了顺利永恒公司破产清算工作，为了维护全体债权人的合法利益，确保永恒公司“西门商业城”项目已完工程符合相关质量和安全要求，同时也</w:t>
      </w:r>
      <w:r>
        <w:rPr>
          <w:rFonts w:hint="eastAsia" w:ascii="仿宋" w:hAnsi="仿宋" w:cs="仿宋"/>
          <w:lang w:val="en-US" w:eastAsia="zh-CN"/>
        </w:rPr>
        <w:t>为</w:t>
      </w:r>
      <w:r>
        <w:rPr>
          <w:rFonts w:hint="eastAsia" w:ascii="仿宋" w:hAnsi="仿宋" w:eastAsia="仿宋" w:cs="仿宋"/>
        </w:rPr>
        <w:t>了推进后续产权办理等程序，现管理人公开</w:t>
      </w:r>
      <w:r>
        <w:rPr>
          <w:rFonts w:hint="eastAsia" w:ascii="仿宋" w:hAnsi="仿宋" w:cs="仿宋"/>
          <w:lang w:eastAsia="zh-CN"/>
        </w:rPr>
        <w:t>比选</w:t>
      </w:r>
      <w:r>
        <w:rPr>
          <w:rFonts w:hint="eastAsia" w:ascii="仿宋" w:hAnsi="仿宋" w:eastAsia="仿宋" w:cs="仿宋"/>
        </w:rPr>
        <w:t>“西门商业城”项目房屋安全鉴定机构，并就有关事宜公告如下：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一、西门商业城项目概况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西门商业城项目位于四川省犍为县玉津镇凤凰路北段946号，由四川省犍为县乐华建筑有限公司承建开发，项目建成时间为2023年，总建筑面积44368.36平方米，包括1、2、3号楼，其中1、3号楼为商业综合体，2号楼为住宅。地下面积为5748.15平方米，商业面积为26585.58平方米，住宅建筑面积为11229.48平方米。设计用途为车库、商业、住宅，实际用途为车库、商业、住宅，结构形式为钢筋混凝土。具体情况以现场为准。</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二、工作范围及要求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1、对“西门商业城”项目及管理人指定部分进行工程质量检测及安全鉴定，并出具相应报告，该报告将作为工程质量安全的证明材料用于办理房屋所有权登记等。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2、管理人或者相关部门认为其他需要鉴定的事宜。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3、向管理人提交</w:t>
      </w:r>
      <w:r>
        <w:rPr>
          <w:rFonts w:hint="eastAsia" w:ascii="仿宋" w:hAnsi="仿宋" w:cs="仿宋"/>
          <w:lang w:val="en-US" w:eastAsia="zh-CN"/>
        </w:rPr>
        <w:t>鉴定</w:t>
      </w:r>
      <w:r>
        <w:rPr>
          <w:rFonts w:hint="eastAsia" w:ascii="仿宋" w:hAnsi="仿宋" w:eastAsia="仿宋" w:cs="仿宋"/>
        </w:rPr>
        <w:t>报告的时间不得超过30</w:t>
      </w:r>
      <w:r>
        <w:rPr>
          <w:rFonts w:hint="eastAsia" w:ascii="仿宋" w:hAnsi="仿宋" w:cs="仿宋"/>
          <w:lang w:val="en-US" w:eastAsia="zh-CN"/>
        </w:rPr>
        <w:t>个工作</w:t>
      </w:r>
      <w:r>
        <w:rPr>
          <w:rFonts w:hint="eastAsia" w:ascii="仿宋" w:hAnsi="仿宋" w:eastAsia="仿宋" w:cs="仿宋"/>
        </w:rPr>
        <w:t>日。</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三、报名条件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1、具备独立法人资格，取得</w:t>
      </w:r>
      <w:r>
        <w:rPr>
          <w:rFonts w:hint="eastAsia" w:ascii="仿宋" w:hAnsi="仿宋" w:cs="仿宋"/>
          <w:lang w:val="en-US" w:eastAsia="zh-CN"/>
        </w:rPr>
        <w:t>四川省</w:t>
      </w:r>
      <w:r>
        <w:rPr>
          <w:rFonts w:hint="eastAsia" w:ascii="仿宋" w:hAnsi="仿宋" w:eastAsia="仿宋" w:cs="仿宋"/>
        </w:rPr>
        <w:t>相关部门颁发的涵盖检测工作内</w:t>
      </w:r>
      <w:r>
        <w:rPr>
          <w:rFonts w:hint="eastAsia" w:ascii="仿宋" w:hAnsi="仿宋" w:cs="仿宋"/>
          <w:lang w:val="en-US" w:eastAsia="zh-CN"/>
        </w:rPr>
        <w:t>容</w:t>
      </w:r>
      <w:r>
        <w:rPr>
          <w:rFonts w:hint="eastAsia" w:ascii="仿宋" w:hAnsi="仿宋" w:eastAsia="仿宋" w:cs="仿宋"/>
        </w:rPr>
        <w:t>的相应检测资质。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2、具有房地产项目工程质量检测与安全鉴定相关经验者优先。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3、与管理人、债权人、债务人及相关人员不存在利害关系，</w:t>
      </w:r>
      <w:r>
        <w:rPr>
          <w:rFonts w:hint="eastAsia" w:ascii="仿宋" w:hAnsi="仿宋" w:cs="仿宋"/>
          <w:lang w:val="en-US" w:eastAsia="zh-CN"/>
        </w:rPr>
        <w:t>或</w:t>
      </w:r>
      <w:r>
        <w:rPr>
          <w:rFonts w:hint="eastAsia" w:ascii="仿宋" w:hAnsi="仿宋" w:eastAsia="仿宋" w:cs="仿宋"/>
        </w:rPr>
        <w:t>者其他可能影响公正判断的关系。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4、近三年没有违法违规行为和行政处罚记录，未被列为失信被 执行人、重大税收违法案件当事人，所参与的项目未发生工程质量、安全事故。</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四、需要提交的材料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1、营业执照副本复印件、法定代表人身份证明书、法定代表</w:t>
      </w:r>
      <w:r>
        <w:rPr>
          <w:rFonts w:hint="eastAsia" w:ascii="仿宋" w:hAnsi="仿宋" w:cs="仿宋"/>
          <w:lang w:val="en-US" w:eastAsia="zh-CN"/>
        </w:rPr>
        <w:t>人</w:t>
      </w:r>
      <w:r>
        <w:rPr>
          <w:rFonts w:hint="eastAsia" w:ascii="仿宋" w:hAnsi="仿宋" w:eastAsia="仿宋" w:cs="仿宋"/>
        </w:rPr>
        <w:t>身份证复印件；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2、有效的工程质量检测机构</w:t>
      </w:r>
      <w:r>
        <w:rPr>
          <w:rFonts w:hint="eastAsia" w:ascii="仿宋" w:hAnsi="仿宋" w:cs="仿宋"/>
          <w:lang w:val="en-US" w:eastAsia="zh-CN"/>
        </w:rPr>
        <w:t>及其鉴定人员</w:t>
      </w:r>
      <w:r>
        <w:rPr>
          <w:rFonts w:hint="eastAsia" w:ascii="仿宋" w:hAnsi="仿宋" w:eastAsia="仿宋" w:cs="仿宋"/>
        </w:rPr>
        <w:t>资质复印件；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3、报名机构的简介和工作业绩(需提供相应的证明材料）；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4、项目工作方案(包括但不限于：项目现场负责人及资质证书、工作经验、项目团队人员组成及资质证书、本项目工作计划和安排、联系方式、无利害关系声明等）；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5、项目报价方案(应明确计算标准及可协商最大折扣）；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6、报名机构是否愿意</w:t>
      </w:r>
      <w:r>
        <w:rPr>
          <w:rFonts w:hint="eastAsia" w:ascii="仿宋" w:hAnsi="仿宋" w:cs="仿宋"/>
          <w:lang w:val="en-US" w:eastAsia="zh-CN"/>
        </w:rPr>
        <w:t>自行承担鉴定费用</w:t>
      </w:r>
      <w:r>
        <w:rPr>
          <w:rFonts w:hint="eastAsia" w:ascii="仿宋" w:hAnsi="仿宋" w:eastAsia="仿宋" w:cs="仿宋"/>
        </w:rPr>
        <w:t>的说明；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7、报名机构联系人姓名、联系电话、邮件送达地址等；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8、报名机构认为应当提交的其他资料。</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五、报名时间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本公告发布之日起至 2024 年2月2</w:t>
      </w:r>
      <w:r>
        <w:rPr>
          <w:rFonts w:hint="eastAsia" w:ascii="仿宋" w:hAnsi="仿宋" w:cs="仿宋"/>
          <w:lang w:val="en-US" w:eastAsia="zh-CN"/>
        </w:rPr>
        <w:t>3</w:t>
      </w:r>
      <w:r>
        <w:rPr>
          <w:rFonts w:hint="eastAsia" w:ascii="仿宋" w:hAnsi="仿宋" w:eastAsia="仿宋" w:cs="仿宋"/>
        </w:rPr>
        <w:t>日前，报名以管理人收到材料为准。</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六、报名文件寄递</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1、报名材料需准备一式二份，递交资料是复印件的需要加盖单位公章，报名材料需进行装袋密封（封口处加盖公司印章）。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2、报名地点：四川省乐山市犍为县玉津镇凤凰路北段946号西门商业城七楼。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lang w:val="en-US" w:eastAsia="zh-CN"/>
        </w:rPr>
      </w:pPr>
      <w:r>
        <w:rPr>
          <w:rFonts w:hint="eastAsia" w:ascii="仿宋" w:hAnsi="仿宋" w:cs="仿宋"/>
          <w:lang w:val="en-US" w:eastAsia="zh-CN"/>
        </w:rPr>
        <w:t>3、报名方式：现场或者邮寄。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cs="仿宋"/>
          <w:lang w:val="en-US" w:eastAsia="zh-CN"/>
        </w:rPr>
        <w:t>4</w:t>
      </w:r>
      <w:r>
        <w:rPr>
          <w:rFonts w:hint="eastAsia" w:ascii="仿宋" w:hAnsi="仿宋" w:eastAsia="仿宋" w:cs="仿宋"/>
        </w:rPr>
        <w:t>、联系人：李女士，</w:t>
      </w:r>
      <w:r>
        <w:rPr>
          <w:rFonts w:hint="eastAsia" w:ascii="仿宋" w:hAnsi="仿宋" w:cs="仿宋"/>
          <w:lang w:val="en-US" w:eastAsia="zh-CN"/>
        </w:rPr>
        <w:t>联系电话：</w:t>
      </w:r>
      <w:r>
        <w:rPr>
          <w:rFonts w:hint="eastAsia" w:ascii="仿宋" w:hAnsi="仿宋" w:eastAsia="仿宋" w:cs="仿宋"/>
        </w:rPr>
        <w:t>13981319115。</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七、报名须知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1、参与</w:t>
      </w:r>
      <w:r>
        <w:rPr>
          <w:rFonts w:hint="eastAsia" w:ascii="仿宋" w:hAnsi="仿宋" w:cs="仿宋"/>
          <w:lang w:val="en-US" w:eastAsia="zh-CN"/>
        </w:rPr>
        <w:t>本次比选的机构</w:t>
      </w:r>
      <w:r>
        <w:rPr>
          <w:rFonts w:hint="eastAsia" w:ascii="仿宋" w:hAnsi="仿宋" w:eastAsia="仿宋" w:cs="仿宋"/>
        </w:rPr>
        <w:t>需自行对本项目情况进行现场实地踏勘了解，并承担现场考察的责任和风险。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lang w:val="en-US" w:eastAsia="zh-CN"/>
        </w:rPr>
      </w:pPr>
      <w:r>
        <w:rPr>
          <w:rFonts w:hint="eastAsia" w:ascii="仿宋" w:hAnsi="仿宋" w:cs="仿宋"/>
          <w:lang w:val="en-US" w:eastAsia="zh-CN"/>
        </w:rPr>
        <w:t>2、参与本次比选的机构需到犍为县建设工程质量安全监督站备案，详情请自行咨询相关单位。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cs="仿宋"/>
          <w:lang w:val="en-US" w:eastAsia="zh-CN"/>
        </w:rPr>
        <w:t>3</w:t>
      </w:r>
      <w:r>
        <w:rPr>
          <w:rFonts w:hint="eastAsia" w:ascii="仿宋" w:hAnsi="仿宋" w:eastAsia="仿宋" w:cs="仿宋"/>
        </w:rPr>
        <w:t>、参与本次</w:t>
      </w:r>
      <w:r>
        <w:rPr>
          <w:rFonts w:hint="eastAsia" w:ascii="仿宋" w:hAnsi="仿宋" w:cs="仿宋"/>
          <w:lang w:eastAsia="zh-CN"/>
        </w:rPr>
        <w:t>比选</w:t>
      </w:r>
      <w:r>
        <w:rPr>
          <w:rFonts w:hint="eastAsia" w:ascii="仿宋" w:hAnsi="仿宋" w:eastAsia="仿宋" w:cs="仿宋"/>
        </w:rPr>
        <w:t>的机构视为已充分了解和认识任何与本项目有关的影响事项等情况。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cs="仿宋"/>
          <w:lang w:val="en-US" w:eastAsia="zh-CN"/>
        </w:rPr>
        <w:t>4</w:t>
      </w:r>
      <w:r>
        <w:rPr>
          <w:rFonts w:hint="eastAsia" w:ascii="仿宋" w:hAnsi="仿宋" w:eastAsia="仿宋" w:cs="仿宋"/>
        </w:rPr>
        <w:t>、报名材料一经投递，无论是否中选，管理人均不再退还资料。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cs="仿宋"/>
          <w:lang w:val="en-US" w:eastAsia="zh-CN"/>
        </w:rPr>
        <w:t>5</w:t>
      </w:r>
      <w:r>
        <w:rPr>
          <w:rFonts w:hint="eastAsia" w:ascii="仿宋" w:hAnsi="仿宋" w:eastAsia="仿宋" w:cs="仿宋"/>
        </w:rPr>
        <w:t>、参与</w:t>
      </w:r>
      <w:r>
        <w:rPr>
          <w:rFonts w:hint="eastAsia" w:ascii="仿宋" w:hAnsi="仿宋" w:cs="仿宋"/>
          <w:lang w:val="en-US" w:eastAsia="zh-CN"/>
        </w:rPr>
        <w:t>本次</w:t>
      </w:r>
      <w:r>
        <w:rPr>
          <w:rFonts w:hint="eastAsia" w:ascii="仿宋" w:hAnsi="仿宋" w:cs="仿宋"/>
          <w:lang w:eastAsia="zh-CN"/>
        </w:rPr>
        <w:t>比选</w:t>
      </w:r>
      <w:r>
        <w:rPr>
          <w:rFonts w:hint="eastAsia" w:ascii="仿宋" w:hAnsi="仿宋" w:cs="仿宋"/>
          <w:lang w:val="en-US" w:eastAsia="zh-CN"/>
        </w:rPr>
        <w:t>的</w:t>
      </w:r>
      <w:r>
        <w:rPr>
          <w:rFonts w:hint="eastAsia" w:ascii="仿宋" w:hAnsi="仿宋" w:eastAsia="仿宋" w:cs="仿宋"/>
        </w:rPr>
        <w:t>机构应充分分析市场的价格变动风险和本项目可承受的能力，合理报价。</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rPr>
      </w:pPr>
      <w:r>
        <w:rPr>
          <w:rFonts w:hint="eastAsia" w:ascii="仿宋" w:hAnsi="仿宋" w:eastAsia="仿宋" w:cs="仿宋"/>
          <w:b/>
          <w:bCs/>
        </w:rPr>
        <w:t>八、其他相关事项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1、鉴定机构需</w:t>
      </w:r>
      <w:r>
        <w:rPr>
          <w:rFonts w:hint="eastAsia" w:ascii="仿宋" w:hAnsi="仿宋" w:cs="仿宋"/>
          <w:lang w:val="en-US" w:eastAsia="zh-CN"/>
        </w:rPr>
        <w:t>自行承担鉴定</w:t>
      </w:r>
      <w:r>
        <w:rPr>
          <w:rFonts w:hint="eastAsia" w:ascii="仿宋" w:hAnsi="仿宋" w:eastAsia="仿宋" w:cs="仿宋"/>
        </w:rPr>
        <w:t>费用并出具鉴定报告，鉴定</w:t>
      </w:r>
      <w:r>
        <w:rPr>
          <w:rFonts w:hint="eastAsia" w:ascii="仿宋" w:hAnsi="仿宋" w:cs="仿宋"/>
          <w:lang w:val="en-US" w:eastAsia="zh-CN"/>
        </w:rPr>
        <w:t>报酬</w:t>
      </w:r>
      <w:r>
        <w:rPr>
          <w:rFonts w:hint="eastAsia" w:ascii="仿宋" w:hAnsi="仿宋" w:eastAsia="仿宋" w:cs="仿宋"/>
        </w:rPr>
        <w:t>列入本案共益债务，</w:t>
      </w:r>
      <w:r>
        <w:rPr>
          <w:rFonts w:hint="eastAsia" w:ascii="仿宋" w:hAnsi="仿宋" w:cs="仿宋"/>
          <w:lang w:val="en-US" w:eastAsia="zh-CN"/>
        </w:rPr>
        <w:t>在</w:t>
      </w:r>
      <w:r>
        <w:rPr>
          <w:rFonts w:hint="eastAsia" w:ascii="仿宋" w:hAnsi="仿宋" w:eastAsia="仿宋" w:cs="仿宋"/>
        </w:rPr>
        <w:t>永恒</w:t>
      </w:r>
      <w:r>
        <w:rPr>
          <w:rFonts w:hint="eastAsia" w:ascii="仿宋" w:hAnsi="仿宋" w:cs="仿宋"/>
          <w:lang w:val="en-US" w:eastAsia="zh-CN"/>
        </w:rPr>
        <w:t>公司</w:t>
      </w:r>
      <w:r>
        <w:rPr>
          <w:rFonts w:hint="eastAsia" w:ascii="仿宋" w:hAnsi="仿宋" w:eastAsia="仿宋" w:cs="仿宋"/>
        </w:rPr>
        <w:t>财产处置后依法优先支付。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2、管理人采取</w:t>
      </w:r>
      <w:r>
        <w:rPr>
          <w:rFonts w:hint="eastAsia" w:ascii="仿宋" w:hAnsi="仿宋" w:cs="仿宋"/>
          <w:lang w:val="en-US" w:eastAsia="zh-CN"/>
        </w:rPr>
        <w:t>比选</w:t>
      </w:r>
      <w:r>
        <w:rPr>
          <w:rFonts w:hint="eastAsia" w:ascii="仿宋" w:hAnsi="仿宋" w:eastAsia="仿宋" w:cs="仿宋"/>
        </w:rPr>
        <w:t>方式选定房屋安全鉴定机构，将根据报价方案、规模、实力业绩、工作方案、完成时间等综合考虑，择优确定一家中选机构、一家备选机构，由永恒公司中选鉴定机构签订相关委托合同。未入选机构不再另行通知。如有一家机构报名的,在符合本公告条件下,将直接确定为中标单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3、本次公开</w:t>
      </w:r>
      <w:r>
        <w:rPr>
          <w:rFonts w:hint="eastAsia" w:ascii="仿宋" w:hAnsi="仿宋" w:cs="仿宋"/>
          <w:lang w:eastAsia="zh-CN"/>
        </w:rPr>
        <w:t>比选</w:t>
      </w:r>
      <w:r>
        <w:rPr>
          <w:rFonts w:hint="eastAsia" w:ascii="仿宋" w:hAnsi="仿宋" w:eastAsia="仿宋" w:cs="仿宋"/>
        </w:rPr>
        <w:t>系为及时推进案件程序所发布,实际选定后并 不构成对第三方的要约,如案件无相应需求,管理人不对此承担任何违约责任。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4、中选机构须全面、严格按合同提供服务,如在履约过程中有违 约现象导致合同解除,应承担相应责任。管理人可通知备选机构签订合同或重新组织</w:t>
      </w:r>
      <w:r>
        <w:rPr>
          <w:rFonts w:hint="eastAsia" w:ascii="仿宋" w:hAnsi="仿宋" w:cs="仿宋"/>
          <w:lang w:val="en-US" w:eastAsia="zh-CN"/>
        </w:rPr>
        <w:t>比选</w:t>
      </w:r>
      <w:r>
        <w:rPr>
          <w:rFonts w:hint="eastAsia" w:ascii="仿宋" w:hAnsi="仿宋" w:eastAsia="仿宋" w:cs="仿宋"/>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5、房屋安全鉴定机构的入场时间待签订委托合同后以管理人通知的时间为准。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6、如遇情势或政策变化,管理人有权终止本次</w:t>
      </w:r>
      <w:r>
        <w:rPr>
          <w:rFonts w:hint="eastAsia" w:ascii="仿宋" w:hAnsi="仿宋" w:cs="仿宋"/>
          <w:lang w:eastAsia="zh-CN"/>
        </w:rPr>
        <w:t>比选</w:t>
      </w:r>
      <w:r>
        <w:rPr>
          <w:rFonts w:hint="eastAsia" w:ascii="仿宋" w:hAnsi="仿宋" w:eastAsia="仿宋" w:cs="仿宋"/>
        </w:rPr>
        <w:t>活动。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rPr>
      </w:pPr>
      <w:r>
        <w:rPr>
          <w:rFonts w:hint="eastAsia" w:ascii="仿宋" w:hAnsi="仿宋" w:eastAsia="仿宋" w:cs="仿宋"/>
        </w:rPr>
        <w:t>特此公告！</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rPr>
      </w:pPr>
      <w:r>
        <w:rPr>
          <w:rFonts w:hint="eastAsia" w:ascii="仿宋" w:hAnsi="仿宋" w:eastAsia="仿宋" w:cs="仿宋"/>
        </w:rPr>
        <w:t>四川永恒房地产开发有限公司管理人</w:t>
      </w:r>
    </w:p>
    <w:p>
      <w:pPr>
        <w:keepNext w:val="0"/>
        <w:keepLines w:val="0"/>
        <w:pageBreakBefore w:val="0"/>
        <w:widowControl w:val="0"/>
        <w:kinsoku/>
        <w:wordWrap/>
        <w:overflowPunct/>
        <w:topLinePunct w:val="0"/>
        <w:autoSpaceDE/>
        <w:autoSpaceDN/>
        <w:bidi w:val="0"/>
        <w:adjustRightInd/>
        <w:snapToGrid/>
        <w:ind w:firstLine="560" w:firstLineChars="200"/>
        <w:jc w:val="center"/>
        <w:textAlignment w:val="auto"/>
      </w:pPr>
      <w:r>
        <w:rPr>
          <w:rFonts w:hint="eastAsia" w:ascii="仿宋" w:hAnsi="仿宋" w:cs="仿宋"/>
          <w:lang w:val="en-US" w:eastAsia="zh-CN"/>
        </w:rPr>
        <w:t xml:space="preserve">                        </w:t>
      </w:r>
      <w:r>
        <w:rPr>
          <w:rFonts w:hint="eastAsia" w:ascii="仿宋" w:hAnsi="仿宋" w:eastAsia="仿宋" w:cs="仿宋"/>
        </w:rPr>
        <w:t>二〇二四年二月二日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3999"/>
      <w:rPr>
        <w:rFonts w:ascii="等线" w:hAnsi="等线" w:eastAsia="等线" w:cs="等线"/>
        <w:sz w:val="18"/>
        <w:szCs w:val="18"/>
      </w:rPr>
    </w:pPr>
    <w:r>
      <w:rPr>
        <w:rFonts w:ascii="等线" w:hAnsi="等线" w:eastAsia="等线" w:cs="等线"/>
        <w:spacing w:val="-9"/>
        <w:sz w:val="18"/>
        <w:szCs w:val="18"/>
      </w:rPr>
      <w:t>-</w:t>
    </w:r>
    <w:r>
      <w:rPr>
        <w:rFonts w:ascii="等线" w:hAnsi="等线" w:eastAsia="等线" w:cs="等线"/>
        <w:spacing w:val="7"/>
        <w:sz w:val="18"/>
        <w:szCs w:val="18"/>
      </w:rPr>
      <w:t xml:space="preserve"> </w:t>
    </w:r>
    <w:r>
      <w:rPr>
        <w:rFonts w:ascii="等线" w:hAnsi="等线" w:eastAsia="等线" w:cs="等线"/>
        <w:spacing w:val="-9"/>
        <w:sz w:val="18"/>
        <w:szCs w:val="18"/>
      </w:rPr>
      <w:t>3</w:t>
    </w:r>
    <w:r>
      <w:rPr>
        <w:rFonts w:ascii="等线" w:hAnsi="等线" w:eastAsia="等线" w:cs="等线"/>
        <w:spacing w:val="18"/>
        <w:w w:val="102"/>
        <w:sz w:val="18"/>
        <w:szCs w:val="18"/>
      </w:rPr>
      <w:t xml:space="preserve"> </w:t>
    </w:r>
    <w:r>
      <w:rPr>
        <w:rFonts w:ascii="等线" w:hAnsi="等线" w:eastAsia="等线" w:cs="等线"/>
        <w:spacing w:val="-9"/>
        <w:sz w:val="18"/>
        <w:szCs w:val="1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7F7A32"/>
    <w:multiLevelType w:val="singleLevel"/>
    <w:tmpl w:val="CF7F7A32"/>
    <w:lvl w:ilvl="0" w:tentative="0">
      <w:start w:val="1"/>
      <w:numFmt w:val="chineseCounting"/>
      <w:pStyle w:val="2"/>
      <w:suff w:val="nothing"/>
      <w:lvlText w:val="%1、"/>
      <w:lvlJc w:val="left"/>
      <w:pPr>
        <w:ind w:left="0" w:firstLine="420"/>
      </w:pPr>
      <w:rPr>
        <w:rFonts w:hint="eastAsia"/>
      </w:rPr>
    </w:lvl>
  </w:abstractNum>
  <w:abstractNum w:abstractNumId="1">
    <w:nsid w:val="006D80BD"/>
    <w:multiLevelType w:val="singleLevel"/>
    <w:tmpl w:val="006D80BD"/>
    <w:lvl w:ilvl="0" w:tentative="0">
      <w:start w:val="1"/>
      <w:numFmt w:val="decimal"/>
      <w:pStyle w:val="3"/>
      <w:lvlText w:val="%1."/>
      <w:lvlJc w:val="left"/>
      <w:pPr>
        <w:ind w:left="425" w:hanging="425"/>
      </w:pPr>
      <w:rPr>
        <w:rFonts w:hint="default"/>
      </w:rPr>
    </w:lvl>
  </w:abstractNum>
  <w:abstractNum w:abstractNumId="2">
    <w:nsid w:val="20A54D2A"/>
    <w:multiLevelType w:val="singleLevel"/>
    <w:tmpl w:val="20A54D2A"/>
    <w:lvl w:ilvl="0" w:tentative="0">
      <w:start w:val="1"/>
      <w:numFmt w:val="decimal"/>
      <w:pStyle w:val="4"/>
      <w:lvlText w:val="(%1)"/>
      <w:lvlJc w:val="left"/>
      <w:pPr>
        <w:ind w:left="425" w:hanging="425"/>
      </w:pPr>
      <w:rPr>
        <w:rFonts w:hint="default"/>
      </w:rPr>
    </w:lvl>
  </w:abstractNum>
  <w:abstractNum w:abstractNumId="3">
    <w:nsid w:val="6D33FCF8"/>
    <w:multiLevelType w:val="singleLevel"/>
    <w:tmpl w:val="6D33FCF8"/>
    <w:lvl w:ilvl="0" w:tentative="0">
      <w:start w:val="1"/>
      <w:numFmt w:val="decimal"/>
      <w:pStyle w:val="9"/>
      <w:lvlText w:val="(%1)"/>
      <w:lvlJc w:val="left"/>
      <w:pPr>
        <w:ind w:left="1865" w:hanging="425"/>
      </w:pPr>
      <w:rPr>
        <w:rFont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lNjRiZmNiYWI5YjIyZmNhMDA5ZmFmZmIwYWNlZDEifQ=="/>
  </w:docVars>
  <w:rsids>
    <w:rsidRoot w:val="549D5AD6"/>
    <w:rsid w:val="006204C9"/>
    <w:rsid w:val="00D13BAB"/>
    <w:rsid w:val="081305ED"/>
    <w:rsid w:val="095B0CA1"/>
    <w:rsid w:val="0B2F35E2"/>
    <w:rsid w:val="0C8835E3"/>
    <w:rsid w:val="0F3A22BC"/>
    <w:rsid w:val="104621B2"/>
    <w:rsid w:val="11651569"/>
    <w:rsid w:val="1EFB76EA"/>
    <w:rsid w:val="252C6FF6"/>
    <w:rsid w:val="2A050C55"/>
    <w:rsid w:val="2C7E2617"/>
    <w:rsid w:val="32D62749"/>
    <w:rsid w:val="332C482A"/>
    <w:rsid w:val="341D2B5E"/>
    <w:rsid w:val="344E3461"/>
    <w:rsid w:val="352E7146"/>
    <w:rsid w:val="37EF3E80"/>
    <w:rsid w:val="3A560AAD"/>
    <w:rsid w:val="3AB002E5"/>
    <w:rsid w:val="3E754710"/>
    <w:rsid w:val="3F7976CD"/>
    <w:rsid w:val="40787378"/>
    <w:rsid w:val="50055C55"/>
    <w:rsid w:val="52D93A83"/>
    <w:rsid w:val="549D5AD6"/>
    <w:rsid w:val="54EC1958"/>
    <w:rsid w:val="551E51E7"/>
    <w:rsid w:val="56AB2A1C"/>
    <w:rsid w:val="5A950473"/>
    <w:rsid w:val="647A0792"/>
    <w:rsid w:val="6B380D69"/>
    <w:rsid w:val="6E2365B9"/>
    <w:rsid w:val="6EFD6F3D"/>
    <w:rsid w:val="70DD4DF5"/>
    <w:rsid w:val="71BE1FB9"/>
    <w:rsid w:val="73BE0114"/>
    <w:rsid w:val="778A04A8"/>
    <w:rsid w:val="7FCD5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 w:cs="Times New Roman"/>
      <w:kern w:val="2"/>
      <w:sz w:val="28"/>
      <w:szCs w:val="24"/>
      <w:lang w:val="en-US" w:eastAsia="zh-CN" w:bidi="ar-SA"/>
    </w:rPr>
  </w:style>
  <w:style w:type="paragraph" w:styleId="2">
    <w:name w:val="heading 1"/>
    <w:next w:val="1"/>
    <w:link w:val="13"/>
    <w:autoRedefine/>
    <w:qFormat/>
    <w:uiPriority w:val="0"/>
    <w:pPr>
      <w:keepNext/>
      <w:keepLines/>
      <w:numPr>
        <w:ilvl w:val="0"/>
        <w:numId w:val="1"/>
      </w:numPr>
      <w:adjustRightInd w:val="0"/>
      <w:snapToGrid w:val="0"/>
      <w:spacing w:line="360" w:lineRule="auto"/>
      <w:ind w:firstLine="883" w:firstLineChars="200"/>
      <w:jc w:val="left"/>
      <w:outlineLvl w:val="0"/>
    </w:pPr>
    <w:rPr>
      <w:rFonts w:ascii="Tahoma" w:hAnsi="Tahoma" w:eastAsia="宋体" w:cs="Times New Roman"/>
      <w:b/>
      <w:bCs/>
      <w:kern w:val="44"/>
      <w:sz w:val="36"/>
      <w:szCs w:val="44"/>
      <w:lang w:val="en-US" w:eastAsia="zh-CN" w:bidi="ar-SA"/>
    </w:rPr>
  </w:style>
  <w:style w:type="paragraph" w:styleId="3">
    <w:name w:val="heading 2"/>
    <w:basedOn w:val="1"/>
    <w:next w:val="1"/>
    <w:link w:val="12"/>
    <w:autoRedefine/>
    <w:semiHidden/>
    <w:unhideWhenUsed/>
    <w:qFormat/>
    <w:uiPriority w:val="0"/>
    <w:pPr>
      <w:keepNext/>
      <w:keepLines/>
      <w:numPr>
        <w:ilvl w:val="0"/>
        <w:numId w:val="2"/>
      </w:numPr>
      <w:spacing w:before="140" w:after="140" w:line="413" w:lineRule="auto"/>
      <w:ind w:firstLine="960" w:firstLineChars="200"/>
      <w:outlineLvl w:val="1"/>
    </w:pPr>
    <w:rPr>
      <w:rFonts w:ascii="Arial" w:hAnsi="Arial" w:eastAsia="仿宋"/>
      <w:b/>
      <w:sz w:val="32"/>
    </w:rPr>
  </w:style>
  <w:style w:type="paragraph" w:styleId="4">
    <w:name w:val="heading 3"/>
    <w:next w:val="1"/>
    <w:link w:val="14"/>
    <w:autoRedefine/>
    <w:semiHidden/>
    <w:unhideWhenUsed/>
    <w:qFormat/>
    <w:uiPriority w:val="0"/>
    <w:pPr>
      <w:keepNext/>
      <w:keepLines/>
      <w:numPr>
        <w:ilvl w:val="0"/>
        <w:numId w:val="3"/>
      </w:numPr>
      <w:adjustRightInd w:val="0"/>
      <w:snapToGrid w:val="0"/>
      <w:spacing w:before="50" w:beforeLines="50" w:line="413" w:lineRule="auto"/>
      <w:ind w:firstLine="960" w:firstLineChars="200"/>
      <w:outlineLvl w:val="2"/>
    </w:pPr>
    <w:rPr>
      <w:rFonts w:ascii="Tahoma" w:hAnsi="Tahoma" w:eastAsia="仿宋" w:cs="Times New Roman"/>
      <w:b/>
      <w:sz w:val="32"/>
      <w:szCs w:val="22"/>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0"/>
    <w:pPr>
      <w:spacing w:after="120" w:afterLines="0" w:afterAutospacing="0"/>
    </w:pPr>
  </w:style>
  <w:style w:type="paragraph" w:styleId="6">
    <w:name w:val="toc 3"/>
    <w:basedOn w:val="1"/>
    <w:next w:val="1"/>
    <w:autoRedefine/>
    <w:qFormat/>
    <w:uiPriority w:val="0"/>
    <w:pPr>
      <w:ind w:left="0" w:leftChars="0" w:firstLine="442" w:firstLineChars="100"/>
      <w:jc w:val="both"/>
    </w:pPr>
    <w:rPr>
      <w:sz w:val="30"/>
    </w:rPr>
  </w:style>
  <w:style w:type="paragraph" w:styleId="7">
    <w:name w:val="toc 1"/>
    <w:next w:val="1"/>
    <w:autoRedefine/>
    <w:qFormat/>
    <w:uiPriority w:val="0"/>
    <w:pPr>
      <w:tabs>
        <w:tab w:val="right" w:leader="dot" w:pos="8715"/>
      </w:tabs>
      <w:wordWrap w:val="0"/>
      <w:topLinePunct/>
      <w:adjustRightInd w:val="0"/>
      <w:snapToGrid w:val="0"/>
      <w:spacing w:line="240" w:lineRule="auto"/>
      <w:jc w:val="both"/>
    </w:pPr>
    <w:rPr>
      <w:rFonts w:ascii="楷体_GB2312" w:hAnsi="楷体_GB2312" w:eastAsia="仿宋" w:cs="Times New Roman"/>
      <w:b/>
      <w:sz w:val="30"/>
      <w:szCs w:val="22"/>
      <w:lang w:val="en-US" w:eastAsia="zh-CN" w:bidi="ar-SA"/>
    </w:rPr>
  </w:style>
  <w:style w:type="paragraph" w:styleId="8">
    <w:name w:val="toc 2"/>
    <w:basedOn w:val="1"/>
    <w:next w:val="1"/>
    <w:autoRedefine/>
    <w:qFormat/>
    <w:uiPriority w:val="0"/>
    <w:pPr>
      <w:spacing w:line="360" w:lineRule="auto"/>
      <w:ind w:left="0" w:leftChars="0" w:firstLine="0" w:firstLineChars="0"/>
      <w:jc w:val="both"/>
    </w:pPr>
    <w:rPr>
      <w:rFonts w:eastAsia="仿宋"/>
      <w:sz w:val="30"/>
    </w:rPr>
  </w:style>
  <w:style w:type="paragraph" w:styleId="9">
    <w:name w:val="Body Text First Indent"/>
    <w:basedOn w:val="5"/>
    <w:autoRedefine/>
    <w:qFormat/>
    <w:uiPriority w:val="0"/>
    <w:pPr>
      <w:numPr>
        <w:ilvl w:val="0"/>
        <w:numId w:val="4"/>
      </w:numPr>
      <w:ind w:left="0" w:firstLine="420" w:firstLineChars="100"/>
    </w:pPr>
    <w:rPr>
      <w:rFonts w:ascii="Calibri" w:hAnsi="Calibri" w:eastAsia="宋体"/>
      <w:b/>
      <w:kern w:val="2"/>
      <w:sz w:val="32"/>
      <w:szCs w:val="24"/>
    </w:rPr>
  </w:style>
  <w:style w:type="character" w:customStyle="1" w:styleId="12">
    <w:name w:val="标题 2 字符"/>
    <w:link w:val="3"/>
    <w:autoRedefine/>
    <w:qFormat/>
    <w:uiPriority w:val="9"/>
    <w:rPr>
      <w:rFonts w:ascii="Arial" w:hAnsi="Arial" w:eastAsia="仿宋" w:cs="Times New Roman"/>
      <w:b/>
      <w:kern w:val="0"/>
      <w:sz w:val="32"/>
      <w:szCs w:val="22"/>
      <w:lang w:val="en-US" w:eastAsia="zh-CN" w:bidi="ar-SA"/>
    </w:rPr>
  </w:style>
  <w:style w:type="character" w:customStyle="1" w:styleId="13">
    <w:name w:val="标题 1 字符"/>
    <w:link w:val="2"/>
    <w:autoRedefine/>
    <w:qFormat/>
    <w:uiPriority w:val="99"/>
    <w:rPr>
      <w:rFonts w:ascii="Tahoma" w:hAnsi="Tahoma" w:eastAsia="宋体" w:cs="Times New Roman"/>
      <w:b/>
      <w:bCs/>
      <w:kern w:val="44"/>
      <w:sz w:val="36"/>
      <w:szCs w:val="44"/>
      <w:lang w:val="en-US" w:eastAsia="zh-CN" w:bidi="ar-SA"/>
    </w:rPr>
  </w:style>
  <w:style w:type="character" w:customStyle="1" w:styleId="14">
    <w:name w:val="标题 3 字符"/>
    <w:link w:val="4"/>
    <w:autoRedefine/>
    <w:qFormat/>
    <w:uiPriority w:val="0"/>
    <w:rPr>
      <w:rFonts w:ascii="Tahoma" w:hAnsi="Tahoma" w:eastAsia="仿宋" w:cs="Times New Roman"/>
      <w:b/>
      <w:kern w:val="0"/>
      <w:sz w:val="3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2024-02-02T02:37:00Z</dcterms:created>
  <dc:creator>大凤年间</dc:creator>
  <cp:lastModifiedBy>大凤年间</cp:lastModifiedBy>
  <dcterms:modified xsi:type="dcterms:W3CDTF">2024-02-02T06:48:36Z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DE5F6C08E24F4E5D8A9CB7CE60C9D560_11</vt:lpwstr>
  </property>
</Properties>
</file>