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bCs w:val="0"/>
          <w:sz w:val="40"/>
          <w:szCs w:val="40"/>
          <w:highlight w:val="none"/>
          <w:lang w:val="en-US" w:eastAsia="zh-CN"/>
        </w:rPr>
      </w:pPr>
      <w:r>
        <w:rPr>
          <w:rFonts w:hint="eastAsia" w:ascii="黑体" w:hAnsi="黑体" w:eastAsia="黑体" w:cs="黑体"/>
          <w:b/>
          <w:bCs w:val="0"/>
          <w:sz w:val="40"/>
          <w:szCs w:val="40"/>
          <w:highlight w:val="none"/>
          <w:lang w:eastAsia="zh-CN"/>
        </w:rPr>
        <w:t>重庆市凡庄房地产有限公司</w:t>
      </w:r>
      <w:r>
        <w:rPr>
          <w:rFonts w:hint="default" w:ascii="黑体" w:hAnsi="黑体" w:eastAsia="黑体" w:cs="黑体"/>
          <w:b/>
          <w:bCs w:val="0"/>
          <w:sz w:val="40"/>
          <w:szCs w:val="40"/>
          <w:highlight w:val="none"/>
          <w:lang w:eastAsia="zh-CN"/>
        </w:rPr>
        <w:t>破产清算</w:t>
      </w:r>
      <w:r>
        <w:rPr>
          <w:rFonts w:hint="eastAsia" w:ascii="黑体" w:hAnsi="黑体" w:eastAsia="黑体" w:cs="黑体"/>
          <w:b/>
          <w:bCs w:val="0"/>
          <w:sz w:val="40"/>
          <w:szCs w:val="40"/>
          <w:highlight w:val="none"/>
          <w:lang w:eastAsia="zh-CN"/>
        </w:rPr>
        <w:t>案</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仿宋" w:hAnsi="仿宋" w:eastAsia="仿宋" w:cs="仿宋"/>
          <w:b/>
          <w:bCs/>
          <w:kern w:val="0"/>
          <w:sz w:val="40"/>
          <w:szCs w:val="40"/>
          <w:highlight w:val="none"/>
        </w:rPr>
      </w:pPr>
      <w:r>
        <w:rPr>
          <w:rFonts w:hint="eastAsia" w:ascii="黑体" w:hAnsi="黑体" w:eastAsia="黑体" w:cs="黑体"/>
          <w:b/>
          <w:bCs w:val="0"/>
          <w:sz w:val="40"/>
          <w:szCs w:val="40"/>
          <w:highlight w:val="none"/>
          <w:lang w:eastAsia="zh-CN"/>
        </w:rPr>
        <w:t>债权申报指引</w:t>
      </w:r>
    </w:p>
    <w:p>
      <w:pPr>
        <w:keepNext w:val="0"/>
        <w:keepLines w:val="0"/>
        <w:pageBreakBefore w:val="0"/>
        <w:widowControl/>
        <w:kinsoku/>
        <w:wordWrap/>
        <w:overflowPunct/>
        <w:topLinePunct w:val="0"/>
        <w:autoSpaceDE w:val="0"/>
        <w:autoSpaceDN/>
        <w:bidi w:val="0"/>
        <w:adjustRightInd/>
        <w:snapToGrid/>
        <w:spacing w:before="0" w:after="0" w:line="360" w:lineRule="auto"/>
        <w:ind w:left="0" w:leftChars="0" w:right="0" w:rightChars="0"/>
        <w:jc w:val="left"/>
        <w:textAlignment w:val="auto"/>
        <w:rPr>
          <w:rFonts w:hint="eastAsia" w:ascii="仿宋" w:hAnsi="仿宋" w:eastAsia="仿宋" w:cs="仿宋"/>
          <w:b/>
          <w:bCs/>
          <w:kern w:val="0"/>
          <w:sz w:val="36"/>
          <w:szCs w:val="32"/>
          <w:highlight w:val="none"/>
        </w:rPr>
      </w:pPr>
      <w:r>
        <w:rPr>
          <w:rFonts w:hint="eastAsia" w:ascii="仿宋" w:hAnsi="仿宋" w:eastAsia="仿宋" w:cs="仿宋"/>
          <w:b w:val="0"/>
          <w:bCs/>
          <w:sz w:val="28"/>
          <w:szCs w:val="28"/>
          <w:highlight w:val="none"/>
          <w:lang w:eastAsia="zh-CN"/>
        </w:rPr>
        <w:t>重庆市凡庄房地产有限公司债权人</w:t>
      </w:r>
      <w:r>
        <w:rPr>
          <w:rFonts w:hint="eastAsia" w:ascii="仿宋" w:hAnsi="仿宋" w:eastAsia="仿宋" w:cs="仿宋"/>
          <w:b w:val="0"/>
          <w:bCs/>
          <w:sz w:val="28"/>
          <w:szCs w:val="28"/>
          <w:highlight w:val="none"/>
          <w:lang w:eastAsia="zh-Hans"/>
        </w:rPr>
        <w:t>：</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重庆市第五中级人民法院于2024年1月29日作出（2024）渝05破申95号民事裁定，裁定受理重庆市凡庄房地产有限公司破产清算一案，并于2024年1月29日作出（2024）渝05破59号决定，指定上海锦天城（重庆）律师事务所担任管理人（以下简称“管理人”）。</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为明确债权人在债权申报阶段的权利义务，告知相关注意事项及风险，现</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依据《中华人民共和国企业破产法》（以下简称《企业破产法》）</w:t>
      </w:r>
      <w:r>
        <w:rPr>
          <w:rFonts w:hint="eastAsia" w:ascii="仿宋" w:hAnsi="仿宋" w:eastAsia="仿宋" w:cs="仿宋"/>
          <w:sz w:val="28"/>
          <w:szCs w:val="28"/>
          <w:highlight w:val="none"/>
          <w:lang w:eastAsia="zh-CN"/>
        </w:rPr>
        <w:t>的通知</w:t>
      </w:r>
      <w:r>
        <w:rPr>
          <w:rFonts w:hint="eastAsia" w:ascii="仿宋" w:hAnsi="仿宋" w:eastAsia="仿宋" w:cs="仿宋"/>
          <w:sz w:val="28"/>
          <w:szCs w:val="28"/>
          <w:highlight w:val="none"/>
        </w:rPr>
        <w:t>及相关</w:t>
      </w:r>
      <w:r>
        <w:rPr>
          <w:rFonts w:hint="eastAsia" w:ascii="仿宋" w:hAnsi="仿宋" w:eastAsia="仿宋" w:cs="仿宋"/>
          <w:sz w:val="28"/>
          <w:szCs w:val="28"/>
          <w:highlight w:val="none"/>
          <w:lang w:eastAsia="zh-CN"/>
        </w:rPr>
        <w:t>法律法规</w:t>
      </w:r>
      <w:r>
        <w:rPr>
          <w:rFonts w:hint="eastAsia" w:ascii="仿宋" w:hAnsi="仿宋" w:eastAsia="仿宋" w:cs="仿宋"/>
          <w:sz w:val="28"/>
          <w:szCs w:val="28"/>
          <w:highlight w:val="none"/>
        </w:rPr>
        <w:t>和司法解释的规定，特</w:t>
      </w:r>
      <w:r>
        <w:rPr>
          <w:rFonts w:hint="eastAsia" w:ascii="仿宋" w:hAnsi="仿宋" w:eastAsia="仿宋" w:cs="仿宋"/>
          <w:sz w:val="28"/>
          <w:szCs w:val="28"/>
          <w:highlight w:val="none"/>
          <w:lang w:eastAsia="zh-CN"/>
        </w:rPr>
        <w:t>做指引</w:t>
      </w:r>
      <w:r>
        <w:rPr>
          <w:rFonts w:hint="eastAsia" w:ascii="仿宋" w:hAnsi="仿宋" w:eastAsia="仿宋" w:cs="仿宋"/>
          <w:sz w:val="28"/>
          <w:szCs w:val="28"/>
          <w:highlight w:val="none"/>
        </w:rPr>
        <w:t>如下：</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一、债权申报主体</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根据《企业破产法》的规定，法院受理</w:t>
      </w:r>
      <w:r>
        <w:rPr>
          <w:rFonts w:hint="eastAsia" w:ascii="仿宋" w:hAnsi="仿宋" w:eastAsia="仿宋" w:cs="仿宋"/>
          <w:sz w:val="28"/>
          <w:szCs w:val="28"/>
          <w:highlight w:val="none"/>
          <w:lang w:eastAsia="zh-CN"/>
        </w:rPr>
        <w:t>破产清算申请</w:t>
      </w:r>
      <w:r>
        <w:rPr>
          <w:rFonts w:hint="eastAsia" w:ascii="仿宋" w:hAnsi="仿宋" w:eastAsia="仿宋" w:cs="仿宋"/>
          <w:sz w:val="28"/>
          <w:szCs w:val="28"/>
          <w:highlight w:val="none"/>
        </w:rPr>
        <w:t>时（即</w:t>
      </w:r>
      <w:r>
        <w:rPr>
          <w:rFonts w:hint="eastAsia" w:ascii="仿宋" w:hAnsi="仿宋" w:eastAsia="仿宋" w:cs="仿宋"/>
          <w:sz w:val="28"/>
          <w:szCs w:val="28"/>
          <w:highlight w:val="none"/>
          <w:lang w:eastAsia="zh-CN"/>
        </w:rPr>
        <w:t>2024年1月29日</w:t>
      </w:r>
      <w:r>
        <w:rPr>
          <w:rFonts w:hint="eastAsia" w:ascii="仿宋" w:hAnsi="仿宋" w:eastAsia="仿宋" w:cs="仿宋"/>
          <w:sz w:val="28"/>
          <w:szCs w:val="28"/>
          <w:highlight w:val="none"/>
        </w:rPr>
        <w:t>）对</w:t>
      </w:r>
      <w:r>
        <w:rPr>
          <w:rFonts w:hint="eastAsia" w:ascii="仿宋" w:hAnsi="仿宋" w:eastAsia="仿宋" w:cs="仿宋"/>
          <w:b w:val="0"/>
          <w:bCs/>
          <w:sz w:val="28"/>
          <w:szCs w:val="28"/>
          <w:highlight w:val="none"/>
          <w:lang w:eastAsia="zh-CN"/>
        </w:rPr>
        <w:t>重庆市凡庄房地产有限公司</w:t>
      </w:r>
      <w:r>
        <w:rPr>
          <w:rFonts w:hint="eastAsia" w:ascii="仿宋" w:hAnsi="仿宋" w:eastAsia="仿宋" w:cs="仿宋"/>
          <w:sz w:val="28"/>
          <w:szCs w:val="28"/>
          <w:highlight w:val="none"/>
        </w:rPr>
        <w:t>享有债权的债权人，均可以向</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申报债权。未到期的债权，在</w:t>
      </w:r>
      <w:r>
        <w:rPr>
          <w:rFonts w:hint="eastAsia" w:ascii="仿宋" w:hAnsi="仿宋" w:eastAsia="仿宋" w:cs="仿宋"/>
          <w:sz w:val="28"/>
          <w:szCs w:val="28"/>
          <w:highlight w:val="none"/>
          <w:lang w:eastAsia="zh-CN"/>
        </w:rPr>
        <w:t>破产清算申请</w:t>
      </w:r>
      <w:r>
        <w:rPr>
          <w:rFonts w:hint="eastAsia" w:ascii="仿宋" w:hAnsi="仿宋" w:eastAsia="仿宋" w:cs="仿宋"/>
          <w:sz w:val="28"/>
          <w:szCs w:val="28"/>
          <w:highlight w:val="none"/>
        </w:rPr>
        <w:t>受理时视为到期，相关债权人可向</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申报债权。附条件或附期限的债权和诉讼、仲裁未决的债权，债权人可以申报债权。</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二、债权申报的期限、地点</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b/>
          <w:bCs/>
          <w:sz w:val="28"/>
          <w:szCs w:val="28"/>
          <w:highlight w:val="none"/>
          <w:lang w:eastAsia="zh-CN"/>
        </w:rPr>
      </w:pPr>
      <w:r>
        <w:rPr>
          <w:rFonts w:hint="eastAsia" w:ascii="仿宋" w:hAnsi="仿宋" w:eastAsia="仿宋" w:cs="仿宋"/>
          <w:sz w:val="28"/>
          <w:szCs w:val="28"/>
          <w:highlight w:val="none"/>
        </w:rPr>
        <w:t>债务人公司债权人应在法院确定的债权申报期限内，即</w:t>
      </w:r>
      <w:r>
        <w:rPr>
          <w:rFonts w:hint="eastAsia" w:ascii="仿宋" w:hAnsi="仿宋" w:eastAsia="仿宋" w:cs="仿宋"/>
          <w:sz w:val="28"/>
          <w:szCs w:val="28"/>
          <w:highlight w:val="none"/>
          <w:lang w:eastAsia="zh-CN"/>
        </w:rPr>
        <w:t>2024年3月8日</w:t>
      </w:r>
      <w:r>
        <w:rPr>
          <w:rFonts w:hint="eastAsia" w:ascii="仿宋" w:hAnsi="仿宋" w:eastAsia="仿宋" w:cs="仿宋"/>
          <w:sz w:val="28"/>
          <w:szCs w:val="28"/>
          <w:highlight w:val="none"/>
        </w:rPr>
        <w:t>前，向</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申报债权，具体联系方式如下</w:t>
      </w:r>
      <w:r>
        <w:rPr>
          <w:rFonts w:hint="eastAsia" w:ascii="仿宋" w:hAnsi="仿宋" w:eastAsia="仿宋" w:cs="仿宋"/>
          <w:sz w:val="28"/>
          <w:szCs w:val="28"/>
          <w:highlight w:val="none"/>
          <w:lang w:eastAsia="zh-CN"/>
        </w:rPr>
        <w:t>：</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jc w:val="both"/>
        <w:textAlignment w:val="auto"/>
        <w:outlineLvl w:val="9"/>
        <w:rPr>
          <w:rFonts w:hint="eastAsia" w:ascii="仿宋" w:hAnsi="仿宋" w:eastAsia="仿宋" w:cs="仿宋"/>
          <w:b/>
          <w:bCs/>
          <w:sz w:val="28"/>
          <w:szCs w:val="28"/>
          <w:highlight w:val="none"/>
          <w:u w:val="single"/>
        </w:rPr>
      </w:pPr>
      <w:r>
        <w:rPr>
          <w:rFonts w:hint="eastAsia" w:ascii="仿宋" w:hAnsi="仿宋" w:eastAsia="仿宋" w:cs="仿宋"/>
          <w:b/>
          <w:bCs/>
          <w:sz w:val="28"/>
          <w:szCs w:val="28"/>
          <w:highlight w:val="none"/>
          <w:u w:val="single"/>
          <w:lang w:eastAsia="zh-CN"/>
        </w:rPr>
        <w:t>管理人</w:t>
      </w:r>
      <w:r>
        <w:rPr>
          <w:rFonts w:hint="eastAsia" w:ascii="仿宋" w:hAnsi="仿宋" w:eastAsia="仿宋" w:cs="仿宋"/>
          <w:b/>
          <w:bCs/>
          <w:sz w:val="28"/>
          <w:szCs w:val="28"/>
          <w:highlight w:val="none"/>
          <w:u w:val="single"/>
        </w:rPr>
        <w:t>联系电话：刘绵经15679158997、</w:t>
      </w:r>
      <w:r>
        <w:rPr>
          <w:rFonts w:hint="eastAsia" w:ascii="仿宋" w:hAnsi="仿宋" w:eastAsia="仿宋" w:cs="仿宋"/>
          <w:b/>
          <w:bCs/>
          <w:sz w:val="28"/>
          <w:szCs w:val="28"/>
          <w:highlight w:val="none"/>
          <w:u w:val="single"/>
          <w:lang w:val="en-US" w:eastAsia="zh-CN"/>
        </w:rPr>
        <w:t>韩庆扬</w:t>
      </w:r>
      <w:r>
        <w:rPr>
          <w:rFonts w:hint="eastAsia" w:ascii="仿宋" w:hAnsi="仿宋" w:eastAsia="仿宋" w:cs="仿宋"/>
          <w:b/>
          <w:bCs/>
          <w:sz w:val="28"/>
          <w:szCs w:val="28"/>
          <w:highlight w:val="none"/>
          <w:u w:val="single"/>
        </w:rPr>
        <w:t>19923193980  ；</w:t>
      </w:r>
    </w:p>
    <w:p>
      <w:pPr>
        <w:keepNext w:val="0"/>
        <w:keepLines w:val="0"/>
        <w:pageBreakBefore w:val="0"/>
        <w:widowControl w:val="0"/>
        <w:kinsoku/>
        <w:wordWrap/>
        <w:overflowPunct/>
        <w:topLinePunct w:val="0"/>
        <w:autoSpaceDE w:val="0"/>
        <w:autoSpaceDN/>
        <w:bidi w:val="0"/>
        <w:adjustRightInd/>
        <w:snapToGrid/>
        <w:spacing w:before="0" w:after="0" w:line="360" w:lineRule="auto"/>
        <w:ind w:left="559" w:leftChars="266" w:right="0" w:rightChars="0" w:firstLine="0" w:firstLineChars="0"/>
        <w:jc w:val="both"/>
        <w:textAlignment w:val="auto"/>
        <w:outlineLvl w:val="9"/>
        <w:rPr>
          <w:rFonts w:hint="eastAsia" w:ascii="仿宋" w:hAnsi="仿宋" w:eastAsia="仿宋" w:cs="仿宋"/>
          <w:sz w:val="28"/>
          <w:szCs w:val="28"/>
          <w:highlight w:val="none"/>
        </w:rPr>
      </w:pPr>
      <w:r>
        <w:rPr>
          <w:rFonts w:hint="eastAsia" w:ascii="仿宋" w:hAnsi="仿宋" w:eastAsia="仿宋" w:cs="仿宋"/>
          <w:b/>
          <w:bCs/>
          <w:sz w:val="28"/>
          <w:szCs w:val="28"/>
          <w:highlight w:val="none"/>
          <w:u w:val="single"/>
          <w:lang w:eastAsia="zh-CN"/>
        </w:rPr>
        <w:t>管理人</w:t>
      </w:r>
      <w:r>
        <w:rPr>
          <w:rFonts w:hint="eastAsia" w:ascii="仿宋" w:hAnsi="仿宋" w:eastAsia="仿宋" w:cs="仿宋"/>
          <w:b/>
          <w:bCs/>
          <w:sz w:val="28"/>
          <w:szCs w:val="28"/>
          <w:highlight w:val="none"/>
          <w:u w:val="single"/>
        </w:rPr>
        <w:t>联系地址：重庆市江北区庆云路1号国金中心T1栋22层。</w:t>
      </w:r>
      <w:r>
        <w:rPr>
          <w:rFonts w:hint="eastAsia" w:ascii="仿宋" w:hAnsi="仿宋" w:eastAsia="仿宋" w:cs="仿宋"/>
          <w:b/>
          <w:sz w:val="28"/>
          <w:szCs w:val="28"/>
          <w:highlight w:val="none"/>
        </w:rPr>
        <w:t>受理债权申报时间：</w:t>
      </w:r>
      <w:r>
        <w:rPr>
          <w:rFonts w:hint="eastAsia" w:ascii="仿宋" w:hAnsi="仿宋" w:eastAsia="仿宋" w:cs="仿宋"/>
          <w:b w:val="0"/>
          <w:bCs/>
          <w:sz w:val="28"/>
          <w:szCs w:val="28"/>
          <w:highlight w:val="none"/>
        </w:rPr>
        <w:t>即日起至</w:t>
      </w:r>
      <w:r>
        <w:rPr>
          <w:rFonts w:hint="eastAsia" w:ascii="仿宋" w:hAnsi="仿宋" w:eastAsia="仿宋" w:cs="仿宋"/>
          <w:sz w:val="28"/>
          <w:szCs w:val="28"/>
          <w:highlight w:val="none"/>
          <w:lang w:eastAsia="zh-CN"/>
        </w:rPr>
        <w:t>2024年3月8日</w:t>
      </w:r>
      <w:r>
        <w:rPr>
          <w:rFonts w:hint="eastAsia" w:ascii="仿宋" w:hAnsi="仿宋" w:eastAsia="仿宋" w:cs="仿宋"/>
          <w:sz w:val="28"/>
          <w:szCs w:val="28"/>
          <w:highlight w:val="none"/>
        </w:rPr>
        <w:t>。</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u w:val="none"/>
        </w:rPr>
      </w:pPr>
      <w:r>
        <w:rPr>
          <w:rFonts w:hint="eastAsia" w:ascii="仿宋" w:hAnsi="仿宋" w:eastAsia="仿宋" w:cs="仿宋"/>
          <w:b/>
          <w:bCs/>
          <w:sz w:val="28"/>
          <w:szCs w:val="28"/>
          <w:highlight w:val="none"/>
          <w:u w:val="none"/>
        </w:rPr>
        <w:t>特别提示：</w:t>
      </w:r>
      <w:r>
        <w:rPr>
          <w:rFonts w:hint="eastAsia" w:ascii="仿宋" w:hAnsi="仿宋" w:eastAsia="仿宋" w:cs="仿宋"/>
          <w:b/>
          <w:bCs/>
          <w:sz w:val="28"/>
          <w:szCs w:val="28"/>
          <w:highlight w:val="none"/>
          <w:u w:val="none"/>
          <w:lang w:eastAsia="zh-CN"/>
        </w:rPr>
        <w:t>管理人</w:t>
      </w:r>
      <w:r>
        <w:rPr>
          <w:rFonts w:hint="eastAsia" w:ascii="仿宋" w:hAnsi="仿宋" w:eastAsia="仿宋" w:cs="仿宋"/>
          <w:b/>
          <w:bCs/>
          <w:sz w:val="28"/>
          <w:szCs w:val="28"/>
          <w:highlight w:val="none"/>
          <w:u w:val="none"/>
        </w:rPr>
        <w:t>不接受到付邮件。</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三、债权人在申报债权时的注意事项</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b/>
          <w:bCs/>
          <w:sz w:val="28"/>
          <w:szCs w:val="28"/>
          <w:highlight w:val="none"/>
          <w:u w:val="single"/>
        </w:rPr>
      </w:pPr>
      <w:r>
        <w:rPr>
          <w:rFonts w:hint="eastAsia" w:ascii="仿宋" w:hAnsi="仿宋" w:eastAsia="仿宋" w:cs="仿宋"/>
          <w:sz w:val="28"/>
          <w:szCs w:val="28"/>
          <w:highlight w:val="none"/>
        </w:rPr>
        <w:t>（一）债权人在现场申报时仅需要提交与原件证据核对一致</w:t>
      </w:r>
      <w:r>
        <w:rPr>
          <w:rFonts w:hint="eastAsia" w:ascii="仿宋" w:hAnsi="仿宋" w:eastAsia="仿宋" w:cs="仿宋"/>
          <w:sz w:val="28"/>
          <w:szCs w:val="28"/>
          <w:highlight w:val="none"/>
          <w:lang w:eastAsia="zh-CN"/>
        </w:rPr>
        <w:t>的</w:t>
      </w:r>
      <w:r>
        <w:rPr>
          <w:rFonts w:hint="eastAsia" w:ascii="仿宋" w:hAnsi="仿宋" w:eastAsia="仿宋" w:cs="仿宋"/>
          <w:sz w:val="28"/>
          <w:szCs w:val="28"/>
          <w:highlight w:val="none"/>
        </w:rPr>
        <w:t>复印件，</w:t>
      </w:r>
      <w:r>
        <w:rPr>
          <w:rFonts w:hint="eastAsia" w:ascii="仿宋" w:hAnsi="仿宋" w:eastAsia="仿宋" w:cs="仿宋"/>
          <w:b/>
          <w:bCs/>
          <w:sz w:val="28"/>
          <w:szCs w:val="28"/>
          <w:highlight w:val="none"/>
          <w:u w:val="none"/>
        </w:rPr>
        <w:t>但务必携带债权申报证据以便</w:t>
      </w:r>
      <w:r>
        <w:rPr>
          <w:rFonts w:hint="eastAsia" w:ascii="仿宋" w:hAnsi="仿宋" w:eastAsia="仿宋" w:cs="仿宋"/>
          <w:b/>
          <w:bCs/>
          <w:sz w:val="28"/>
          <w:szCs w:val="28"/>
          <w:highlight w:val="none"/>
          <w:u w:val="none"/>
          <w:lang w:eastAsia="zh-CN"/>
        </w:rPr>
        <w:t>管理人</w:t>
      </w:r>
      <w:r>
        <w:rPr>
          <w:rFonts w:hint="eastAsia" w:ascii="仿宋" w:hAnsi="仿宋" w:eastAsia="仿宋" w:cs="仿宋"/>
          <w:b/>
          <w:bCs/>
          <w:sz w:val="28"/>
          <w:szCs w:val="28"/>
          <w:highlight w:val="none"/>
          <w:u w:val="none"/>
        </w:rPr>
        <w:t>进行核对，债权人未能在</w:t>
      </w:r>
      <w:r>
        <w:rPr>
          <w:rFonts w:hint="eastAsia" w:ascii="仿宋" w:hAnsi="仿宋" w:eastAsia="仿宋" w:cs="仿宋"/>
          <w:b/>
          <w:bCs/>
          <w:sz w:val="28"/>
          <w:szCs w:val="28"/>
          <w:highlight w:val="none"/>
          <w:u w:val="none"/>
          <w:lang w:eastAsia="zh-CN"/>
        </w:rPr>
        <w:t>管理人</w:t>
      </w:r>
      <w:r>
        <w:rPr>
          <w:rFonts w:hint="eastAsia" w:ascii="仿宋" w:hAnsi="仿宋" w:eastAsia="仿宋" w:cs="仿宋"/>
          <w:b/>
          <w:bCs/>
          <w:sz w:val="28"/>
          <w:szCs w:val="28"/>
          <w:highlight w:val="none"/>
          <w:u w:val="none"/>
        </w:rPr>
        <w:t>确定的时间内提供证据原件的，管</w:t>
      </w:r>
      <w:r>
        <w:rPr>
          <w:rFonts w:hint="eastAsia" w:ascii="仿宋" w:hAnsi="仿宋" w:eastAsia="仿宋" w:cs="仿宋"/>
          <w:b/>
          <w:bCs/>
          <w:sz w:val="28"/>
          <w:szCs w:val="28"/>
          <w:highlight w:val="none"/>
          <w:u w:val="none"/>
          <w:lang w:eastAsia="zh-CN"/>
        </w:rPr>
        <w:t>理人</w:t>
      </w:r>
      <w:r>
        <w:rPr>
          <w:rFonts w:hint="eastAsia" w:ascii="仿宋" w:hAnsi="仿宋" w:eastAsia="仿宋" w:cs="仿宋"/>
          <w:b/>
          <w:bCs/>
          <w:sz w:val="28"/>
          <w:szCs w:val="28"/>
          <w:highlight w:val="none"/>
          <w:u w:val="none"/>
        </w:rPr>
        <w:t>对其所申报的债权不予确认。</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（二）债权人为法人或者其他组织的，须在所有复印件上注明“与原件一致”并加盖公章；</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（三）未到期的债权，在</w:t>
      </w:r>
      <w:r>
        <w:rPr>
          <w:rFonts w:hint="eastAsia" w:ascii="仿宋" w:hAnsi="仿宋" w:eastAsia="仿宋" w:cs="仿宋"/>
          <w:sz w:val="28"/>
          <w:szCs w:val="28"/>
          <w:highlight w:val="none"/>
          <w:lang w:eastAsia="zh-CN"/>
        </w:rPr>
        <w:t>破产清算申请</w:t>
      </w:r>
      <w:r>
        <w:rPr>
          <w:rFonts w:hint="eastAsia" w:ascii="仿宋" w:hAnsi="仿宋" w:eastAsia="仿宋" w:cs="仿宋"/>
          <w:sz w:val="28"/>
          <w:szCs w:val="28"/>
          <w:highlight w:val="none"/>
        </w:rPr>
        <w:t>受理之日（即</w:t>
      </w:r>
      <w:r>
        <w:rPr>
          <w:rFonts w:hint="eastAsia" w:ascii="仿宋" w:hAnsi="仿宋" w:eastAsia="仿宋" w:cs="仿宋"/>
          <w:sz w:val="28"/>
          <w:szCs w:val="28"/>
          <w:highlight w:val="none"/>
          <w:lang w:eastAsia="zh-CN"/>
        </w:rPr>
        <w:t>2024年1月29日</w:t>
      </w:r>
      <w:r>
        <w:rPr>
          <w:rFonts w:hint="eastAsia" w:ascii="仿宋" w:hAnsi="仿宋" w:eastAsia="仿宋" w:cs="仿宋"/>
          <w:sz w:val="28"/>
          <w:szCs w:val="28"/>
          <w:highlight w:val="none"/>
        </w:rPr>
        <w:t>）视为到期；</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（四）根据《企业破产法》第四十六条第二款之规定，附利息的债权自</w:t>
      </w:r>
      <w:r>
        <w:rPr>
          <w:rFonts w:hint="eastAsia" w:ascii="仿宋" w:hAnsi="仿宋" w:eastAsia="仿宋" w:cs="仿宋"/>
          <w:sz w:val="28"/>
          <w:szCs w:val="28"/>
          <w:highlight w:val="none"/>
          <w:lang w:eastAsia="zh-CN"/>
        </w:rPr>
        <w:t>破产清算申请</w:t>
      </w:r>
      <w:r>
        <w:rPr>
          <w:rFonts w:hint="eastAsia" w:ascii="仿宋" w:hAnsi="仿宋" w:eastAsia="仿宋" w:cs="仿宋"/>
          <w:sz w:val="28"/>
          <w:szCs w:val="28"/>
          <w:highlight w:val="none"/>
        </w:rPr>
        <w:t>受理时起停止计息，债权人申报的债权如附有利息的，</w:t>
      </w:r>
      <w:r>
        <w:rPr>
          <w:rFonts w:hint="eastAsia" w:ascii="仿宋" w:hAnsi="仿宋" w:eastAsia="仿宋" w:cs="仿宋"/>
          <w:b/>
          <w:bCs/>
          <w:sz w:val="28"/>
          <w:szCs w:val="28"/>
          <w:highlight w:val="none"/>
        </w:rPr>
        <w:t>利息应计至受理日（即</w:t>
      </w:r>
      <w:r>
        <w:rPr>
          <w:rFonts w:hint="eastAsia" w:ascii="仿宋" w:hAnsi="仿宋" w:eastAsia="仿宋" w:cs="仿宋"/>
          <w:b/>
          <w:bCs/>
          <w:sz w:val="28"/>
          <w:szCs w:val="28"/>
          <w:highlight w:val="none"/>
          <w:lang w:eastAsia="zh-CN"/>
        </w:rPr>
        <w:t>2024年1月29日</w:t>
      </w:r>
      <w:r>
        <w:rPr>
          <w:rFonts w:hint="eastAsia" w:ascii="仿宋" w:hAnsi="仿宋" w:eastAsia="仿宋" w:cs="仿宋"/>
          <w:b/>
          <w:bCs/>
          <w:sz w:val="28"/>
          <w:szCs w:val="28"/>
          <w:highlight w:val="none"/>
        </w:rPr>
        <w:t>）止；</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（五）债权人务必在债权申报表中地址栏注明有效的联系方式，包括收件人、电子邮箱、通信地址、手机号码等，并按要求填写《</w:t>
      </w:r>
      <w:r>
        <w:rPr>
          <w:rFonts w:hint="eastAsia" w:ascii="仿宋" w:hAnsi="仿宋" w:eastAsia="仿宋" w:cs="仿宋"/>
          <w:bCs/>
          <w:sz w:val="28"/>
          <w:szCs w:val="28"/>
          <w:highlight w:val="none"/>
        </w:rPr>
        <w:t>债权人送达地址及银行账户确认书</w:t>
      </w:r>
      <w:r>
        <w:rPr>
          <w:rFonts w:hint="eastAsia" w:ascii="仿宋" w:hAnsi="仿宋" w:eastAsia="仿宋" w:cs="仿宋"/>
          <w:sz w:val="28"/>
          <w:szCs w:val="28"/>
          <w:highlight w:val="none"/>
        </w:rPr>
        <w:t>》；</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（六）</w:t>
      </w:r>
      <w:r>
        <w:rPr>
          <w:rFonts w:hint="eastAsia" w:ascii="仿宋" w:hAnsi="仿宋" w:eastAsia="仿宋" w:cs="仿宋"/>
          <w:b/>
          <w:sz w:val="28"/>
          <w:szCs w:val="28"/>
          <w:highlight w:val="none"/>
        </w:rPr>
        <w:t>债权人申报的债权已经获得以及未来获得债务人公司（破产企业）或者其他连带债务人清偿的，应及时告知</w:t>
      </w:r>
      <w:r>
        <w:rPr>
          <w:rFonts w:hint="eastAsia" w:ascii="仿宋" w:hAnsi="仿宋" w:eastAsia="仿宋" w:cs="仿宋"/>
          <w:b/>
          <w:sz w:val="28"/>
          <w:szCs w:val="28"/>
          <w:highlight w:val="none"/>
          <w:lang w:eastAsia="zh-CN"/>
        </w:rPr>
        <w:t>管理人</w:t>
      </w:r>
      <w:r>
        <w:rPr>
          <w:rFonts w:hint="eastAsia" w:ascii="仿宋" w:hAnsi="仿宋" w:eastAsia="仿宋" w:cs="仿宋"/>
          <w:b/>
          <w:sz w:val="28"/>
          <w:szCs w:val="28"/>
          <w:highlight w:val="none"/>
        </w:rPr>
        <w:t>，隐瞒债权受偿情况将承担相应的法律责任；债权人另外对债务人公司（破产企业）负有债务的，</w:t>
      </w:r>
      <w:r>
        <w:rPr>
          <w:rFonts w:hint="eastAsia" w:ascii="仿宋" w:hAnsi="仿宋" w:eastAsia="仿宋" w:cs="仿宋"/>
          <w:b/>
          <w:sz w:val="28"/>
          <w:szCs w:val="28"/>
          <w:highlight w:val="none"/>
          <w:lang w:eastAsia="zh-CN"/>
        </w:rPr>
        <w:t>管理人</w:t>
      </w:r>
      <w:r>
        <w:rPr>
          <w:rFonts w:hint="eastAsia" w:ascii="仿宋" w:hAnsi="仿宋" w:eastAsia="仿宋" w:cs="仿宋"/>
          <w:b/>
          <w:sz w:val="28"/>
          <w:szCs w:val="28"/>
          <w:highlight w:val="none"/>
        </w:rPr>
        <w:t>将依法清收；</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（七）附条件、附期限的债权和诉讼、仲裁未决的债权，债权人可以申报；</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（八）连带债权人可以由其中一人代表全体连带</w:t>
      </w:r>
      <w:r>
        <w:rPr>
          <w:rFonts w:hint="eastAsia" w:ascii="仿宋" w:hAnsi="仿宋" w:eastAsia="仿宋" w:cs="仿宋"/>
          <w:sz w:val="28"/>
          <w:szCs w:val="28"/>
          <w:highlight w:val="none"/>
          <w:lang w:eastAsia="zh-CN"/>
        </w:rPr>
        <w:t>债</w:t>
      </w:r>
      <w:r>
        <w:rPr>
          <w:rFonts w:hint="eastAsia" w:ascii="仿宋" w:hAnsi="仿宋" w:eastAsia="仿宋" w:cs="仿宋"/>
          <w:sz w:val="28"/>
          <w:szCs w:val="28"/>
          <w:highlight w:val="none"/>
        </w:rPr>
        <w:t>权人申报债权，也可以共同申报债权</w:t>
      </w:r>
      <w:r>
        <w:rPr>
          <w:rFonts w:hint="eastAsia" w:ascii="仿宋" w:hAnsi="仿宋" w:eastAsia="仿宋" w:cs="仿宋"/>
          <w:sz w:val="28"/>
          <w:szCs w:val="28"/>
          <w:highlight w:val="none"/>
          <w:lang w:eastAsia="zh-CN"/>
        </w:rPr>
        <w:t>；</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（九）债务人的保证人或者其他连带债务人已经代替债务人清偿债务的，可以其对债务人的求偿权申报债权；</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债务人的保证人或者其他连带债务人尚未代替债务人清偿债务的，以其对债务人的将来求偿权申报债权。但是，债权人已经向</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申报全部债权的除外；</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（十）连带债务人被裁定适用《企业破产法》程序的，其债权人有权就全部债权分别在各破产案件中申报债权；</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（十一）</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或者债务人依照《企业破产法》之规定解除合同的，对方当事人可以因合同解除所产生的损害赔偿请求权申报债权；</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（十二）债务人是委托合同的委托人，被裁定适用《企业破产法》规定的程序，受托人不知该事实，继续处理委托事务的，受托人可以以由此产生的请求权申报债权；</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（十三）债务人是票据的出票人，被裁定适用《企业破产法》规定的程序，该票据的付款人继续付款或者承兑的，付款人以由此产生的请求权申报债权；</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（十四）申报债权金额必须明确，外币必须转换成人民币计值，汇率以（即</w:t>
      </w:r>
      <w:r>
        <w:rPr>
          <w:rFonts w:hint="eastAsia" w:ascii="仿宋" w:hAnsi="仿宋" w:eastAsia="仿宋" w:cs="仿宋"/>
          <w:sz w:val="28"/>
          <w:szCs w:val="28"/>
          <w:highlight w:val="none"/>
          <w:lang w:eastAsia="zh-CN"/>
        </w:rPr>
        <w:t>2024年1月29日</w:t>
      </w:r>
      <w:r>
        <w:rPr>
          <w:rFonts w:hint="eastAsia" w:ascii="仿宋" w:hAnsi="仿宋" w:eastAsia="仿宋" w:cs="仿宋"/>
          <w:sz w:val="28"/>
          <w:szCs w:val="28"/>
          <w:highlight w:val="none"/>
        </w:rPr>
        <w:t>）人民银行公布的市场交易中间价为准，并请提交银行出具的汇率证明；</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u w:val="none"/>
        </w:rPr>
      </w:pPr>
      <w:r>
        <w:rPr>
          <w:rFonts w:hint="eastAsia" w:ascii="仿宋" w:hAnsi="仿宋" w:eastAsia="仿宋" w:cs="仿宋"/>
          <w:b/>
          <w:bCs/>
          <w:sz w:val="28"/>
          <w:szCs w:val="28"/>
          <w:highlight w:val="none"/>
          <w:u w:val="none"/>
        </w:rPr>
        <w:t>（十五）债权人虚假申报债权或提供虚假申报材料，损害债权人利益的，</w:t>
      </w:r>
      <w:r>
        <w:rPr>
          <w:rFonts w:hint="eastAsia" w:ascii="仿宋" w:hAnsi="仿宋" w:eastAsia="仿宋" w:cs="仿宋"/>
          <w:b/>
          <w:bCs/>
          <w:sz w:val="28"/>
          <w:szCs w:val="28"/>
          <w:highlight w:val="none"/>
          <w:u w:val="none"/>
          <w:lang w:eastAsia="zh-CN"/>
        </w:rPr>
        <w:t>管理人</w:t>
      </w:r>
      <w:r>
        <w:rPr>
          <w:rFonts w:hint="eastAsia" w:ascii="仿宋" w:hAnsi="仿宋" w:eastAsia="仿宋" w:cs="仿宋"/>
          <w:b/>
          <w:bCs/>
          <w:sz w:val="28"/>
          <w:szCs w:val="28"/>
          <w:highlight w:val="none"/>
          <w:u w:val="none"/>
        </w:rPr>
        <w:t>将依法移送公安机关或人民法院追究其法律责任。</w:t>
      </w:r>
    </w:p>
    <w:p>
      <w:pPr>
        <w:keepNext w:val="0"/>
        <w:keepLines w:val="0"/>
        <w:pageBreakBefore w:val="0"/>
        <w:widowControl w:val="0"/>
        <w:numPr>
          <w:ilvl w:val="0"/>
          <w:numId w:val="1"/>
        </w:numPr>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未申报或逾期申报债权的主要法律后果</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企业破产法》第五十六条规定：“在人民法院确定的债权申报期限内，债权人未申报债权的，可以在破产财产最后分配前补充申报；但是，此前已进行的分配，不再对其补充分配。为审查和确认补充申报债权的费用，由补充申报人承担。债权人未依照本法规定申报债权的，不得依照本法规定的程序行使权利。”</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五、补充申报债权费用标准</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b/>
          <w:bCs/>
          <w:sz w:val="28"/>
          <w:szCs w:val="28"/>
          <w:highlight w:val="none"/>
          <w:u w:val="none"/>
        </w:rPr>
      </w:pPr>
      <w:r>
        <w:rPr>
          <w:rFonts w:hint="eastAsia" w:ascii="仿宋" w:hAnsi="仿宋" w:eastAsia="仿宋" w:cs="仿宋"/>
          <w:sz w:val="28"/>
          <w:szCs w:val="28"/>
          <w:highlight w:val="none"/>
        </w:rPr>
        <w:t>未在法院确定的债权申报期限内至</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确认的债权申报地点、时间申报债权的债权人，可以在破产财产最后分配前补充申报，但对此前已进行的分配无权要求补充分配，同时要承担为审查和确认补充申报债权所产生的费用。</w:t>
      </w:r>
      <w:r>
        <w:rPr>
          <w:rFonts w:hint="eastAsia" w:ascii="仿宋" w:hAnsi="仿宋" w:eastAsia="仿宋" w:cs="仿宋"/>
          <w:b/>
          <w:bCs/>
          <w:sz w:val="28"/>
          <w:szCs w:val="28"/>
          <w:highlight w:val="none"/>
          <w:u w:val="none"/>
        </w:rPr>
        <w:t>审查和确认补充申报债权所产生的费用收取标准</w:t>
      </w:r>
      <w:r>
        <w:rPr>
          <w:rFonts w:hint="eastAsia" w:ascii="仿宋" w:hAnsi="仿宋" w:eastAsia="仿宋" w:cs="仿宋"/>
          <w:b/>
          <w:bCs/>
          <w:sz w:val="28"/>
          <w:szCs w:val="28"/>
          <w:highlight w:val="none"/>
          <w:u w:val="none"/>
          <w:lang w:eastAsia="zh-CN"/>
        </w:rPr>
        <w:t>管理人</w:t>
      </w:r>
      <w:r>
        <w:rPr>
          <w:rFonts w:hint="eastAsia" w:ascii="仿宋" w:hAnsi="仿宋" w:eastAsia="仿宋" w:cs="仿宋"/>
          <w:b/>
          <w:bCs/>
          <w:sz w:val="28"/>
          <w:szCs w:val="28"/>
          <w:highlight w:val="none"/>
          <w:u w:val="none"/>
        </w:rPr>
        <w:t>参照2007年4月1日施行的《人民法院诉讼费用交纳办法》财产案件收费标准减半收取。</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六、债权申报应当提交的材料</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u w:val="single"/>
        </w:rPr>
      </w:pPr>
      <w:r>
        <w:rPr>
          <w:rFonts w:hint="eastAsia" w:ascii="仿宋" w:hAnsi="仿宋" w:eastAsia="仿宋" w:cs="仿宋"/>
          <w:b/>
          <w:bCs/>
          <w:sz w:val="28"/>
          <w:szCs w:val="28"/>
          <w:highlight w:val="none"/>
          <w:u w:val="none"/>
        </w:rPr>
        <w:t>债权人申报债权时，需提交如下四类申报材料。</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（一）债权申报登记表（请按照指定表格填写，可加页）</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请在债权申报登记表中填写债权申报人及其代理人的基本情况、申报债权金额、债权担保情况、涉及诉讼仲裁执行等情况。债权申报表首部的“申报人编号”由</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填写。债权申报表尾部“申报材料提交日期”为申报人到</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办公场所实际提交债权申报材料的日期。</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附利息（如有）的债权，请一并附详细计算过程。</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u w:val="none"/>
        </w:rPr>
      </w:pPr>
      <w:r>
        <w:rPr>
          <w:rFonts w:hint="eastAsia" w:ascii="仿宋" w:hAnsi="仿宋" w:eastAsia="仿宋" w:cs="仿宋"/>
          <w:b/>
          <w:bCs/>
          <w:sz w:val="28"/>
          <w:szCs w:val="28"/>
          <w:highlight w:val="none"/>
          <w:u w:val="none"/>
        </w:rPr>
        <w:t>债权人为法人或者其他组织的，债权申报表及提交的证据材料复印件须加盖公章；债权人为自然人的，须由债权人本人签名并按手印。</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（二）《债权人送达地址及银行账户确认书》</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bCs/>
          <w:sz w:val="28"/>
          <w:szCs w:val="28"/>
          <w:highlight w:val="none"/>
          <w:u w:val="none"/>
        </w:rPr>
      </w:pPr>
      <w:r>
        <w:rPr>
          <w:rFonts w:hint="eastAsia" w:ascii="仿宋" w:hAnsi="仿宋" w:eastAsia="仿宋" w:cs="仿宋"/>
          <w:bCs/>
          <w:sz w:val="28"/>
          <w:szCs w:val="28"/>
          <w:highlight w:val="none"/>
        </w:rPr>
        <w:t>1.为便于申报人及时收到</w:t>
      </w:r>
      <w:r>
        <w:rPr>
          <w:rFonts w:hint="eastAsia" w:ascii="仿宋" w:hAnsi="仿宋" w:eastAsia="仿宋" w:cs="仿宋"/>
          <w:bCs/>
          <w:sz w:val="28"/>
          <w:szCs w:val="28"/>
          <w:highlight w:val="none"/>
          <w:lang w:eastAsia="zh-CN"/>
        </w:rPr>
        <w:t>管理人</w:t>
      </w:r>
      <w:r>
        <w:rPr>
          <w:rFonts w:hint="eastAsia" w:ascii="仿宋" w:hAnsi="仿宋" w:eastAsia="仿宋" w:cs="仿宋"/>
          <w:bCs/>
          <w:sz w:val="28"/>
          <w:szCs w:val="28"/>
          <w:highlight w:val="none"/>
        </w:rPr>
        <w:t>各项文书，保证破产程序顺利进行，申报人应当如实提供确切的送达地址</w:t>
      </w:r>
      <w:r>
        <w:rPr>
          <w:rFonts w:hint="eastAsia" w:ascii="仿宋" w:hAnsi="仿宋" w:eastAsia="仿宋" w:cs="仿宋"/>
          <w:b/>
          <w:bCs/>
          <w:sz w:val="28"/>
          <w:szCs w:val="28"/>
          <w:highlight w:val="none"/>
          <w:u w:val="none"/>
        </w:rPr>
        <w:t>（送达地址包括邮寄地址、手机号码、电子邮箱地址）</w:t>
      </w:r>
      <w:r>
        <w:rPr>
          <w:rFonts w:hint="eastAsia" w:ascii="仿宋" w:hAnsi="仿宋" w:eastAsia="仿宋" w:cs="仿宋"/>
          <w:bCs/>
          <w:sz w:val="28"/>
          <w:szCs w:val="28"/>
          <w:highlight w:val="none"/>
          <w:u w:val="none"/>
        </w:rPr>
        <w:t>。</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bCs/>
          <w:sz w:val="28"/>
          <w:szCs w:val="28"/>
          <w:highlight w:val="none"/>
        </w:rPr>
      </w:pPr>
      <w:r>
        <w:rPr>
          <w:rFonts w:hint="eastAsia" w:ascii="仿宋" w:hAnsi="仿宋" w:eastAsia="仿宋" w:cs="仿宋"/>
          <w:bCs/>
          <w:sz w:val="28"/>
          <w:szCs w:val="28"/>
          <w:highlight w:val="none"/>
        </w:rPr>
        <w:t>2.破产案件期间如果送达地址有变更，应当及时以书面方式告知</w:t>
      </w:r>
      <w:r>
        <w:rPr>
          <w:rFonts w:hint="eastAsia" w:ascii="仿宋" w:hAnsi="仿宋" w:eastAsia="仿宋" w:cs="仿宋"/>
          <w:bCs/>
          <w:sz w:val="28"/>
          <w:szCs w:val="28"/>
          <w:highlight w:val="none"/>
          <w:lang w:eastAsia="zh-CN"/>
        </w:rPr>
        <w:t>管理人</w:t>
      </w:r>
      <w:r>
        <w:rPr>
          <w:rFonts w:hint="eastAsia" w:ascii="仿宋" w:hAnsi="仿宋" w:eastAsia="仿宋" w:cs="仿宋"/>
          <w:bCs/>
          <w:sz w:val="28"/>
          <w:szCs w:val="28"/>
          <w:highlight w:val="none"/>
        </w:rPr>
        <w:t>变更后的送达地址；</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bCs/>
          <w:sz w:val="28"/>
          <w:szCs w:val="28"/>
          <w:highlight w:val="none"/>
        </w:rPr>
      </w:pPr>
      <w:r>
        <w:rPr>
          <w:rFonts w:hint="eastAsia" w:ascii="仿宋" w:hAnsi="仿宋" w:eastAsia="仿宋" w:cs="仿宋"/>
          <w:bCs/>
          <w:sz w:val="28"/>
          <w:szCs w:val="28"/>
          <w:highlight w:val="none"/>
        </w:rPr>
        <w:t>3.如果提供的送达地址不准确，或不及时告知变更后的送达地址，使与破产事务相关的通知、文书无法送达或未及时送达的，自文书、材料等邮寄退回或</w:t>
      </w:r>
      <w:r>
        <w:rPr>
          <w:rFonts w:hint="eastAsia" w:ascii="仿宋" w:hAnsi="仿宋" w:eastAsia="仿宋" w:cs="仿宋"/>
          <w:bCs/>
          <w:sz w:val="28"/>
          <w:szCs w:val="28"/>
          <w:highlight w:val="none"/>
          <w:lang w:eastAsia="zh-CN"/>
        </w:rPr>
        <w:t>管理人</w:t>
      </w:r>
      <w:r>
        <w:rPr>
          <w:rFonts w:hint="eastAsia" w:ascii="仿宋" w:hAnsi="仿宋" w:eastAsia="仿宋" w:cs="仿宋"/>
          <w:bCs/>
          <w:sz w:val="28"/>
          <w:szCs w:val="28"/>
          <w:highlight w:val="none"/>
        </w:rPr>
        <w:t>按照申报人提供的手机号码、电子邮箱进行发送但发送失败之日视为送达之日，申报人应承担由此引起的一切法律后果。</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bCs/>
          <w:sz w:val="28"/>
          <w:szCs w:val="28"/>
          <w:highlight w:val="none"/>
        </w:rPr>
      </w:pPr>
      <w:r>
        <w:rPr>
          <w:rFonts w:hint="eastAsia" w:ascii="仿宋" w:hAnsi="仿宋" w:eastAsia="仿宋" w:cs="仿宋"/>
          <w:bCs/>
          <w:sz w:val="28"/>
          <w:szCs w:val="28"/>
          <w:highlight w:val="none"/>
        </w:rPr>
        <w:t>4.为便于申报人受领债权分配，申报人应当如实向</w:t>
      </w:r>
      <w:r>
        <w:rPr>
          <w:rFonts w:hint="eastAsia" w:ascii="仿宋" w:hAnsi="仿宋" w:eastAsia="仿宋" w:cs="仿宋"/>
          <w:bCs/>
          <w:sz w:val="28"/>
          <w:szCs w:val="28"/>
          <w:highlight w:val="none"/>
          <w:lang w:eastAsia="zh-CN"/>
        </w:rPr>
        <w:t>管理人</w:t>
      </w:r>
      <w:r>
        <w:rPr>
          <w:rFonts w:hint="eastAsia" w:ascii="仿宋" w:hAnsi="仿宋" w:eastAsia="仿宋" w:cs="仿宋"/>
          <w:bCs/>
          <w:sz w:val="28"/>
          <w:szCs w:val="28"/>
          <w:highlight w:val="none"/>
        </w:rPr>
        <w:t>提供准确的银行账户，</w:t>
      </w:r>
      <w:r>
        <w:rPr>
          <w:rFonts w:hint="eastAsia" w:ascii="仿宋" w:hAnsi="仿宋" w:eastAsia="仿宋" w:cs="仿宋"/>
          <w:bCs/>
          <w:sz w:val="28"/>
          <w:szCs w:val="28"/>
          <w:highlight w:val="none"/>
          <w:lang w:eastAsia="zh-CN"/>
        </w:rPr>
        <w:t>管理人</w:t>
      </w:r>
      <w:r>
        <w:rPr>
          <w:rFonts w:hint="eastAsia" w:ascii="仿宋" w:hAnsi="仿宋" w:eastAsia="仿宋" w:cs="仿宋"/>
          <w:bCs/>
          <w:sz w:val="28"/>
          <w:szCs w:val="28"/>
          <w:highlight w:val="none"/>
        </w:rPr>
        <w:t>根据</w:t>
      </w:r>
      <w:r>
        <w:rPr>
          <w:rFonts w:hint="eastAsia" w:ascii="仿宋" w:hAnsi="仿宋" w:eastAsia="仿宋" w:cs="仿宋"/>
          <w:bCs/>
          <w:sz w:val="28"/>
          <w:szCs w:val="28"/>
          <w:highlight w:val="none"/>
          <w:lang w:val="en-US" w:eastAsia="zh-CN"/>
        </w:rPr>
        <w:t>分配方案</w:t>
      </w:r>
      <w:r>
        <w:rPr>
          <w:rFonts w:hint="eastAsia" w:ascii="仿宋" w:hAnsi="仿宋" w:eastAsia="仿宋" w:cs="仿宋"/>
          <w:bCs/>
          <w:sz w:val="28"/>
          <w:szCs w:val="28"/>
          <w:highlight w:val="none"/>
        </w:rPr>
        <w:t>等转入申报人提供的银行账户的款项，视为申报人受领。</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（三）</w:t>
      </w:r>
      <w:r>
        <w:rPr>
          <w:rFonts w:hint="eastAsia" w:ascii="仿宋" w:hAnsi="仿宋" w:eastAsia="仿宋" w:cs="仿宋"/>
          <w:b/>
          <w:bCs/>
          <w:sz w:val="28"/>
          <w:szCs w:val="28"/>
          <w:highlight w:val="none"/>
        </w:rPr>
        <w:tab/>
      </w:r>
      <w:r>
        <w:rPr>
          <w:rFonts w:hint="eastAsia" w:ascii="仿宋" w:hAnsi="仿宋" w:eastAsia="仿宋" w:cs="仿宋"/>
          <w:b/>
          <w:bCs/>
          <w:sz w:val="28"/>
          <w:szCs w:val="28"/>
          <w:highlight w:val="none"/>
        </w:rPr>
        <w:t>债权人主体资格证明材料</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1.债权人为机构的，应提供如下主体资格证明材料：</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（1）有效的营业执照、事业和社团法人登记证书或其他合法证明书原件（供核对）及复印件；</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（2）法定代表人（负责人）身份证明书原件（请参照范本）；</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（3）法定代表人（负责人）身份证等个人有效证件复印件。法定代表人（负责人）之外的人员到</w:t>
      </w:r>
      <w:r>
        <w:rPr>
          <w:rFonts w:hint="eastAsia" w:ascii="仿宋" w:hAnsi="仿宋" w:eastAsia="仿宋" w:cs="仿宋"/>
          <w:sz w:val="28"/>
          <w:szCs w:val="28"/>
          <w:highlight w:val="none"/>
          <w:lang w:eastAsia="zh-CN"/>
        </w:rPr>
        <w:t>管理人</w:t>
      </w:r>
      <w:r>
        <w:rPr>
          <w:rFonts w:hint="eastAsia" w:ascii="仿宋" w:hAnsi="仿宋" w:eastAsia="仿宋" w:cs="仿宋"/>
          <w:sz w:val="28"/>
          <w:szCs w:val="28"/>
          <w:highlight w:val="none"/>
        </w:rPr>
        <w:t>办公场所现场申报的，还应当提交：</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①机构的授权委托书原件（请参照范本）；</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②委托代理人的身份证等个人有效证件原件（供核对）及复印件，委托代理人为律师的，还应提交律师执业证原件（供核对）及复印件、律师事务所指派函原件。</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2.债权人为自然人的，应提供债权人身份证等个人有效证件原件（供核对）及复印件。债权人委托他人申报的，还应当提交：</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（1）债权人的授权委托书原件（请参照范本）；</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（2）委托代理人的身份证等个人有效证件原件（供核对）及复印件，委托代理人为律师的，还应提交律师执业证原件（供核对）及复印件、律师事务所指派函原件。</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（四）证明债权成立及其金额的证据材料</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债权人申报债权应提交能够证明债权成立及其金额的全部证据材料，包括但不限于：</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1.相关合同（包括但不限于借贷合同、买卖合同、施工合同等）；</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2.相关票据（如划账单、汇款单、转款凭证、对账单、提货单等合同履行凭证）；</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3.债权如有担保的，须提交抵押合同、质押合同、保证合同、担保物清单以及相关的抵、质押登记证明等；</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sz w:val="28"/>
          <w:szCs w:val="28"/>
          <w:highlight w:val="none"/>
        </w:rPr>
      </w:pPr>
      <w:r>
        <w:rPr>
          <w:rFonts w:hint="eastAsia" w:ascii="仿宋" w:hAnsi="仿宋" w:eastAsia="仿宋" w:cs="仿宋"/>
          <w:b/>
          <w:sz w:val="28"/>
          <w:szCs w:val="28"/>
          <w:highlight w:val="none"/>
        </w:rPr>
        <w:t>4.债权如涉及诉讼或仲裁，须提交诉讼、仲裁有关的法律文书（包括已审理完毕或正在审理过程中案件的起诉状、仲裁申请书、诉讼保全申请、保全裁定、生效判决、裁决、执行申请、法院执行裁定、法院执行案件通知书等）；如果提交的是生效法律文书的，</w:t>
      </w:r>
      <w:r>
        <w:rPr>
          <w:rFonts w:hint="eastAsia" w:ascii="仿宋" w:hAnsi="仿宋" w:eastAsia="仿宋" w:cs="仿宋"/>
          <w:b/>
          <w:bCs/>
          <w:sz w:val="28"/>
          <w:szCs w:val="28"/>
          <w:highlight w:val="none"/>
          <w:u w:val="single"/>
        </w:rPr>
        <w:t>同时还需提交司法部门或仲裁机构出具的相关法律文书的生效证明。</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sz w:val="28"/>
          <w:szCs w:val="28"/>
          <w:highlight w:val="none"/>
        </w:rPr>
      </w:pPr>
      <w:r>
        <w:rPr>
          <w:rFonts w:hint="eastAsia" w:ascii="仿宋" w:hAnsi="仿宋" w:eastAsia="仿宋" w:cs="仿宋"/>
          <w:b/>
          <w:sz w:val="28"/>
          <w:szCs w:val="28"/>
          <w:highlight w:val="none"/>
        </w:rPr>
        <w:t>债务人与债权人在破产受理前通过人民法院的民事调解程序确定的债权，除提交民事调解书外，还需要提交与调解内容有关的一切证据，</w:t>
      </w:r>
      <w:r>
        <w:rPr>
          <w:rFonts w:hint="eastAsia" w:ascii="仿宋" w:hAnsi="仿宋" w:eastAsia="仿宋" w:cs="仿宋"/>
          <w:b/>
          <w:sz w:val="28"/>
          <w:szCs w:val="28"/>
          <w:highlight w:val="none"/>
          <w:lang w:eastAsia="zh-CN"/>
        </w:rPr>
        <w:t>管理人</w:t>
      </w:r>
      <w:r>
        <w:rPr>
          <w:rFonts w:hint="eastAsia" w:ascii="仿宋" w:hAnsi="仿宋" w:eastAsia="仿宋" w:cs="仿宋"/>
          <w:b/>
          <w:sz w:val="28"/>
          <w:szCs w:val="28"/>
          <w:highlight w:val="none"/>
        </w:rPr>
        <w:t>将根据证据材料严格审查。</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5.相关公证文书（如有）；</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6.能够证明债权发生、变更、存续的其他原始材料。</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以上证明债权成立及其金额的证据材料，请按照证据材料的形成时间先后排序，并提供原件（供核对使用）及复印件。</w:t>
      </w:r>
    </w:p>
    <w:p>
      <w:pPr>
        <w:keepNext w:val="0"/>
        <w:keepLines w:val="0"/>
        <w:pageBreakBefore w:val="0"/>
        <w:widowControl w:val="0"/>
        <w:numPr>
          <w:ilvl w:val="0"/>
          <w:numId w:val="2"/>
        </w:numPr>
        <w:kinsoku/>
        <w:wordWrap/>
        <w:overflowPunct/>
        <w:topLinePunct w:val="0"/>
        <w:autoSpaceDE w:val="0"/>
        <w:autoSpaceDN/>
        <w:bidi w:val="0"/>
        <w:adjustRightInd/>
        <w:snapToGrid/>
        <w:spacing w:before="0" w:after="0" w:line="360" w:lineRule="auto"/>
        <w:ind w:left="0" w:leftChars="0" w:right="0" w:rightChars="0" w:firstLine="562" w:firstLineChars="200"/>
        <w:textAlignment w:val="auto"/>
        <w:outlineLvl w:val="9"/>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特明说明</w:t>
      </w:r>
    </w:p>
    <w:p>
      <w:pPr>
        <w:keepNext w:val="0"/>
        <w:keepLines w:val="0"/>
        <w:pageBreakBefore w:val="0"/>
        <w:widowControl w:val="0"/>
        <w:numPr>
          <w:ilvl w:val="0"/>
          <w:numId w:val="0"/>
        </w:numPr>
        <w:kinsoku/>
        <w:wordWrap/>
        <w:overflowPunct/>
        <w:topLinePunct w:val="0"/>
        <w:autoSpaceDE w:val="0"/>
        <w:autoSpaceDN/>
        <w:bidi w:val="0"/>
        <w:adjustRightInd/>
        <w:snapToGrid/>
        <w:spacing w:before="0" w:after="0" w:line="360" w:lineRule="auto"/>
        <w:ind w:right="0" w:rightChars="0" w:firstLine="562" w:firstLineChars="200"/>
        <w:textAlignment w:val="auto"/>
        <w:outlineLvl w:val="9"/>
        <w:rPr>
          <w:rFonts w:hint="default"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 xml:space="preserve">（一） </w:t>
      </w:r>
      <w:r>
        <w:rPr>
          <w:rFonts w:hint="eastAsia" w:ascii="仿宋" w:hAnsi="仿宋" w:eastAsia="仿宋" w:cs="仿宋"/>
          <w:b/>
          <w:bCs/>
          <w:sz w:val="28"/>
          <w:szCs w:val="28"/>
          <w:highlight w:val="none"/>
          <w:u w:val="single"/>
          <w:lang w:val="en-US" w:eastAsia="zh-CN"/>
        </w:rPr>
        <w:t>本案第一次债权人会议将于2024年3月13日上午9 时30分在重庆破产法庭（重庆市九龙坡区杨家坪街道花半里路3号）第一审判庭以现场结合网络会议召开</w:t>
      </w:r>
      <w:r>
        <w:rPr>
          <w:rFonts w:hint="eastAsia" w:ascii="仿宋" w:hAnsi="仿宋" w:eastAsia="仿宋" w:cs="仿宋"/>
          <w:sz w:val="28"/>
          <w:szCs w:val="28"/>
          <w:highlight w:val="none"/>
          <w:lang w:val="en-US" w:eastAsia="zh-CN"/>
        </w:rPr>
        <w:t>，参会</w:t>
      </w:r>
      <w:bookmarkStart w:id="0" w:name="_GoBack"/>
      <w:bookmarkEnd w:id="0"/>
      <w:r>
        <w:rPr>
          <w:rFonts w:hint="eastAsia" w:ascii="仿宋" w:hAnsi="仿宋" w:eastAsia="仿宋" w:cs="仿宋"/>
          <w:sz w:val="28"/>
          <w:szCs w:val="28"/>
          <w:highlight w:val="none"/>
          <w:lang w:val="en-US" w:eastAsia="zh-CN"/>
        </w:rPr>
        <w:t>的具体方式管理人将在会议前另行通知，届时请债权人准时参加。</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）本《债权申报指引》及其附属表格只针对债权人申报债权程序中相关申报指导及风险告知，文中加黑字体、加大字号、加下划线内容请债权人予以关注。</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三</w:t>
      </w:r>
      <w:r>
        <w:rPr>
          <w:rFonts w:hint="eastAsia" w:ascii="仿宋" w:hAnsi="仿宋" w:eastAsia="仿宋" w:cs="仿宋"/>
          <w:sz w:val="28"/>
          <w:szCs w:val="28"/>
          <w:highlight w:val="none"/>
        </w:rPr>
        <w:t>）债权申报登记程序不构成对债权的确权后果，不构成对进行了债权申报登记的无效债权（包括但不限于已过诉讼时效、已过强制执行申请期间的债权等）的重新有效确认。</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四</w:t>
      </w:r>
      <w:r>
        <w:rPr>
          <w:rFonts w:hint="eastAsia" w:ascii="仿宋" w:hAnsi="仿宋" w:eastAsia="仿宋" w:cs="仿宋"/>
          <w:sz w:val="28"/>
          <w:szCs w:val="28"/>
          <w:highlight w:val="none"/>
        </w:rPr>
        <w:t>）如本《债权申报指引》内容与现行</w:t>
      </w:r>
      <w:r>
        <w:rPr>
          <w:rFonts w:hint="eastAsia" w:ascii="仿宋" w:hAnsi="仿宋" w:eastAsia="仿宋" w:cs="仿宋"/>
          <w:sz w:val="28"/>
          <w:szCs w:val="28"/>
          <w:highlight w:val="none"/>
          <w:lang w:eastAsia="zh-CN"/>
        </w:rPr>
        <w:t>法律法规</w:t>
      </w:r>
      <w:r>
        <w:rPr>
          <w:rFonts w:hint="eastAsia" w:ascii="仿宋" w:hAnsi="仿宋" w:eastAsia="仿宋" w:cs="仿宋"/>
          <w:sz w:val="28"/>
          <w:szCs w:val="28"/>
          <w:highlight w:val="none"/>
        </w:rPr>
        <w:t>、司法解释及相关司法文件不一致的，以后者为准。</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b/>
          <w:bCs/>
          <w:sz w:val="28"/>
          <w:szCs w:val="28"/>
          <w:highlight w:val="none"/>
          <w:u w:val="single"/>
          <w:lang w:val="en-US" w:eastAsia="zh-CN"/>
        </w:rPr>
      </w:pPr>
      <w:r>
        <w:rPr>
          <w:rFonts w:hint="eastAsia" w:ascii="仿宋" w:hAnsi="仿宋" w:eastAsia="仿宋" w:cs="仿宋"/>
          <w:sz w:val="28"/>
          <w:szCs w:val="28"/>
          <w:highlight w:val="none"/>
          <w:lang w:val="en-US" w:eastAsia="zh-CN"/>
        </w:rPr>
        <w:t>（五）</w:t>
      </w:r>
      <w:r>
        <w:rPr>
          <w:rFonts w:hint="eastAsia" w:ascii="仿宋" w:hAnsi="仿宋" w:eastAsia="仿宋" w:cs="仿宋"/>
          <w:b/>
          <w:bCs/>
          <w:sz w:val="28"/>
          <w:szCs w:val="28"/>
          <w:highlight w:val="none"/>
          <w:u w:val="single"/>
          <w:lang w:val="en-US" w:eastAsia="zh-CN"/>
        </w:rPr>
        <w:t>如债权人已在重庆市凡庄房地产有限公司强制清算程序中向清算组提交了债权申报资料，可以填写《债权申报资料确认书》（附件一）并提交管理人以将强制清算程序中提交的债权申报资料转为破产清算程序中的债权申报资料。</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default" w:ascii="仿宋" w:hAnsi="仿宋" w:eastAsia="仿宋" w:cs="仿宋"/>
          <w:b/>
          <w:bCs/>
          <w:sz w:val="28"/>
          <w:szCs w:val="28"/>
          <w:highlight w:val="none"/>
          <w:u w:val="single"/>
          <w:lang w:val="en-US" w:eastAsia="zh-CN"/>
        </w:rPr>
      </w:pPr>
      <w:r>
        <w:rPr>
          <w:rFonts w:hint="eastAsia" w:ascii="仿宋" w:hAnsi="仿宋" w:eastAsia="仿宋" w:cs="仿宋"/>
          <w:sz w:val="28"/>
          <w:szCs w:val="28"/>
          <w:highlight w:val="none"/>
          <w:lang w:val="en-US" w:eastAsia="zh-CN"/>
        </w:rPr>
        <w:t>（六）</w:t>
      </w:r>
      <w:r>
        <w:rPr>
          <w:rFonts w:hint="eastAsia" w:ascii="仿宋" w:hAnsi="仿宋" w:eastAsia="仿宋" w:cs="仿宋"/>
          <w:b/>
          <w:bCs/>
          <w:sz w:val="28"/>
          <w:szCs w:val="28"/>
          <w:highlight w:val="none"/>
          <w:u w:val="single"/>
          <w:lang w:val="en-US" w:eastAsia="zh-CN"/>
        </w:rPr>
        <w:t>所有向管理人申报债权的债权人必须向管理人提交《诚信债权申报承诺书》（附件二），未提交《诚信债权申报承诺书》而产生的不利后果由债权人自行承担。</w:t>
      </w: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firstLine="560" w:firstLineChars="200"/>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val="0"/>
        <w:autoSpaceDN/>
        <w:bidi w:val="0"/>
        <w:adjustRightInd/>
        <w:snapToGrid/>
        <w:spacing w:before="0" w:after="0" w:line="360" w:lineRule="auto"/>
        <w:ind w:left="0" w:leftChars="0" w:right="0" w:rightChars="0"/>
        <w:jc w:val="both"/>
        <w:textAlignment w:val="auto"/>
        <w:outlineLvl w:val="9"/>
        <w:rPr>
          <w:rFonts w:hint="eastAsia" w:ascii="仿宋" w:hAnsi="仿宋" w:eastAsia="仿宋" w:cs="仿宋"/>
          <w:sz w:val="28"/>
          <w:szCs w:val="28"/>
          <w:highlight w:val="none"/>
        </w:rPr>
      </w:pPr>
    </w:p>
    <w:p>
      <w:pPr>
        <w:keepNext w:val="0"/>
        <w:keepLines w:val="0"/>
        <w:pageBreakBefore w:val="0"/>
        <w:kinsoku/>
        <w:wordWrap/>
        <w:overflowPunct/>
        <w:topLinePunct w:val="0"/>
        <w:autoSpaceDE w:val="0"/>
        <w:autoSpaceDN/>
        <w:bidi w:val="0"/>
        <w:adjustRightInd/>
        <w:snapToGrid/>
        <w:spacing w:before="0" w:after="0" w:line="360" w:lineRule="auto"/>
        <w:ind w:left="0" w:leftChars="0" w:right="0" w:rightChars="0" w:firstLine="0" w:firstLineChars="0"/>
        <w:jc w:val="right"/>
        <w:textAlignment w:val="auto"/>
        <w:rPr>
          <w:rFonts w:hint="eastAsia" w:ascii="仿宋" w:hAnsi="仿宋" w:eastAsia="仿宋" w:cs="仿宋"/>
          <w:b/>
          <w:bCs/>
          <w:sz w:val="28"/>
          <w:szCs w:val="28"/>
          <w:highlight w:val="none"/>
          <w:u w:val="single"/>
        </w:rPr>
      </w:pPr>
      <w:r>
        <w:rPr>
          <w:rFonts w:hint="eastAsia" w:ascii="仿宋" w:hAnsi="仿宋" w:eastAsia="仿宋" w:cs="仿宋"/>
          <w:b w:val="0"/>
          <w:bCs/>
          <w:sz w:val="28"/>
          <w:szCs w:val="28"/>
          <w:highlight w:val="none"/>
          <w:lang w:eastAsia="zh-CN"/>
        </w:rPr>
        <w:t>重庆市凡庄房地产有限公司</w:t>
      </w:r>
      <w:r>
        <w:rPr>
          <w:rFonts w:hint="eastAsia" w:ascii="仿宋" w:hAnsi="仿宋" w:eastAsia="仿宋" w:cs="仿宋"/>
          <w:b w:val="0"/>
          <w:bCs/>
          <w:sz w:val="28"/>
          <w:szCs w:val="28"/>
          <w:highlight w:val="none"/>
          <w:lang w:val="en-US" w:eastAsia="zh-CN"/>
        </w:rPr>
        <w:t>管理人</w:t>
      </w:r>
    </w:p>
    <w:p>
      <w:pPr>
        <w:keepNext w:val="0"/>
        <w:keepLines w:val="0"/>
        <w:pageBreakBefore w:val="0"/>
        <w:widowControl w:val="0"/>
        <w:kinsoku/>
        <w:wordWrap/>
        <w:overflowPunct/>
        <w:topLinePunct w:val="0"/>
        <w:autoSpaceDE/>
        <w:autoSpaceDN/>
        <w:bidi w:val="0"/>
        <w:adjustRightInd/>
        <w:snapToGrid w:val="0"/>
        <w:spacing w:line="480" w:lineRule="auto"/>
        <w:ind w:left="0" w:leftChars="0" w:firstLine="560" w:firstLineChars="200"/>
        <w:textAlignment w:val="auto"/>
        <w:outlineLvl w:val="9"/>
        <w:rPr>
          <w:rFonts w:hint="eastAsia" w:eastAsia="仿宋"/>
          <w:lang w:eastAsia="zh-CN"/>
        </w:rPr>
      </w:pPr>
      <w:r>
        <w:rPr>
          <w:rFonts w:hint="eastAsia" w:ascii="仿宋" w:hAnsi="仿宋" w:eastAsia="仿宋" w:cs="仿宋"/>
          <w:b w:val="0"/>
          <w:bCs w:val="0"/>
          <w:sz w:val="28"/>
          <w:szCs w:val="28"/>
          <w:highlight w:val="none"/>
          <w:u w:val="none"/>
        </w:rPr>
        <w:t xml:space="preserve">                             </w:t>
      </w:r>
      <w:r>
        <w:rPr>
          <w:rFonts w:hint="eastAsia" w:ascii="仿宋" w:hAnsi="仿宋" w:eastAsia="仿宋" w:cs="仿宋"/>
          <w:b w:val="0"/>
          <w:bCs w:val="0"/>
          <w:sz w:val="28"/>
          <w:szCs w:val="28"/>
          <w:highlight w:val="none"/>
          <w:u w:val="none"/>
          <w:lang w:val="en-US" w:eastAsia="zh-CN"/>
        </w:rPr>
        <w:t xml:space="preserve">  </w:t>
      </w:r>
      <w:r>
        <w:rPr>
          <w:rFonts w:hint="eastAsia" w:ascii="仿宋" w:hAnsi="仿宋" w:eastAsia="仿宋" w:cs="仿宋"/>
          <w:b w:val="0"/>
          <w:bCs w:val="0"/>
          <w:sz w:val="28"/>
          <w:szCs w:val="28"/>
          <w:highlight w:val="none"/>
          <w:u w:val="none"/>
        </w:rPr>
        <w:t xml:space="preserve">  </w:t>
      </w:r>
      <w:r>
        <w:rPr>
          <w:rFonts w:hint="eastAsia" w:ascii="仿宋" w:hAnsi="仿宋" w:eastAsia="仿宋" w:cs="仿宋"/>
          <w:b w:val="0"/>
          <w:bCs w:val="0"/>
          <w:sz w:val="28"/>
          <w:szCs w:val="28"/>
          <w:highlight w:val="none"/>
          <w:u w:val="none"/>
          <w:lang w:eastAsia="zh-CN"/>
        </w:rPr>
        <w:t>2024年1月31日</w:t>
      </w:r>
    </w:p>
    <w:p/>
    <w:p>
      <w:pPr>
        <w:rPr>
          <w:rFonts w:hint="default" w:eastAsia="宋体"/>
          <w:sz w:val="24"/>
          <w:szCs w:val="28"/>
          <w:lang w:val="en-US" w:eastAsia="zh-CN"/>
        </w:rPr>
      </w:pPr>
      <w:r>
        <w:rPr>
          <w:rFonts w:hint="eastAsia"/>
          <w:sz w:val="24"/>
          <w:szCs w:val="28"/>
          <w:lang w:val="en-US" w:eastAsia="zh-CN"/>
        </w:rPr>
        <w:t>附件：一、《债权申报资料确认书》；二、《诚信债权申报承诺书》。</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Times New Roman"/>
    <w:panose1 w:val="02020603050405020304"/>
    <w:charset w:val="00"/>
    <w:family w:val="roman"/>
    <w:pitch w:val="default"/>
    <w:sig w:usb0="00000000" w:usb1="00000000" w:usb2="00000008" w:usb3="00000000" w:csb0="0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37BA8B"/>
    <w:multiLevelType w:val="singleLevel"/>
    <w:tmpl w:val="CA37BA8B"/>
    <w:lvl w:ilvl="0" w:tentative="0">
      <w:start w:val="4"/>
      <w:numFmt w:val="chineseCounting"/>
      <w:suff w:val="nothing"/>
      <w:lvlText w:val="%1、"/>
      <w:lvlJc w:val="left"/>
      <w:rPr>
        <w:rFonts w:hint="eastAsia"/>
      </w:rPr>
    </w:lvl>
  </w:abstractNum>
  <w:abstractNum w:abstractNumId="1">
    <w:nsid w:val="1693A7BA"/>
    <w:multiLevelType w:val="singleLevel"/>
    <w:tmpl w:val="1693A7BA"/>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zODNjMGI2OGMwMmM2YzkyODdiNmY1OTY5ZGEzZmEifQ=="/>
  </w:docVars>
  <w:rsids>
    <w:rsidRoot w:val="5E996668"/>
    <w:rsid w:val="01654671"/>
    <w:rsid w:val="067508F8"/>
    <w:rsid w:val="0C2F1BDB"/>
    <w:rsid w:val="17220119"/>
    <w:rsid w:val="1A6B4094"/>
    <w:rsid w:val="20614429"/>
    <w:rsid w:val="21EC1F1E"/>
    <w:rsid w:val="2A4A315A"/>
    <w:rsid w:val="2D4A1ACA"/>
    <w:rsid w:val="36681030"/>
    <w:rsid w:val="46164604"/>
    <w:rsid w:val="5144471C"/>
    <w:rsid w:val="538B68CF"/>
    <w:rsid w:val="5C796266"/>
    <w:rsid w:val="5E996668"/>
    <w:rsid w:val="61376AB6"/>
    <w:rsid w:val="684D54D0"/>
    <w:rsid w:val="6A624B72"/>
    <w:rsid w:val="737E5413"/>
    <w:rsid w:val="7F524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Lines="0" w:afterAutospacing="0"/>
      <w:ind w:firstLine="880" w:firstLineChars="200"/>
    </w:p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2022-07-12T06:01:00Z</dcterms:created>
  <dc:creator>sunlei</dc:creator>
  <cp:lastModifiedBy>sunlei</cp:lastModifiedBy>
  <dcterms:modified xsi:type="dcterms:W3CDTF">2024-01-31T07:02:21Z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032C1840D1BE4EDABF6F734AF0FF4E5C</vt:lpwstr>
  </property>
</Properties>
</file>