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6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bookmarkStart w:id="3" w:name="_GoBack"/>
      <w:bookmarkEnd w:id="3"/>
      <w:r>
        <w:rPr>
          <w:rFonts w:hint="eastAsia" w:ascii="黑体" w:hAnsi="黑体" w:eastAsia="黑体" w:cs="黑体"/>
          <w:b/>
          <w:bCs w:val="0"/>
          <w:sz w:val="44"/>
          <w:szCs w:val="44"/>
          <w:lang w:eastAsia="zh-CN"/>
        </w:rPr>
        <w:t>重庆市凡庄房地产有限公司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破产清算案</w:t>
      </w:r>
    </w:p>
    <w:p>
      <w:pPr>
        <w:spacing w:line="66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债权申报登记表（法人版本）</w:t>
      </w:r>
    </w:p>
    <w:p>
      <w:pPr>
        <w:spacing w:line="360" w:lineRule="auto"/>
        <w:jc w:val="right"/>
        <w:rPr>
          <w:rFonts w:hint="eastAsia" w:ascii="仿宋" w:hAnsi="仿宋" w:eastAsia="仿宋" w:cs="仿宋"/>
          <w:b/>
          <w:sz w:val="21"/>
          <w:szCs w:val="21"/>
        </w:rPr>
      </w:pPr>
      <w:r>
        <w:rPr>
          <w:rFonts w:hint="eastAsia" w:ascii="仿宋" w:hAnsi="仿宋" w:eastAsia="仿宋" w:cs="仿宋"/>
          <w:b/>
          <w:sz w:val="21"/>
          <w:szCs w:val="21"/>
        </w:rPr>
        <w:t xml:space="preserve">                                  </w:t>
      </w:r>
      <w:r>
        <w:rPr>
          <w:rFonts w:hint="eastAsia" w:ascii="仿宋" w:hAnsi="仿宋" w:eastAsia="仿宋" w:cs="仿宋"/>
          <w:b/>
          <w:color w:val="auto"/>
          <w:sz w:val="21"/>
          <w:szCs w:val="21"/>
        </w:rPr>
        <w:t>（</w:t>
      </w:r>
      <w:r>
        <w:rPr>
          <w:rFonts w:hint="eastAsia" w:ascii="仿宋" w:hAnsi="仿宋" w:eastAsia="仿宋" w:cs="仿宋"/>
          <w:b/>
          <w:color w:val="auto"/>
          <w:sz w:val="21"/>
          <w:szCs w:val="21"/>
          <w:lang w:eastAsia="zh-CN"/>
        </w:rPr>
        <w:t>202</w:t>
      </w:r>
      <w:r>
        <w:rPr>
          <w:rFonts w:hint="eastAsia" w:ascii="仿宋" w:hAnsi="仿宋" w:eastAsia="仿宋" w:cs="仿宋"/>
          <w:b/>
          <w:color w:val="auto"/>
          <w:sz w:val="21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/>
          <w:color w:val="auto"/>
          <w:sz w:val="21"/>
          <w:szCs w:val="21"/>
        </w:rPr>
        <w:t>）</w:t>
      </w:r>
      <w:r>
        <w:rPr>
          <w:rFonts w:hint="eastAsia" w:ascii="仿宋" w:hAnsi="仿宋" w:eastAsia="仿宋" w:cs="仿宋"/>
          <w:b/>
          <w:color w:val="auto"/>
          <w:sz w:val="21"/>
          <w:szCs w:val="21"/>
          <w:lang w:val="en-US" w:eastAsia="zh-CN"/>
        </w:rPr>
        <w:t>凡庄破清</w:t>
      </w:r>
      <w:r>
        <w:rPr>
          <w:rFonts w:hint="eastAsia" w:ascii="仿宋" w:hAnsi="仿宋" w:eastAsia="仿宋" w:cs="仿宋"/>
          <w:b/>
          <w:color w:val="auto"/>
          <w:sz w:val="21"/>
          <w:szCs w:val="21"/>
        </w:rPr>
        <w:t>债申   号</w:t>
      </w:r>
    </w:p>
    <w:tbl>
      <w:tblPr>
        <w:tblStyle w:val="12"/>
        <w:tblW w:w="10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1477"/>
        <w:gridCol w:w="13"/>
        <w:gridCol w:w="288"/>
        <w:gridCol w:w="658"/>
        <w:gridCol w:w="294"/>
        <w:gridCol w:w="251"/>
        <w:gridCol w:w="486"/>
        <w:gridCol w:w="366"/>
        <w:gridCol w:w="150"/>
        <w:gridCol w:w="502"/>
        <w:gridCol w:w="1"/>
        <w:gridCol w:w="457"/>
        <w:gridCol w:w="287"/>
        <w:gridCol w:w="103"/>
        <w:gridCol w:w="465"/>
        <w:gridCol w:w="69"/>
        <w:gridCol w:w="122"/>
        <w:gridCol w:w="313"/>
        <w:gridCol w:w="356"/>
        <w:gridCol w:w="200"/>
        <w:gridCol w:w="335"/>
        <w:gridCol w:w="300"/>
        <w:gridCol w:w="249"/>
        <w:gridCol w:w="1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债权人基本信息</w:t>
            </w:r>
          </w:p>
        </w:tc>
        <w:tc>
          <w:tcPr>
            <w:tcW w:w="2981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债权人名称</w:t>
            </w:r>
          </w:p>
        </w:tc>
        <w:tc>
          <w:tcPr>
            <w:tcW w:w="6018" w:type="dxa"/>
            <w:gridSpan w:val="1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98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</w:rPr>
              <w:t>统一社会信用代码</w:t>
            </w:r>
          </w:p>
        </w:tc>
        <w:tc>
          <w:tcPr>
            <w:tcW w:w="6018" w:type="dxa"/>
            <w:gridSpan w:val="1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法定代表人</w:t>
            </w:r>
            <w:r>
              <w:rPr>
                <w:rFonts w:hint="default" w:ascii="仿宋" w:hAnsi="仿宋" w:eastAsia="仿宋" w:cs="仿宋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149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6"/>
                <w:lang w:val="en-US" w:eastAsia="zh-CN"/>
              </w:rPr>
              <w:t>身份证号码</w:t>
            </w:r>
          </w:p>
        </w:tc>
        <w:tc>
          <w:tcPr>
            <w:tcW w:w="2172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83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CN"/>
              </w:rPr>
              <w:t>职务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</w:rPr>
              <w:t>邮箱</w:t>
            </w:r>
          </w:p>
        </w:tc>
        <w:tc>
          <w:tcPr>
            <w:tcW w:w="149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Hans"/>
              </w:rPr>
              <w:t>联系电话</w:t>
            </w:r>
          </w:p>
        </w:tc>
        <w:tc>
          <w:tcPr>
            <w:tcW w:w="150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150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Hans"/>
              </w:rPr>
              <w:t>固定电话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代理人基本情况</w:t>
            </w: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代理人姓名</w:t>
            </w:r>
          </w:p>
        </w:tc>
        <w:tc>
          <w:tcPr>
            <w:tcW w:w="1491" w:type="dxa"/>
            <w:gridSpan w:val="4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kern w:val="2"/>
                <w:sz w:val="20"/>
                <w:szCs w:val="18"/>
                <w:u w:val="single"/>
                <w:lang w:val="en-US" w:eastAsia="zh-CN" w:bidi="ar-SA"/>
              </w:rPr>
            </w:pPr>
          </w:p>
        </w:tc>
        <w:tc>
          <w:tcPr>
            <w:tcW w:w="1504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Hans"/>
              </w:rPr>
              <w:t>联系电话</w:t>
            </w:r>
          </w:p>
        </w:tc>
        <w:tc>
          <w:tcPr>
            <w:tcW w:w="1504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  <w:tc>
          <w:tcPr>
            <w:tcW w:w="150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Hans"/>
              </w:rPr>
              <w:t>微信号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Hans"/>
              </w:rPr>
              <w:t>通讯地址</w:t>
            </w:r>
          </w:p>
        </w:tc>
        <w:tc>
          <w:tcPr>
            <w:tcW w:w="2995" w:type="dxa"/>
            <w:gridSpan w:val="8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  <w:tc>
          <w:tcPr>
            <w:tcW w:w="1504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Hans"/>
              </w:rPr>
              <w:t>邮箱</w:t>
            </w:r>
          </w:p>
        </w:tc>
        <w:tc>
          <w:tcPr>
            <w:tcW w:w="3010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身份证号码</w:t>
            </w:r>
          </w:p>
        </w:tc>
        <w:tc>
          <w:tcPr>
            <w:tcW w:w="2995" w:type="dxa"/>
            <w:gridSpan w:val="8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  <w:tc>
          <w:tcPr>
            <w:tcW w:w="1504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CN"/>
              </w:rPr>
              <w:t>律师证号</w:t>
            </w:r>
          </w:p>
        </w:tc>
        <w:tc>
          <w:tcPr>
            <w:tcW w:w="3010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债权</w:t>
            </w: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形成原因</w:t>
            </w:r>
          </w:p>
        </w:tc>
        <w:tc>
          <w:tcPr>
            <w:tcW w:w="3467" w:type="dxa"/>
            <w:gridSpan w:val="7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借贷合同 □买卖合同 □工程合同 </w:t>
            </w: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0"/>
                <w:szCs w:val="18"/>
                <w:u w:val="single"/>
                <w:lang w:val="en-US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□担保合同 □其他</w:t>
            </w:r>
            <w:r>
              <w:rPr>
                <w:rFonts w:hint="eastAsia" w:ascii="仿宋" w:hAnsi="仿宋" w:eastAsia="仿宋" w:cs="仿宋"/>
                <w:sz w:val="20"/>
                <w:szCs w:val="18"/>
                <w:u w:val="single"/>
                <w:lang w:val="en-US" w:eastAsia="zh-CN"/>
              </w:rPr>
              <w:t xml:space="preserve">                </w:t>
            </w:r>
          </w:p>
        </w:tc>
        <w:tc>
          <w:tcPr>
            <w:tcW w:w="1866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债权性质</w:t>
            </w:r>
          </w:p>
        </w:tc>
        <w:tc>
          <w:tcPr>
            <w:tcW w:w="3666" w:type="dxa"/>
            <w:gridSpan w:val="10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w w:val="95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w w:val="95"/>
                <w:sz w:val="20"/>
                <w:szCs w:val="18"/>
                <w:lang w:val="en-US" w:eastAsia="zh-CN"/>
              </w:rPr>
              <w:t>对特定财产享有优先受偿权的债权</w:t>
            </w: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w w:val="95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1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18"/>
                <w:lang w:val="en-US" w:eastAsia="zh-CN"/>
              </w:rPr>
              <w:t>普通</w:t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18"/>
              </w:rPr>
              <w:t>债权</w:t>
            </w:r>
            <w:r>
              <w:rPr>
                <w:rFonts w:hint="default" w:ascii="仿宋" w:hAnsi="仿宋" w:eastAsia="仿宋" w:cs="仿宋"/>
                <w:color w:val="C0504D"/>
                <w:sz w:val="20"/>
                <w:szCs w:val="18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债权发生时间</w:t>
            </w:r>
          </w:p>
        </w:tc>
        <w:tc>
          <w:tcPr>
            <w:tcW w:w="346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default" w:ascii="仿宋" w:hAnsi="仿宋" w:eastAsia="仿宋" w:cs="仿宋"/>
                <w:sz w:val="20"/>
                <w:szCs w:val="18"/>
              </w:rPr>
              <w:t>年   月   日</w:t>
            </w:r>
          </w:p>
        </w:tc>
        <w:tc>
          <w:tcPr>
            <w:tcW w:w="2400" w:type="dxa"/>
            <w:gridSpan w:val="9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b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最后一次主张债权时间</w:t>
            </w:r>
          </w:p>
        </w:tc>
        <w:tc>
          <w:tcPr>
            <w:tcW w:w="3132" w:type="dxa"/>
            <w:gridSpan w:val="8"/>
            <w:noWrap w:val="0"/>
            <w:vAlign w:val="center"/>
          </w:tcPr>
          <w:p>
            <w:pPr>
              <w:tabs>
                <w:tab w:val="right" w:pos="2500"/>
              </w:tabs>
              <w:spacing w:line="360" w:lineRule="auto"/>
              <w:ind w:firstLine="600" w:firstLineChars="300"/>
              <w:jc w:val="both"/>
              <w:rPr>
                <w:rFonts w:hint="default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年   月   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债权申报金额</w:t>
            </w:r>
          </w:p>
        </w:tc>
        <w:tc>
          <w:tcPr>
            <w:tcW w:w="177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本金</w:t>
            </w:r>
          </w:p>
        </w:tc>
        <w:tc>
          <w:tcPr>
            <w:tcW w:w="168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利息</w:t>
            </w:r>
          </w:p>
        </w:tc>
        <w:tc>
          <w:tcPr>
            <w:tcW w:w="176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其他</w:t>
            </w:r>
          </w:p>
        </w:tc>
        <w:tc>
          <w:tcPr>
            <w:tcW w:w="3769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</w:p>
        </w:tc>
        <w:tc>
          <w:tcPr>
            <w:tcW w:w="177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168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176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3769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担保情况</w:t>
            </w:r>
          </w:p>
        </w:tc>
        <w:tc>
          <w:tcPr>
            <w:tcW w:w="1477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担保方式</w:t>
            </w:r>
          </w:p>
        </w:tc>
        <w:tc>
          <w:tcPr>
            <w:tcW w:w="1990" w:type="dxa"/>
            <w:gridSpan w:val="6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bookmarkStart w:id="0" w:name="OLE_LINK4"/>
            <w:r>
              <w:rPr>
                <w:rFonts w:hint="eastAsia" w:ascii="仿宋" w:hAnsi="仿宋" w:eastAsia="仿宋" w:cs="仿宋"/>
                <w:sz w:val="20"/>
                <w:szCs w:val="18"/>
              </w:rPr>
              <w:t>□抵押</w:t>
            </w:r>
            <w:bookmarkEnd w:id="0"/>
            <w:bookmarkStart w:id="1" w:name="OLE_LINK3"/>
            <w:bookmarkEnd w:id="1"/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质押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留置  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保证</w:t>
            </w:r>
          </w:p>
        </w:tc>
        <w:tc>
          <w:tcPr>
            <w:tcW w:w="176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担保金额</w:t>
            </w:r>
          </w:p>
        </w:tc>
        <w:tc>
          <w:tcPr>
            <w:tcW w:w="1963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担保物</w:t>
            </w:r>
          </w:p>
        </w:tc>
        <w:tc>
          <w:tcPr>
            <w:tcW w:w="18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担保人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有 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无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990" w:type="dxa"/>
            <w:gridSpan w:val="6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76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963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8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诉讼</w:t>
            </w:r>
            <w:r>
              <w:rPr>
                <w:rFonts w:hint="default" w:ascii="仿宋" w:hAnsi="仿宋" w:eastAsia="仿宋" w:cs="仿宋"/>
                <w:b/>
                <w:sz w:val="21"/>
                <w:szCs w:val="18"/>
              </w:rPr>
              <w:t>及保全</w:t>
            </w: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情况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是否进入诉讼</w:t>
            </w:r>
          </w:p>
        </w:tc>
        <w:tc>
          <w:tcPr>
            <w:tcW w:w="125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□是  □否</w:t>
            </w:r>
          </w:p>
        </w:tc>
        <w:tc>
          <w:tcPr>
            <w:tcW w:w="125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诉讼标的额</w:t>
            </w: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1046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诉讼阶段</w:t>
            </w:r>
          </w:p>
        </w:tc>
        <w:tc>
          <w:tcPr>
            <w:tcW w:w="3010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□一审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二审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再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诉讼结果</w:t>
            </w:r>
          </w:p>
        </w:tc>
        <w:tc>
          <w:tcPr>
            <w:tcW w:w="3753" w:type="dxa"/>
            <w:gridSpan w:val="12"/>
            <w:noWrap w:val="0"/>
            <w:vAlign w:val="center"/>
          </w:tcPr>
          <w:p>
            <w:pPr>
              <w:spacing w:line="360" w:lineRule="auto"/>
              <w:ind w:left="200" w:hanging="200" w:hangingChars="100"/>
              <w:jc w:val="both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>已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判决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>已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调解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>已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撤诉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>诉讼中</w:t>
            </w:r>
          </w:p>
        </w:tc>
        <w:tc>
          <w:tcPr>
            <w:tcW w:w="1628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生效法律文书号</w:t>
            </w:r>
          </w:p>
        </w:tc>
        <w:tc>
          <w:tcPr>
            <w:tcW w:w="214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</w:rPr>
              <w:t>是否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保全</w:t>
            </w:r>
          </w:p>
        </w:tc>
        <w:tc>
          <w:tcPr>
            <w:tcW w:w="125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□是  □否</w:t>
            </w:r>
          </w:p>
        </w:tc>
        <w:tc>
          <w:tcPr>
            <w:tcW w:w="125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default" w:ascii="仿宋" w:hAnsi="仿宋" w:eastAsia="仿宋" w:cs="仿宋"/>
                <w:sz w:val="20"/>
                <w:szCs w:val="18"/>
              </w:rPr>
              <w:t>保全类型</w:t>
            </w:r>
          </w:p>
        </w:tc>
        <w:tc>
          <w:tcPr>
            <w:tcW w:w="2319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查封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冻结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>扣押</w:t>
            </w:r>
          </w:p>
        </w:tc>
        <w:tc>
          <w:tcPr>
            <w:tcW w:w="1440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default" w:ascii="仿宋" w:hAnsi="仿宋" w:eastAsia="仿宋" w:cs="仿宋"/>
                <w:sz w:val="20"/>
                <w:szCs w:val="18"/>
              </w:rPr>
              <w:t>保全文书号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243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承办法院及法官联系方式</w:t>
            </w:r>
          </w:p>
        </w:tc>
        <w:tc>
          <w:tcPr>
            <w:tcW w:w="6563" w:type="dxa"/>
            <w:gridSpan w:val="20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债权事实与理由</w:t>
            </w:r>
          </w:p>
        </w:tc>
        <w:tc>
          <w:tcPr>
            <w:tcW w:w="8999" w:type="dxa"/>
            <w:gridSpan w:val="24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18"/>
              </w:rPr>
            </w:pPr>
            <w:bookmarkStart w:id="2" w:name="OLE_LINK5"/>
            <w:r>
              <w:rPr>
                <w:rFonts w:hint="eastAsia" w:ascii="仿宋" w:hAnsi="仿宋" w:eastAsia="仿宋" w:cs="仿宋"/>
                <w:sz w:val="21"/>
                <w:szCs w:val="18"/>
              </w:rPr>
              <w:t>（简要说明事实与理由，建议另附页详述）</w:t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备  注</w:t>
            </w:r>
          </w:p>
        </w:tc>
        <w:tc>
          <w:tcPr>
            <w:tcW w:w="8999" w:type="dxa"/>
            <w:gridSpan w:val="24"/>
            <w:noWrap w:val="0"/>
            <w:vAlign w:val="center"/>
          </w:tcPr>
          <w:p>
            <w:pPr>
              <w:spacing w:line="360" w:lineRule="auto"/>
              <w:ind w:firstLine="360" w:firstLineChars="200"/>
              <w:jc w:val="left"/>
              <w:rPr>
                <w:rFonts w:hint="eastAsia" w:ascii="仿宋" w:hAnsi="仿宋" w:eastAsia="仿宋" w:cs="仿宋"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5"/>
              </w:rPr>
              <w:t>1、债权金额的构成，请提交计算清单；2、孳息债权需提交明确的计算方式和情况说明； 3、提交材料的纸张规格应为A4纸</w:t>
            </w:r>
            <w:r>
              <w:rPr>
                <w:rFonts w:hint="eastAsia" w:ascii="仿宋" w:hAnsi="仿宋" w:eastAsia="仿宋" w:cs="仿宋"/>
                <w:sz w:val="18"/>
                <w:szCs w:val="15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5"/>
                <w:u w:val="single"/>
                <w:lang w:val="en-US" w:eastAsia="zh-CN"/>
              </w:rPr>
              <w:t>不建议手写填报，请在电脑上填写完成后再打印（非常重要）</w:t>
            </w:r>
            <w:r>
              <w:rPr>
                <w:rFonts w:hint="eastAsia" w:ascii="仿宋" w:hAnsi="仿宋" w:eastAsia="仿宋" w:cs="仿宋"/>
                <w:sz w:val="18"/>
                <w:szCs w:val="15"/>
              </w:rPr>
              <w:t>；4、请在提交的债权申报资料上加盖</w:t>
            </w:r>
            <w:r>
              <w:rPr>
                <w:rFonts w:hint="default" w:ascii="仿宋" w:hAnsi="仿宋" w:eastAsia="仿宋" w:cs="仿宋"/>
                <w:sz w:val="18"/>
                <w:szCs w:val="15"/>
              </w:rPr>
              <w:t>债权人</w:t>
            </w:r>
            <w:r>
              <w:rPr>
                <w:rFonts w:hint="eastAsia" w:ascii="仿宋" w:hAnsi="仿宋" w:eastAsia="仿宋" w:cs="仿宋"/>
                <w:sz w:val="18"/>
                <w:szCs w:val="15"/>
              </w:rPr>
              <w:t>单位公章；</w:t>
            </w:r>
            <w:r>
              <w:rPr>
                <w:rFonts w:hint="default" w:ascii="仿宋" w:hAnsi="仿宋" w:eastAsia="仿宋" w:cs="仿宋"/>
                <w:sz w:val="18"/>
                <w:szCs w:val="15"/>
              </w:rPr>
              <w:t>并由经办人</w:t>
            </w:r>
            <w:r>
              <w:rPr>
                <w:rFonts w:hint="eastAsia" w:ascii="仿宋" w:hAnsi="仿宋" w:eastAsia="仿宋" w:cs="仿宋"/>
                <w:sz w:val="18"/>
                <w:szCs w:val="15"/>
              </w:rPr>
              <w:t>在申报资料上签字确认；5、债权申报编号由</w:t>
            </w:r>
            <w:r>
              <w:rPr>
                <w:rFonts w:hint="eastAsia" w:ascii="仿宋" w:hAnsi="仿宋" w:eastAsia="仿宋" w:cs="仿宋"/>
                <w:sz w:val="18"/>
                <w:szCs w:val="15"/>
                <w:lang w:eastAsia="zh-CN"/>
              </w:rPr>
              <w:t>管理人</w:t>
            </w:r>
            <w:r>
              <w:rPr>
                <w:rFonts w:hint="eastAsia" w:ascii="仿宋" w:hAnsi="仿宋" w:eastAsia="仿宋" w:cs="仿宋"/>
                <w:sz w:val="18"/>
                <w:szCs w:val="15"/>
              </w:rPr>
              <w:t>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申报人签名</w:t>
            </w: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章</w:t>
            </w: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)</w:t>
            </w:r>
          </w:p>
        </w:tc>
        <w:tc>
          <w:tcPr>
            <w:tcW w:w="3833" w:type="dxa"/>
            <w:gridSpan w:val="8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965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申报材料提交日期</w:t>
            </w:r>
          </w:p>
        </w:tc>
        <w:tc>
          <w:tcPr>
            <w:tcW w:w="3201" w:type="dxa"/>
            <w:gridSpan w:val="9"/>
            <w:noWrap w:val="0"/>
            <w:vAlign w:val="center"/>
          </w:tcPr>
          <w:p>
            <w:pPr>
              <w:tabs>
                <w:tab w:val="right" w:pos="3156"/>
              </w:tabs>
              <w:spacing w:line="360" w:lineRule="auto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18"/>
                <w:lang w:val="en-US" w:eastAsia="zh-CN"/>
              </w:rPr>
              <w:t xml:space="preserve">  年    月    日</w:t>
            </w:r>
          </w:p>
        </w:tc>
      </w:tr>
    </w:tbl>
    <w:p>
      <w:pPr>
        <w:rPr>
          <w:rFonts w:hint="eastAsia" w:ascii="仿宋" w:hAnsi="仿宋" w:eastAsia="仿宋" w:cs="仿宋"/>
          <w:sz w:val="20"/>
          <w:szCs w:val="20"/>
        </w:rPr>
        <w:sectPr>
          <w:headerReference r:id="rId3" w:type="default"/>
          <w:footerReference r:id="rId4" w:type="default"/>
          <w:pgSz w:w="11906" w:h="16838"/>
          <w:pgMar w:top="1440" w:right="1440" w:bottom="1440" w:left="144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0"/>
          <w:szCs w:val="20"/>
        </w:rPr>
        <w:br w:type="page"/>
      </w:r>
    </w:p>
    <w:p>
      <w:pPr>
        <w:spacing w:line="420" w:lineRule="exact"/>
        <w:jc w:val="center"/>
        <w:rPr>
          <w:rFonts w:hint="eastAsia" w:ascii="仿宋" w:hAnsi="仿宋" w:eastAsia="仿宋" w:cs="仿宋"/>
          <w:b/>
          <w:bCs/>
          <w:sz w:val="36"/>
          <w:szCs w:val="32"/>
        </w:rPr>
      </w:pPr>
    </w:p>
    <w:p>
      <w:pPr>
        <w:spacing w:before="240"/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重庆市凡庄房地产有限公司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破产清算案</w:t>
      </w:r>
    </w:p>
    <w:p>
      <w:pPr>
        <w:spacing w:line="420" w:lineRule="exact"/>
        <w:jc w:val="center"/>
        <w:rPr>
          <w:rFonts w:hint="eastAsia" w:ascii="仿宋" w:hAnsi="仿宋" w:eastAsia="仿宋" w:cs="仿宋"/>
          <w:b/>
          <w:bCs/>
          <w:sz w:val="36"/>
          <w:szCs w:val="32"/>
        </w:rPr>
      </w:pPr>
    </w:p>
    <w:p>
      <w:pPr>
        <w:spacing w:before="240"/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债权计算清单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 w:cs="仿宋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 w:cs="仿宋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 w:cs="仿宋"/>
          <w:sz w:val="28"/>
          <w:szCs w:val="36"/>
          <w:u w:val="none"/>
        </w:rPr>
      </w:pPr>
      <w:r>
        <w:rPr>
          <w:rFonts w:ascii="仿宋" w:hAnsi="仿宋" w:eastAsia="仿宋" w:cs="仿宋"/>
          <w:sz w:val="28"/>
          <w:szCs w:val="36"/>
        </w:rPr>
        <w:t>以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 </w:t>
      </w:r>
      <w:r>
        <w:rPr>
          <w:rFonts w:ascii="仿宋" w:hAnsi="仿宋" w:eastAsia="仿宋" w:cs="仿宋"/>
          <w:sz w:val="28"/>
          <w:szCs w:val="36"/>
          <w:u w:val="none"/>
        </w:rPr>
        <w:t>为本金，从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    </w:t>
      </w:r>
      <w:r>
        <w:rPr>
          <w:rFonts w:ascii="仿宋" w:hAnsi="仿宋" w:eastAsia="仿宋" w:cs="仿宋"/>
          <w:sz w:val="28"/>
          <w:szCs w:val="36"/>
          <w:u w:val="none"/>
        </w:rPr>
        <w:t>年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</w:t>
      </w:r>
      <w:r>
        <w:rPr>
          <w:rFonts w:ascii="仿宋" w:hAnsi="仿宋" w:eastAsia="仿宋" w:cs="仿宋"/>
          <w:sz w:val="28"/>
          <w:szCs w:val="36"/>
          <w:u w:val="none"/>
        </w:rPr>
        <w:t>月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</w:t>
      </w:r>
      <w:r>
        <w:rPr>
          <w:rFonts w:ascii="仿宋" w:hAnsi="仿宋" w:eastAsia="仿宋" w:cs="仿宋"/>
          <w:sz w:val="28"/>
          <w:szCs w:val="36"/>
          <w:u w:val="none"/>
        </w:rPr>
        <w:t>日起，按照（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年 / 月 / 日 </w:t>
      </w:r>
      <w:r>
        <w:rPr>
          <w:rFonts w:ascii="仿宋" w:hAnsi="仿宋" w:eastAsia="仿宋" w:cs="仿宋"/>
          <w:sz w:val="28"/>
          <w:szCs w:val="36"/>
          <w:u w:val="none"/>
        </w:rPr>
        <w:t>）利率</w:t>
      </w:r>
      <w:r>
        <w:rPr>
          <w:rFonts w:ascii="仿宋" w:hAnsi="仿宋" w:eastAsia="仿宋" w:cs="仿宋"/>
          <w:sz w:val="24"/>
          <w:szCs w:val="32"/>
          <w:u w:val="single"/>
        </w:rPr>
        <w:t xml:space="preserve">    </w:t>
      </w:r>
      <w:r>
        <w:rPr>
          <w:rFonts w:ascii="仿宋" w:hAnsi="仿宋" w:eastAsia="仿宋" w:cs="仿宋"/>
          <w:sz w:val="28"/>
          <w:szCs w:val="36"/>
          <w:u w:val="none"/>
        </w:rPr>
        <w:t>%，计算至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    </w:t>
      </w:r>
      <w:r>
        <w:rPr>
          <w:rFonts w:ascii="仿宋" w:hAnsi="仿宋" w:eastAsia="仿宋" w:cs="仿宋"/>
          <w:sz w:val="28"/>
          <w:szCs w:val="36"/>
          <w:u w:val="none"/>
        </w:rPr>
        <w:t>年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</w:t>
      </w:r>
      <w:r>
        <w:rPr>
          <w:rFonts w:ascii="仿宋" w:hAnsi="仿宋" w:eastAsia="仿宋" w:cs="仿宋"/>
          <w:sz w:val="28"/>
          <w:szCs w:val="36"/>
          <w:u w:val="none"/>
        </w:rPr>
        <w:t>月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</w:t>
      </w:r>
      <w:r>
        <w:rPr>
          <w:rFonts w:ascii="仿宋" w:hAnsi="仿宋" w:eastAsia="仿宋" w:cs="仿宋"/>
          <w:sz w:val="28"/>
          <w:szCs w:val="36"/>
          <w:u w:val="none"/>
        </w:rPr>
        <w:t>日止，共计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                   </w:t>
      </w:r>
      <w:r>
        <w:rPr>
          <w:rFonts w:ascii="仿宋" w:hAnsi="仿宋" w:eastAsia="仿宋" w:cs="仿宋"/>
          <w:sz w:val="28"/>
          <w:szCs w:val="36"/>
          <w:u w:val="none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 w:cs="仿宋"/>
          <w:sz w:val="28"/>
          <w:szCs w:val="36"/>
          <w:u w:val="none"/>
        </w:rPr>
      </w:pPr>
      <w:r>
        <w:rPr>
          <w:rFonts w:ascii="仿宋" w:hAnsi="仿宋" w:eastAsia="仿宋" w:cs="仿宋"/>
          <w:sz w:val="28"/>
          <w:szCs w:val="36"/>
          <w:u w:val="none"/>
        </w:rPr>
        <w:t>以上利息的计算依据为</w:t>
      </w:r>
      <w:r>
        <w:rPr>
          <w:rFonts w:hint="eastAsia" w:ascii="仿宋" w:hAnsi="仿宋" w:eastAsia="仿宋" w:cs="仿宋"/>
          <w:sz w:val="28"/>
          <w:szCs w:val="36"/>
          <w:u w:val="none"/>
          <w:lang w:eastAsia="zh-CN"/>
        </w:rPr>
        <w:t>（法律依据或合同约定）</w:t>
      </w:r>
      <w:r>
        <w:rPr>
          <w:rFonts w:hint="default" w:ascii="仿宋" w:hAnsi="仿宋" w:eastAsia="仿宋" w:cs="仿宋"/>
          <w:sz w:val="28"/>
          <w:szCs w:val="36"/>
          <w:u w:val="none"/>
          <w:lang w:eastAsia="zh-CN"/>
        </w:rPr>
        <w:t>：</w:t>
      </w: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hint="eastAsia"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center"/>
        <w:textAlignment w:val="auto"/>
        <w:outlineLvl w:val="9"/>
        <w:rPr>
          <w:rFonts w:ascii="仿宋" w:hAnsi="仿宋" w:eastAsia="仿宋" w:cs="仿宋"/>
          <w:sz w:val="28"/>
          <w:szCs w:val="36"/>
          <w:u w:val="none"/>
        </w:rPr>
      </w:pPr>
      <w:r>
        <w:rPr>
          <w:rFonts w:hint="eastAsia" w:ascii="仿宋" w:hAnsi="仿宋" w:eastAsia="仿宋" w:cs="仿宋"/>
          <w:sz w:val="28"/>
          <w:szCs w:val="36"/>
          <w:u w:val="none"/>
        </w:rPr>
        <w:t>申报人（签名或盖章）：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right"/>
        <w:textAlignment w:val="auto"/>
        <w:outlineLvl w:val="9"/>
        <w:rPr>
          <w:rFonts w:ascii="仿宋" w:hAnsi="仿宋" w:eastAsia="仿宋" w:cs="仿宋"/>
          <w:sz w:val="28"/>
          <w:szCs w:val="36"/>
          <w:u w:val="none"/>
        </w:rPr>
      </w:pPr>
      <w:r>
        <w:rPr>
          <w:rFonts w:hint="eastAsia" w:ascii="仿宋" w:hAnsi="仿宋" w:eastAsia="仿宋" w:cs="仿宋"/>
          <w:sz w:val="28"/>
          <w:szCs w:val="36"/>
          <w:u w:val="none"/>
        </w:rPr>
        <w:t>年    月    日</w:t>
      </w:r>
    </w:p>
    <w:p>
      <w:pPr>
        <w:spacing w:line="420" w:lineRule="exact"/>
        <w:rPr>
          <w:rFonts w:hint="eastAsia" w:ascii="仿宋" w:hAnsi="仿宋" w:eastAsia="仿宋" w:cs="仿宋"/>
          <w:b/>
          <w:sz w:val="24"/>
          <w:szCs w:val="32"/>
        </w:rPr>
      </w:pPr>
    </w:p>
    <w:p>
      <w:pPr>
        <w:spacing w:line="420" w:lineRule="exact"/>
        <w:rPr>
          <w:rFonts w:hint="default" w:ascii="仿宋" w:hAnsi="仿宋" w:eastAsia="仿宋" w:cs="仿宋"/>
          <w:b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24"/>
          <w:szCs w:val="32"/>
        </w:rPr>
        <w:t>提示：</w:t>
      </w:r>
      <w:r>
        <w:rPr>
          <w:rFonts w:hint="default" w:ascii="仿宋" w:hAnsi="仿宋" w:eastAsia="仿宋" w:cs="仿宋"/>
          <w:b/>
          <w:sz w:val="24"/>
          <w:szCs w:val="32"/>
          <w:lang w:eastAsia="zh-CN"/>
        </w:rPr>
        <w:t>1.若无则不需填写；</w:t>
      </w:r>
    </w:p>
    <w:p>
      <w:pPr>
        <w:spacing w:line="420" w:lineRule="exact"/>
        <w:ind w:firstLine="723" w:firstLineChars="300"/>
        <w:rPr>
          <w:rFonts w:hint="eastAsia" w:ascii="仿宋" w:hAnsi="仿宋" w:eastAsia="仿宋" w:cs="仿宋"/>
          <w:b/>
          <w:sz w:val="24"/>
          <w:szCs w:val="32"/>
        </w:rPr>
      </w:pPr>
      <w:r>
        <w:rPr>
          <w:rFonts w:hint="default" w:ascii="仿宋" w:hAnsi="仿宋" w:eastAsia="仿宋" w:cs="仿宋"/>
          <w:b/>
          <w:sz w:val="24"/>
          <w:szCs w:val="32"/>
        </w:rPr>
        <w:t>2.</w:t>
      </w:r>
      <w:r>
        <w:rPr>
          <w:rFonts w:hint="eastAsia" w:ascii="仿宋" w:hAnsi="仿宋" w:eastAsia="仿宋" w:cs="仿宋"/>
          <w:b/>
          <w:sz w:val="24"/>
          <w:szCs w:val="32"/>
        </w:rPr>
        <w:t>利息</w:t>
      </w:r>
      <w:r>
        <w:rPr>
          <w:rFonts w:hint="eastAsia" w:ascii="仿宋" w:hAnsi="仿宋" w:eastAsia="仿宋" w:cs="仿宋"/>
          <w:b/>
          <w:sz w:val="24"/>
          <w:szCs w:val="32"/>
          <w:lang w:val="en-US" w:eastAsia="zh-CN"/>
        </w:rPr>
        <w:t>或</w:t>
      </w:r>
      <w:r>
        <w:rPr>
          <w:rFonts w:hint="eastAsia" w:ascii="仿宋" w:hAnsi="仿宋" w:eastAsia="仿宋" w:cs="仿宋"/>
          <w:b/>
          <w:sz w:val="24"/>
          <w:szCs w:val="32"/>
        </w:rPr>
        <w:t>违约金计算的截止日期为</w:t>
      </w:r>
      <w:r>
        <w:rPr>
          <w:rFonts w:hint="eastAsia" w:ascii="仿宋" w:hAnsi="仿宋" w:eastAsia="仿宋" w:cs="仿宋"/>
          <w:b/>
          <w:sz w:val="24"/>
          <w:szCs w:val="32"/>
          <w:lang w:val="en-US" w:eastAsia="zh-CN"/>
        </w:rPr>
        <w:t>破产清算受理日期（即</w:t>
      </w:r>
      <w:r>
        <w:rPr>
          <w:rFonts w:hint="eastAsia" w:ascii="仿宋" w:hAnsi="仿宋" w:eastAsia="仿宋" w:cs="仿宋"/>
          <w:b/>
          <w:sz w:val="24"/>
          <w:szCs w:val="32"/>
          <w:lang w:eastAsia="zh-CN"/>
        </w:rPr>
        <w:t>2024年1月29日）</w:t>
      </w:r>
      <w:r>
        <w:rPr>
          <w:rFonts w:hint="eastAsia" w:ascii="仿宋" w:hAnsi="仿宋" w:eastAsia="仿宋" w:cs="仿宋"/>
          <w:b/>
          <w:sz w:val="24"/>
          <w:szCs w:val="32"/>
        </w:rPr>
        <w:t>。请列出债权计算依据的合同名称与合同条款</w:t>
      </w:r>
      <w:r>
        <w:rPr>
          <w:rFonts w:hint="default" w:ascii="仿宋" w:hAnsi="仿宋" w:eastAsia="仿宋" w:cs="仿宋"/>
          <w:b/>
          <w:sz w:val="24"/>
          <w:szCs w:val="32"/>
        </w:rPr>
        <w:t>（或法律依据）</w:t>
      </w:r>
      <w:r>
        <w:rPr>
          <w:rFonts w:hint="eastAsia" w:ascii="仿宋" w:hAnsi="仿宋" w:eastAsia="仿宋" w:cs="仿宋"/>
          <w:b/>
          <w:sz w:val="24"/>
          <w:szCs w:val="32"/>
        </w:rPr>
        <w:t>，利息</w:t>
      </w:r>
      <w:r>
        <w:rPr>
          <w:rFonts w:hint="eastAsia" w:ascii="仿宋" w:hAnsi="仿宋" w:eastAsia="仿宋" w:cs="仿宋"/>
          <w:b/>
          <w:sz w:val="24"/>
          <w:szCs w:val="32"/>
          <w:lang w:val="en-US" w:eastAsia="zh-CN"/>
        </w:rPr>
        <w:t>或违约金的</w:t>
      </w:r>
      <w:r>
        <w:rPr>
          <w:rFonts w:hint="eastAsia" w:ascii="仿宋" w:hAnsi="仿宋" w:eastAsia="仿宋" w:cs="仿宋"/>
          <w:b/>
          <w:sz w:val="24"/>
          <w:szCs w:val="32"/>
        </w:rPr>
        <w:t>计算公式及详细计算步骤，否则有可能因为事实不清而导致无法确认。</w:t>
      </w:r>
    </w:p>
    <w:p>
      <w:pPr>
        <w:spacing w:line="420" w:lineRule="exact"/>
        <w:rPr>
          <w:rFonts w:hint="default" w:ascii="仿宋" w:hAnsi="仿宋" w:eastAsia="仿宋" w:cs="仿宋"/>
          <w:b/>
          <w:sz w:val="24"/>
          <w:szCs w:val="32"/>
          <w:lang w:eastAsia="zh-CN"/>
        </w:rPr>
      </w:pPr>
      <w:r>
        <w:rPr>
          <w:rFonts w:hint="default" w:ascii="仿宋" w:hAnsi="仿宋" w:eastAsia="仿宋" w:cs="仿宋"/>
          <w:b/>
          <w:sz w:val="24"/>
          <w:szCs w:val="32"/>
        </w:rPr>
        <w:t xml:space="preserve">      3.</w:t>
      </w:r>
      <w:r>
        <w:rPr>
          <w:rFonts w:hint="default" w:ascii="仿宋" w:hAnsi="仿宋" w:eastAsia="仿宋" w:cs="仿宋"/>
          <w:b/>
          <w:sz w:val="24"/>
          <w:szCs w:val="32"/>
          <w:lang w:eastAsia="zh-CN"/>
        </w:rPr>
        <w:t>若上表不能完全表达利息、违约金、滞纳金、资金占用费等费用计算过程的，债权人可以自行制作利息计算表。</w:t>
      </w:r>
    </w:p>
    <w:p>
      <w:pPr>
        <w:rPr>
          <w:rFonts w:hint="eastAsia" w:ascii="仿宋" w:hAnsi="仿宋" w:eastAsia="仿宋" w:cs="仿宋"/>
          <w:sz w:val="20"/>
          <w:szCs w:val="20"/>
        </w:rPr>
      </w:pPr>
      <w:r>
        <w:rPr>
          <w:rFonts w:hint="default" w:ascii="仿宋" w:hAnsi="仿宋" w:eastAsia="仿宋" w:cs="仿宋"/>
          <w:b/>
          <w:sz w:val="24"/>
          <w:szCs w:val="32"/>
          <w:lang w:eastAsia="zh-CN"/>
        </w:rPr>
        <w:br w:type="page"/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textAlignment w:val="auto"/>
        <w:rPr>
          <w:rFonts w:hint="eastAsia" w:ascii="黑体" w:hAnsi="黑体" w:eastAsia="黑体" w:cs="黑体"/>
          <w:b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/>
          <w:bCs w:val="0"/>
          <w:kern w:val="2"/>
          <w:sz w:val="44"/>
          <w:szCs w:val="44"/>
          <w:lang w:eastAsia="zh-CN" w:bidi="ar-SA"/>
        </w:rPr>
        <w:t>重庆市凡庄房地产有限公司</w:t>
      </w:r>
      <w:r>
        <w:rPr>
          <w:rFonts w:hint="eastAsia" w:ascii="黑体" w:hAnsi="黑体" w:eastAsia="黑体" w:cs="黑体"/>
          <w:b/>
          <w:bCs w:val="0"/>
          <w:kern w:val="2"/>
          <w:sz w:val="44"/>
          <w:szCs w:val="44"/>
          <w:lang w:val="en-US" w:eastAsia="zh-CN" w:bidi="ar-SA"/>
        </w:rPr>
        <w:t>破产清算案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distribute"/>
        <w:textAlignment w:val="auto"/>
        <w:rPr>
          <w:rFonts w:hint="eastAsia" w:ascii="宋体" w:hAnsi="宋体" w:cs="宋体"/>
          <w:b/>
          <w:bCs/>
          <w:spacing w:val="113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kern w:val="2"/>
          <w:sz w:val="44"/>
          <w:szCs w:val="44"/>
          <w:lang w:val="en-US" w:eastAsia="zh-CN" w:bidi="ar-SA"/>
        </w:rPr>
        <w:t>债权人送达地址及银行账户确认</w:t>
      </w:r>
      <w:r>
        <w:rPr>
          <w:rFonts w:hint="eastAsia" w:ascii="黑体" w:hAnsi="黑体" w:eastAsia="黑体" w:cs="黑体"/>
          <w:b/>
          <w:bCs w:val="0"/>
          <w:kern w:val="2"/>
          <w:sz w:val="44"/>
          <w:szCs w:val="44"/>
          <w:lang w:val="en-US" w:eastAsia="zh-Hans" w:bidi="ar-SA"/>
        </w:rPr>
        <w:t>书</w:t>
      </w:r>
    </w:p>
    <w:tbl>
      <w:tblPr>
        <w:tblStyle w:val="12"/>
        <w:tblW w:w="100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1041"/>
        <w:gridCol w:w="312"/>
        <w:gridCol w:w="867"/>
        <w:gridCol w:w="2349"/>
        <w:gridCol w:w="1134"/>
        <w:gridCol w:w="2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69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债权申报人名称或姓名</w:t>
            </w:r>
          </w:p>
        </w:tc>
        <w:tc>
          <w:tcPr>
            <w:tcW w:w="74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6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对债权申报人填写送达地址及银行账户确认书的告知事项</w:t>
            </w:r>
          </w:p>
        </w:tc>
        <w:tc>
          <w:tcPr>
            <w:tcW w:w="844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22" w:firstLineChars="200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1、为便于申报人及时收到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各项文书，保证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破产清算程序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顺利进行，申报人应当如实提供确切的送达地址（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送达地址包括邮寄地址、手机号码、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val="en-US" w:eastAsia="zh-CN"/>
              </w:rPr>
              <w:t>微信号、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电子邮箱地址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）；</w:t>
            </w:r>
          </w:p>
          <w:p>
            <w:pPr>
              <w:spacing w:line="300" w:lineRule="exact"/>
              <w:ind w:firstLine="422" w:firstLineChars="200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2、确认的送达地址适用于各个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破产清算程序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，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以及与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破产清算程序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相关的其他事项；</w:t>
            </w:r>
          </w:p>
          <w:p>
            <w:pPr>
              <w:spacing w:line="300" w:lineRule="exact"/>
              <w:ind w:firstLine="422" w:firstLineChars="200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3、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申报人同意，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可以通过短信、电子邮件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val="en-US" w:eastAsia="zh-CN"/>
              </w:rPr>
              <w:t>微信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等方式告知债权人会议的开会方式、通知与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eastAsia="zh-CN"/>
              </w:rPr>
              <w:t>破产清算程序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相关的其他事项、送达相关文件等，相关通知及文件到达受送达人特定系统即视为送达，申报人应注意提供准确的手机号码、电子邮箱地址；</w:t>
            </w:r>
          </w:p>
          <w:p>
            <w:pPr>
              <w:spacing w:line="300" w:lineRule="exact"/>
              <w:ind w:firstLine="422" w:firstLineChars="200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4、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破产清算案件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期间如果送达地址有变更，应当书面告知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变更后的送达地址；</w:t>
            </w:r>
          </w:p>
          <w:p>
            <w:pPr>
              <w:spacing w:line="300" w:lineRule="exact"/>
              <w:ind w:firstLine="422" w:firstLineChars="200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5、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如果提供的送达地址不准确，或不及时告知变更后的送达地址，使与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eastAsia="zh-CN"/>
              </w:rPr>
              <w:t>破产清算程序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相关的通知、文书无法送达或未及时送达的，自文书、材料等邮寄退回或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按照申报人提供的手机号码、电子邮箱进行发送但发送失败之日视为送达之日，申报人应承担由此引起的一切法律后果。</w:t>
            </w:r>
          </w:p>
          <w:p>
            <w:pPr>
              <w:spacing w:line="300" w:lineRule="exact"/>
              <w:ind w:firstLine="422" w:firstLineChars="200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6、为便于申报人受领债权分配，申报人应当如实向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提供准确的银行账户，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根据《分配方案》等转入申报人提供的银行账户的款项，视为申报人受领</w:t>
            </w:r>
            <w:r>
              <w:rPr>
                <w:rFonts w:hint="eastAsia" w:ascii="仿宋" w:hAnsi="仿宋" w:eastAsia="仿宋" w:cs="Calibri"/>
                <w:b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债权申报人送达地址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收件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地址</w:t>
            </w:r>
          </w:p>
        </w:tc>
        <w:tc>
          <w:tcPr>
            <w:tcW w:w="7088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收件人</w:t>
            </w:r>
          </w:p>
        </w:tc>
        <w:tc>
          <w:tcPr>
            <w:tcW w:w="321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电话</w:t>
            </w:r>
          </w:p>
        </w:tc>
        <w:tc>
          <w:tcPr>
            <w:tcW w:w="2738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2220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是否接受电子送达</w:t>
            </w:r>
          </w:p>
        </w:tc>
        <w:tc>
          <w:tcPr>
            <w:tcW w:w="6221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 xml:space="preserve">是               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微信号（必填）</w:t>
            </w:r>
          </w:p>
        </w:tc>
        <w:tc>
          <w:tcPr>
            <w:tcW w:w="7088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电子邮箱（必填）</w:t>
            </w:r>
          </w:p>
        </w:tc>
        <w:tc>
          <w:tcPr>
            <w:tcW w:w="7088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债权申报人银行账户</w:t>
            </w:r>
          </w:p>
        </w:tc>
        <w:tc>
          <w:tcPr>
            <w:tcW w:w="135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户名</w:t>
            </w:r>
          </w:p>
        </w:tc>
        <w:tc>
          <w:tcPr>
            <w:tcW w:w="708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  <w:jc w:val="center"/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</w:pPr>
          </w:p>
        </w:tc>
        <w:tc>
          <w:tcPr>
            <w:tcW w:w="135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账（卡）号</w:t>
            </w:r>
          </w:p>
        </w:tc>
        <w:tc>
          <w:tcPr>
            <w:tcW w:w="708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  <w:jc w:val="center"/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</w:pPr>
          </w:p>
        </w:tc>
        <w:tc>
          <w:tcPr>
            <w:tcW w:w="135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开户行</w:t>
            </w:r>
          </w:p>
        </w:tc>
        <w:tc>
          <w:tcPr>
            <w:tcW w:w="708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  <w:jc w:val="center"/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6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债权申报人对送达地址的确认</w:t>
            </w:r>
          </w:p>
        </w:tc>
        <w:tc>
          <w:tcPr>
            <w:tcW w:w="8441" w:type="dxa"/>
            <w:gridSpan w:val="6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firstLine="413" w:firstLineChars="196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我已经阅读（听明白）并同意</w:t>
            </w:r>
            <w:r>
              <w:rPr>
                <w:rFonts w:hint="eastAsia" w:ascii="仿宋" w:hAnsi="仿宋" w:eastAsia="仿宋"/>
                <w:b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</w:rPr>
              <w:t>对债权申报人填写送达地址及银行账户确认书的告知事项，并保证上述送达地址和银行账户是准确、有效的，如有不实或错误自行承担一切法律后果。</w:t>
            </w:r>
          </w:p>
          <w:p>
            <w:pPr>
              <w:spacing w:line="300" w:lineRule="exact"/>
              <w:ind w:left="1237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 xml:space="preserve">                   </w:t>
            </w:r>
          </w:p>
          <w:p>
            <w:pPr>
              <w:spacing w:line="300" w:lineRule="exact"/>
              <w:ind w:firstLine="2741" w:firstLineChars="1300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申报人签名、盖章或捺印：</w:t>
            </w:r>
          </w:p>
          <w:p>
            <w:pPr>
              <w:spacing w:line="300" w:lineRule="exact"/>
              <w:ind w:firstLine="437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300" w:lineRule="exact"/>
              <w:ind w:firstLine="437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 xml:space="preserve">                                                 年    月     日</w:t>
            </w:r>
          </w:p>
        </w:tc>
      </w:tr>
    </w:tbl>
    <w:p>
      <w:pPr>
        <w:spacing w:line="300" w:lineRule="exact"/>
        <w:rPr>
          <w:rFonts w:hint="eastAsia" w:ascii="仿宋" w:hAnsi="仿宋" w:eastAsia="仿宋"/>
          <w:b/>
          <w:bCs/>
          <w:szCs w:val="21"/>
          <w:lang w:val="en-US" w:eastAsia="zh-CN"/>
        </w:rPr>
      </w:pPr>
      <w:r>
        <w:rPr>
          <w:rFonts w:hint="eastAsia" w:ascii="仿宋" w:hAnsi="仿宋" w:eastAsia="仿宋"/>
          <w:b/>
          <w:bCs/>
          <w:szCs w:val="21"/>
        </w:rPr>
        <w:t>注：债权申报人填写本表前，应当仔细阅读表中告知栏内</w:t>
      </w:r>
      <w:r>
        <w:rPr>
          <w:rFonts w:hint="eastAsia" w:ascii="仿宋" w:hAnsi="仿宋" w:eastAsia="仿宋"/>
          <w:b/>
          <w:bCs/>
          <w:szCs w:val="21"/>
          <w:lang w:eastAsia="zh-CN"/>
        </w:rPr>
        <w:t>管理人</w:t>
      </w:r>
      <w:r>
        <w:rPr>
          <w:rFonts w:hint="eastAsia" w:ascii="仿宋" w:hAnsi="仿宋" w:eastAsia="仿宋"/>
          <w:b/>
          <w:bCs/>
          <w:szCs w:val="21"/>
        </w:rPr>
        <w:t>对申报人填写送达地址及银行账户确认书的告知事项</w:t>
      </w:r>
      <w:r>
        <w:rPr>
          <w:rFonts w:hint="eastAsia" w:ascii="仿宋" w:hAnsi="仿宋" w:eastAsia="仿宋"/>
          <w:b/>
          <w:bCs/>
          <w:szCs w:val="21"/>
          <w:lang w:eastAsia="zh-CN"/>
        </w:rPr>
        <w:t>。</w:t>
      </w:r>
    </w:p>
    <w:p>
      <w:pPr>
        <w:rPr>
          <w:rFonts w:hint="eastAsia" w:ascii="仿宋" w:hAnsi="仿宋" w:eastAsia="仿宋"/>
          <w:b/>
          <w:bCs/>
          <w:szCs w:val="21"/>
        </w:rPr>
      </w:pPr>
      <w:r>
        <w:rPr>
          <w:rFonts w:hint="eastAsia" w:ascii="仿宋" w:hAnsi="仿宋" w:eastAsia="仿宋"/>
          <w:b/>
          <w:bCs/>
          <w:szCs w:val="21"/>
        </w:rPr>
        <w:t xml:space="preserve"> </w:t>
      </w:r>
      <w:r>
        <w:rPr>
          <w:rFonts w:hint="eastAsia" w:ascii="仿宋" w:hAnsi="仿宋" w:eastAsia="仿宋"/>
          <w:b/>
          <w:bCs/>
          <w:szCs w:val="21"/>
        </w:rPr>
        <w:br w:type="page"/>
      </w:r>
    </w:p>
    <w:p>
      <w:pPr>
        <w:spacing w:before="240"/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44"/>
          <w:szCs w:val="44"/>
          <w:lang w:eastAsia="zh-CN"/>
        </w:rPr>
        <w:t>重庆市凡庄房地产有限公司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破产清算案</w:t>
      </w:r>
    </w:p>
    <w:p>
      <w:pPr>
        <w:spacing w:before="240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授 权 委 托 书</w:t>
      </w:r>
    </w:p>
    <w:p>
      <w:pPr>
        <w:spacing w:line="600" w:lineRule="exact"/>
        <w:jc w:val="center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（委托人为法人或其他组织）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委托人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名称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</w:t>
      </w:r>
      <w:r>
        <w:rPr>
          <w:rFonts w:hint="default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受托人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姓名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</w:t>
      </w:r>
      <w:r>
        <w:rPr>
          <w:rFonts w:hint="default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受托人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身份证号码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受托人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电话</w:t>
      </w:r>
      <w:r>
        <w:rPr>
          <w:rFonts w:hint="eastAsia" w:ascii="仿宋" w:hAnsi="仿宋" w:eastAsia="仿宋"/>
          <w:sz w:val="28"/>
          <w:szCs w:val="28"/>
        </w:rPr>
        <w:t>号码：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受托人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律师证号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" w:right="0" w:rightChars="0" w:firstLine="560" w:firstLineChars="200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" w:right="0" w:rightChars="0"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委托人在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重庆市凡庄房地产有限公司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破产清算</w:t>
      </w:r>
      <w:r>
        <w:rPr>
          <w:rFonts w:hint="eastAsia" w:ascii="仿宋" w:hAnsi="仿宋" w:eastAsia="仿宋"/>
          <w:sz w:val="28"/>
          <w:szCs w:val="28"/>
        </w:rPr>
        <w:t>一案中，</w:t>
      </w:r>
      <w:r>
        <w:rPr>
          <w:rFonts w:hint="default" w:ascii="仿宋" w:hAnsi="仿宋" w:eastAsia="仿宋"/>
          <w:sz w:val="28"/>
          <w:szCs w:val="28"/>
        </w:rPr>
        <w:t>特</w:t>
      </w:r>
      <w:r>
        <w:rPr>
          <w:rFonts w:hint="eastAsia" w:ascii="仿宋" w:hAnsi="仿宋" w:eastAsia="仿宋"/>
          <w:sz w:val="28"/>
          <w:szCs w:val="28"/>
        </w:rPr>
        <w:t>委托受托人担任本人的委托代理人，全权代为处理与该案相关的一切事务。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受托人的代理权限为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特别授权，包括但不限于：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代为申报债权；与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/>
          <w:b/>
          <w:bCs/>
          <w:sz w:val="28"/>
          <w:szCs w:val="28"/>
        </w:rPr>
        <w:t>核对债权（在核对过程中代为承认、变更、放弃债权）；代为签署、签收各项文书；根据《企业破产法》第五十八条第三款、第六十六条之规定，代为向人民法院提请诉讼、复议;受领债权分配等。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代理期限：自委托之日起至</w:t>
      </w:r>
      <w:r>
        <w:rPr>
          <w:rFonts w:hint="eastAsia" w:ascii="仿宋" w:hAnsi="仿宋" w:eastAsia="仿宋"/>
          <w:sz w:val="28"/>
          <w:szCs w:val="28"/>
          <w:lang w:eastAsia="zh-CN"/>
        </w:rPr>
        <w:t>破产清算案件</w:t>
      </w:r>
      <w:r>
        <w:rPr>
          <w:rFonts w:hint="eastAsia" w:ascii="仿宋" w:hAnsi="仿宋" w:eastAsia="仿宋"/>
          <w:sz w:val="28"/>
          <w:szCs w:val="28"/>
        </w:rPr>
        <w:t>终结之日止。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本授权委托禁止转委托，受托人一经变更，本委托书即作废。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2660" w:firstLineChars="950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2660" w:firstLineChars="950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委托人（盖章）：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</w:t>
      </w:r>
      <w:r>
        <w:rPr>
          <w:rFonts w:ascii="仿宋" w:hAnsi="仿宋" w:eastAsia="仿宋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2660" w:firstLineChars="950"/>
        <w:textAlignment w:val="auto"/>
        <w:outlineLvl w:val="9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法定代表人或负责人（签字）：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2660" w:firstLineChars="950"/>
        <w:jc w:val="both"/>
        <w:textAlignment w:val="auto"/>
        <w:outlineLvl w:val="9"/>
        <w:rPr>
          <w:rFonts w:hint="eastAsia" w:ascii="仿宋" w:hAnsi="仿宋" w:eastAsia="仿宋"/>
          <w:b w:val="0"/>
          <w:bCs w:val="0"/>
          <w:sz w:val="28"/>
          <w:szCs w:val="28"/>
          <w:u w:val="none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2660" w:firstLineChars="950"/>
        <w:jc w:val="both"/>
        <w:textAlignment w:val="auto"/>
        <w:outlineLvl w:val="9"/>
        <w:rPr>
          <w:rFonts w:hint="eastAsia" w:ascii="仿宋" w:hAnsi="仿宋" w:eastAsia="仿宋"/>
          <w:b w:val="0"/>
          <w:bCs w:val="0"/>
          <w:sz w:val="28"/>
          <w:szCs w:val="28"/>
          <w:u w:val="single"/>
          <w:lang w:val="en-US" w:eastAsia="zh-Hans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u w:val="none"/>
          <w:lang w:val="en-US" w:eastAsia="zh-Hans"/>
        </w:rPr>
        <w:t>受托人（签字）：</w:t>
      </w:r>
      <w:r>
        <w:rPr>
          <w:rFonts w:hint="default" w:ascii="仿宋" w:hAnsi="仿宋" w:eastAsia="仿宋"/>
          <w:b w:val="0"/>
          <w:bCs w:val="0"/>
          <w:sz w:val="28"/>
          <w:szCs w:val="28"/>
          <w:u w:val="single"/>
          <w:lang w:eastAsia="zh-Hans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6720" w:firstLineChars="2400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/>
        <w:textAlignment w:val="auto"/>
        <w:outlineLvl w:val="9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附：1、委托人营业执照复印件、法定代表人身份证复印件、法定代表人身份证明书各一份；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2" w:firstLineChars="200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2、受托人身份证复印件一份（受托人为执业律师的提交律师事务所指派函和执业证复印件）；</w:t>
      </w:r>
    </w:p>
    <w:p>
      <w:pPr>
        <w:spacing w:before="240"/>
        <w:jc w:val="center"/>
        <w:rPr>
          <w:rFonts w:hint="eastAsia" w:ascii="黑体" w:hAnsi="黑体" w:eastAsia="黑体" w:cs="黑体"/>
          <w:b/>
          <w:bCs w:val="0"/>
          <w:sz w:val="44"/>
          <w:szCs w:val="44"/>
          <w:lang w:val="en-US" w:eastAsia="zh-CN"/>
        </w:rPr>
      </w:pPr>
    </w:p>
    <w:p>
      <w:pPr>
        <w:spacing w:before="240"/>
        <w:jc w:val="center"/>
        <w:rPr>
          <w:rFonts w:hint="default" w:ascii="黑体" w:hAnsi="黑体" w:eastAsia="黑体" w:cs="黑体"/>
          <w:b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 w:val="0"/>
          <w:sz w:val="44"/>
          <w:szCs w:val="44"/>
          <w:lang w:eastAsia="zh-CN"/>
        </w:rPr>
        <w:t>重庆市凡庄房地产有限公司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破产清算案</w:t>
      </w:r>
    </w:p>
    <w:p>
      <w:pPr>
        <w:spacing w:before="240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default" w:ascii="黑体" w:hAnsi="黑体" w:eastAsia="黑体" w:cs="黑体"/>
          <w:b/>
          <w:sz w:val="44"/>
          <w:szCs w:val="44"/>
          <w:lang w:eastAsia="zh-CN"/>
        </w:rPr>
        <w:t>债权申报</w:t>
      </w:r>
      <w:r>
        <w:rPr>
          <w:rFonts w:hint="default" w:ascii="华文中宋" w:hAnsi="华文中宋" w:eastAsia="华文中宋" w:cs="华文中宋"/>
          <w:b/>
          <w:sz w:val="44"/>
          <w:szCs w:val="44"/>
          <w:lang w:eastAsia="zh-CN"/>
        </w:rPr>
        <w:t xml:space="preserve"> </w:t>
      </w:r>
      <w:r>
        <w:rPr>
          <w:rFonts w:hint="eastAsia" w:ascii="黑体" w:hAnsi="黑体" w:eastAsia="黑体" w:cs="黑体"/>
          <w:b/>
          <w:sz w:val="44"/>
          <w:szCs w:val="44"/>
        </w:rPr>
        <w:t>法定代表人身份证明书</w:t>
      </w:r>
    </w:p>
    <w:p>
      <w:pPr>
        <w:spacing w:before="240" w:after="240"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before="240" w:after="240"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兹证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同志，身份证号码：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>，系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公司法定代表人，职务为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ind w:firstLine="3520" w:firstLineChars="1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单位（盖章）：</w:t>
      </w:r>
    </w:p>
    <w:p>
      <w:pPr>
        <w:ind w:firstLine="5760" w:firstLineChars="18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 月   日</w:t>
      </w:r>
    </w:p>
    <w:p>
      <w:pPr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tbl>
      <w:tblPr>
        <w:tblStyle w:val="12"/>
        <w:tblW w:w="980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4"/>
        <w:gridCol w:w="2040"/>
        <w:gridCol w:w="49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86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1"/>
              </w:rPr>
              <w:t>法定代表人</w:t>
            </w:r>
          </w:p>
        </w:tc>
        <w:tc>
          <w:tcPr>
            <w:tcW w:w="694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1"/>
              </w:rPr>
              <w:t>签    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864" w:type="dxa"/>
            <w:vMerge w:val="continue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仿宋" w:hAnsi="仿宋" w:eastAsia="仿宋"/>
                <w:color w:val="000000"/>
                <w:sz w:val="24"/>
                <w:szCs w:val="21"/>
              </w:rPr>
            </w:pPr>
          </w:p>
        </w:tc>
        <w:tc>
          <w:tcPr>
            <w:tcW w:w="694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1"/>
              </w:rPr>
              <w:t>联系电话：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864" w:type="dxa"/>
            <w:vMerge w:val="continue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仿宋" w:hAnsi="仿宋" w:eastAsia="仿宋"/>
                <w:color w:val="000000"/>
                <w:sz w:val="24"/>
                <w:szCs w:val="21"/>
              </w:rPr>
            </w:pPr>
          </w:p>
        </w:tc>
        <w:tc>
          <w:tcPr>
            <w:tcW w:w="694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 w:val="24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1"/>
              </w:rPr>
              <w:t>通讯地址：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  <w:jc w:val="center"/>
        </w:trPr>
        <w:tc>
          <w:tcPr>
            <w:tcW w:w="4904" w:type="dxa"/>
            <w:gridSpan w:val="2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default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法定代表人身份证</w:t>
            </w:r>
            <w:r>
              <w:rPr>
                <w:rFonts w:hint="default" w:ascii="仿宋" w:hAnsi="仿宋" w:eastAsia="仿宋"/>
                <w:color w:val="000000"/>
                <w:szCs w:val="21"/>
              </w:rPr>
              <w:t>正面【头像面】</w:t>
            </w:r>
          </w:p>
          <w:p>
            <w:pPr>
              <w:spacing w:before="156" w:beforeLines="5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复印件粘贴处</w:t>
            </w:r>
          </w:p>
        </w:tc>
        <w:tc>
          <w:tcPr>
            <w:tcW w:w="4904" w:type="dxa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before="156" w:beforeLines="50"/>
              <w:jc w:val="center"/>
              <w:rPr>
                <w:rFonts w:hint="default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法定代表人身份证</w:t>
            </w:r>
            <w:r>
              <w:rPr>
                <w:rFonts w:hint="default" w:ascii="仿宋" w:hAnsi="仿宋" w:eastAsia="仿宋"/>
                <w:color w:val="000000"/>
                <w:szCs w:val="21"/>
              </w:rPr>
              <w:t>反面【国徽面】</w:t>
            </w:r>
          </w:p>
          <w:p>
            <w:pPr>
              <w:spacing w:before="156" w:beforeLines="5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复印件粘贴处</w:t>
            </w:r>
          </w:p>
          <w:p>
            <w:pPr>
              <w:spacing w:before="156" w:beforeLines="5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500" w:lineRule="exact"/>
        <w:jc w:val="center"/>
        <w:textAlignment w:val="auto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重庆市凡庄房地产有限公司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破产清算案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500" w:lineRule="exact"/>
        <w:jc w:val="center"/>
        <w:textAlignment w:val="auto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债权申报文件清单</w:t>
      </w:r>
    </w:p>
    <w:tbl>
      <w:tblPr>
        <w:tblStyle w:val="12"/>
        <w:tblW w:w="9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2350"/>
        <w:gridCol w:w="2410"/>
        <w:gridCol w:w="708"/>
        <w:gridCol w:w="709"/>
        <w:gridCol w:w="2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219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债权申报人名称或姓名：</w:t>
            </w:r>
          </w:p>
        </w:tc>
        <w:tc>
          <w:tcPr>
            <w:tcW w:w="6431" w:type="dxa"/>
            <w:gridSpan w:val="4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629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申报债权文件目录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份数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页数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原件或复印件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1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□债权申报表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原</w:t>
            </w:r>
            <w:r>
              <w:rPr>
                <w:rFonts w:hint="default" w:ascii="仿宋" w:hAnsi="仿宋" w:eastAsia="仿宋"/>
                <w:b/>
                <w:bCs/>
                <w:szCs w:val="21"/>
                <w:lang w:eastAsia="zh-Hans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2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□送达地址及银行账户确认书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原</w:t>
            </w:r>
            <w:r>
              <w:rPr>
                <w:rFonts w:hint="default" w:ascii="仿宋" w:hAnsi="仿宋" w:eastAsia="仿宋"/>
                <w:b/>
                <w:bCs/>
                <w:szCs w:val="21"/>
                <w:lang w:eastAsia="zh-Hans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3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□营业执照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4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□法定代表人身份证明书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原</w:t>
            </w:r>
            <w:r>
              <w:rPr>
                <w:rFonts w:hint="default" w:ascii="仿宋" w:hAnsi="仿宋" w:eastAsia="仿宋"/>
                <w:b/>
                <w:bCs/>
                <w:szCs w:val="21"/>
                <w:lang w:eastAsia="zh-Hans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5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□法定代表人身份证复印件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6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□授权委托书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原</w:t>
            </w:r>
            <w:r>
              <w:rPr>
                <w:rFonts w:hint="default" w:ascii="仿宋" w:hAnsi="仿宋" w:eastAsia="仿宋"/>
                <w:b/>
                <w:bCs/>
                <w:szCs w:val="21"/>
                <w:lang w:eastAsia="zh-Hans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7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代理人身份证明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文件</w:t>
            </w:r>
          </w:p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（如身份证、律师证、所函等）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8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9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10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11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12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13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650" w:type="dxa"/>
            <w:gridSpan w:val="6"/>
            <w:noWrap w:val="0"/>
            <w:vAlign w:val="top"/>
          </w:tcPr>
          <w:p>
            <w:pPr>
              <w:spacing w:before="156" w:beforeLines="50" w:after="156" w:afterLines="50"/>
              <w:ind w:firstLine="413" w:firstLineChars="196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提交人应确保本次提交的所有申报债权文件与原件一致，不存在变造、伪造等情形，否则应承担由此产生的法律责任。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9650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提交人（签字或盖章）：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 接收人（签字）：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 xml:space="preserve">     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         </w:t>
            </w:r>
          </w:p>
          <w:p>
            <w:pPr>
              <w:spacing w:line="360" w:lineRule="auto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提交时间：    年  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月  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日          接收时间：    年   月   日</w:t>
            </w:r>
          </w:p>
        </w:tc>
      </w:tr>
    </w:tbl>
    <w:p>
      <w:pPr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br w:type="page"/>
      </w:r>
    </w:p>
    <w:p>
      <w:pPr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重庆市凡庄房地产有限公司破产清算案</w:t>
      </w: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诚信债权申报告知书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为维护司法秩序，保护公民、法人和其他组织合法权益，帮助债权人避免申报风险，减少不必要的损失，根据《中华人民共和国企业破产法</w:t>
      </w:r>
      <w:r>
        <w:rPr>
          <w:rFonts w:hint="eastAsia" w:ascii="仿宋" w:hAnsi="仿宋" w:eastAsia="仿宋" w:cs="仿宋"/>
          <w:szCs w:val="21"/>
          <w:lang w:eastAsia="zh-CN"/>
        </w:rPr>
        <w:t>》《</w:t>
      </w:r>
      <w:r>
        <w:rPr>
          <w:rFonts w:hint="eastAsia" w:ascii="仿宋" w:hAnsi="仿宋" w:eastAsia="仿宋" w:cs="仿宋"/>
          <w:szCs w:val="21"/>
        </w:rPr>
        <w:t>中华人民共和国刑法》以及最高人民法院、最高人民检察院《关于办理虚假诉讼刑事案件适用法律若干问题的解释》等规定，现将虚假申报风险告知如下：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一、申报债权时不得恶意串通、规避法律，不得损害国家利益、社会公共利益、第三人合法权益，不得以合法形式掩盖非法目的，如果因虚假申报而给债务人、其他债权人或任何第三人造成损害的，需承担相应的民事责任和其他法律责任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二、在破产案件审理过程中申报捏造的债权，妨害司法秩序或者严重侵害他人合法权益的，处三年以下有期徒刑、拘役或者管制，并处或者单处罚金；情节严重的，处三年以上七年以下有期徒刑，并处罚金。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单位犯前款罪的，对单位判处罚金，并对其直接负责的主管人员和其他直接责任人员，依照前款的规定处罚。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三、采取伪造证据、虚假陈述等手段，实施下列行为之一，捏造民事法律关系，虚构民事纠纷，向管理人申报债权的，应当认定为“在破产案件审理过程中申报捏造的债权”：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1.与他人恶意串通，捏造债权债务关系或以物抵债协议的；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2.与债务人、债务人的法定代表人、董事、监事、经理或者其他管理人员恶意串通，捏造公司、企业债务或者担保义务的；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3.与债务人及相关人员恶意串通，捏造债权或者对查封、扣押、冻结财产的优 先权、担保物权的；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4.隐瞒债务偿还情况导致债权金额虚增的；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5.以捏造的事实作出的仲裁裁决、公证债权文书或其他法律文书申报债权的；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6.其他依法应当被认定为捏造的债权。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四、代理人与他人通谋，代理虚假申报债权、故意作虚假证言，构成违法犯罪的，依法处理。 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</w:p>
    <w:p>
      <w:pPr>
        <w:widowControl/>
        <w:jc w:val="left"/>
        <w:rPr>
          <w:rFonts w:ascii="仿宋" w:hAnsi="仿宋" w:eastAsia="仿宋" w:cs="仿宋"/>
          <w:b/>
          <w:bCs/>
          <w:szCs w:val="21"/>
          <w:lang w:eastAsia="zh-Hans"/>
        </w:rPr>
      </w:pPr>
      <w:r>
        <w:rPr>
          <w:rFonts w:ascii="仿宋" w:hAnsi="仿宋" w:eastAsia="仿宋" w:cs="仿宋"/>
          <w:b/>
          <w:bCs/>
          <w:szCs w:val="21"/>
          <w:lang w:eastAsia="zh-Hans"/>
        </w:rPr>
        <w:br w:type="page"/>
      </w:r>
    </w:p>
    <w:p>
      <w:pPr>
        <w:jc w:val="left"/>
        <w:rPr>
          <w:rFonts w:ascii="仿宋" w:hAnsi="仿宋" w:eastAsia="仿宋" w:cs="仿宋"/>
          <w:b/>
          <w:bCs/>
          <w:szCs w:val="21"/>
          <w:lang w:eastAsia="zh-Hans"/>
        </w:rPr>
      </w:pPr>
    </w:p>
    <w:p>
      <w:pPr>
        <w:jc w:val="left"/>
        <w:rPr>
          <w:rFonts w:hint="default" w:ascii="仿宋" w:hAnsi="仿宋" w:eastAsia="仿宋" w:cs="仿宋"/>
          <w:b/>
          <w:bCs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 xml:space="preserve">          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重庆市凡庄房地产有限公司破产清算案</w:t>
      </w: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诚信债权申报承诺书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本人/本单位已仔细阅读《诚信债权申报告知书》，清楚并理解其内容。在此，本人/本单位郑重承诺：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一、本人/本单位保证提交债权申报的证据材料内容真实，不存在伪造、编造、隐匿证据等虚假情形。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二、本人/本单位保证在管理人债权审查、债权确认之诉（如提起）及其他一切破产程序相关活动中坚决杜绝虚假陈述、隐瞒关键事实、虚假申报、滥用诉权等不诚信申报行为的发生，并自愿配合管理人对于申报债权相关事实调查所可能提出的询问、补证程序，如有违反或隐瞒则自愿承担债权不被确认等不利后果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三、本人/本单位申报的债权不存在任何最高人民法院、最高人民检察院、公安部、司法部《关于办理非法放贷刑事案件若干问题的意见》规制的非法放贷及其他违法犯罪活动。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四、本人/本单位债权申报文书上的签名、印章真实，证据材料内容真实，且不存在任何《虚假申报债权法律风险告知书》中告知的“虚假申报”等违法违规情形。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五、若违反以上承诺，本人/本单位愿意承担相应的法律责任。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承诺人</w:t>
      </w:r>
      <w:r>
        <w:rPr>
          <w:rFonts w:hint="eastAsia" w:ascii="仿宋" w:hAnsi="仿宋" w:eastAsia="仿宋" w:cs="仿宋"/>
          <w:szCs w:val="21"/>
          <w:lang w:eastAsia="zh-CN"/>
        </w:rPr>
        <w:t>（</w:t>
      </w:r>
      <w:r>
        <w:rPr>
          <w:rFonts w:hint="eastAsia" w:ascii="仿宋" w:hAnsi="仿宋" w:eastAsia="仿宋" w:cs="仿宋"/>
          <w:szCs w:val="21"/>
        </w:rPr>
        <w:t>本人/本单位</w:t>
      </w:r>
      <w:r>
        <w:rPr>
          <w:rFonts w:hint="eastAsia" w:ascii="仿宋" w:hAnsi="仿宋" w:eastAsia="仿宋" w:cs="仿宋"/>
          <w:szCs w:val="21"/>
          <w:lang w:eastAsia="zh-CN"/>
        </w:rPr>
        <w:t>）</w:t>
      </w:r>
      <w:r>
        <w:rPr>
          <w:rFonts w:hint="eastAsia" w:ascii="仿宋" w:hAnsi="仿宋" w:eastAsia="仿宋" w:cs="仿宋"/>
          <w:szCs w:val="21"/>
        </w:rPr>
        <w:t xml:space="preserve">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承诺人</w:t>
      </w:r>
      <w:r>
        <w:rPr>
          <w:rFonts w:hint="eastAsia" w:ascii="仿宋" w:hAnsi="仿宋" w:eastAsia="仿宋" w:cs="仿宋"/>
          <w:szCs w:val="21"/>
          <w:lang w:eastAsia="zh-CN"/>
        </w:rPr>
        <w:t>（</w:t>
      </w:r>
      <w:r>
        <w:rPr>
          <w:rFonts w:hint="eastAsia" w:ascii="仿宋" w:hAnsi="仿宋" w:eastAsia="仿宋" w:cs="仿宋"/>
          <w:szCs w:val="21"/>
        </w:rPr>
        <w:t>委托代理人</w:t>
      </w:r>
      <w:r>
        <w:rPr>
          <w:rFonts w:hint="eastAsia" w:ascii="仿宋" w:hAnsi="仿宋" w:eastAsia="仿宋" w:cs="仿宋"/>
          <w:szCs w:val="21"/>
          <w:lang w:eastAsia="zh-CN"/>
        </w:rPr>
        <w:t>）</w:t>
      </w:r>
      <w:r>
        <w:rPr>
          <w:rFonts w:hint="eastAsia" w:ascii="仿宋" w:hAnsi="仿宋" w:eastAsia="仿宋" w:cs="仿宋"/>
          <w:szCs w:val="21"/>
        </w:rPr>
        <w:t xml:space="preserve">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签署时间： 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</w:p>
    <w:p>
      <w:pPr>
        <w:jc w:val="left"/>
        <w:rPr>
          <w:rFonts w:ascii="仿宋" w:hAnsi="仿宋" w:eastAsia="仿宋" w:cs="仿宋"/>
          <w:b/>
          <w:bCs/>
          <w:szCs w:val="21"/>
          <w:lang w:eastAsia="zh-Hans"/>
        </w:rPr>
      </w:pPr>
    </w:p>
    <w:p>
      <w:pPr>
        <w:widowControl/>
        <w:jc w:val="left"/>
        <w:rPr>
          <w:rFonts w:hint="eastAsia" w:eastAsia="仿宋"/>
          <w:lang w:eastAsia="zh-CN"/>
        </w:rPr>
      </w:pPr>
    </w:p>
    <w:sectPr>
      <w:pgSz w:w="11906" w:h="16838"/>
      <w:pgMar w:top="1440" w:right="1440" w:bottom="144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6318"/>
        <w:tab w:val="clear" w:pos="4153"/>
      </w:tabs>
    </w:pPr>
    <w:r>
      <w:tab/>
    </w:r>
  </w:p>
  <w:p>
    <w:pPr>
      <w:pStyle w:val="7"/>
      <w:pBdr>
        <w:bottom w:val="none" w:color="auto" w:sz="0" w:space="1"/>
      </w:pBdr>
      <w:tabs>
        <w:tab w:val="left" w:pos="6318"/>
        <w:tab w:val="clear" w:pos="4153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zODNjMGI2OGMwMmM2YzkyODdiNmY1OTY5ZGEzZmEifQ=="/>
  </w:docVars>
  <w:rsids>
    <w:rsidRoot w:val="00172A27"/>
    <w:rsid w:val="00005ABE"/>
    <w:rsid w:val="000120FC"/>
    <w:rsid w:val="00046F61"/>
    <w:rsid w:val="00061621"/>
    <w:rsid w:val="0006717E"/>
    <w:rsid w:val="00081920"/>
    <w:rsid w:val="00082467"/>
    <w:rsid w:val="00082B06"/>
    <w:rsid w:val="00085E9F"/>
    <w:rsid w:val="00096418"/>
    <w:rsid w:val="000E0C2F"/>
    <w:rsid w:val="000E43E2"/>
    <w:rsid w:val="000F2E39"/>
    <w:rsid w:val="001009C2"/>
    <w:rsid w:val="001066EF"/>
    <w:rsid w:val="00112D7E"/>
    <w:rsid w:val="00143156"/>
    <w:rsid w:val="00153FC9"/>
    <w:rsid w:val="00154756"/>
    <w:rsid w:val="00161038"/>
    <w:rsid w:val="00174EE3"/>
    <w:rsid w:val="001810E0"/>
    <w:rsid w:val="001927F1"/>
    <w:rsid w:val="001C5406"/>
    <w:rsid w:val="001D698D"/>
    <w:rsid w:val="0020495C"/>
    <w:rsid w:val="00206578"/>
    <w:rsid w:val="00230C84"/>
    <w:rsid w:val="002335E5"/>
    <w:rsid w:val="00245C74"/>
    <w:rsid w:val="002822AD"/>
    <w:rsid w:val="00284379"/>
    <w:rsid w:val="00291EF0"/>
    <w:rsid w:val="002B3FD9"/>
    <w:rsid w:val="002C75DB"/>
    <w:rsid w:val="002C7A7C"/>
    <w:rsid w:val="002D1684"/>
    <w:rsid w:val="002E6602"/>
    <w:rsid w:val="002F065B"/>
    <w:rsid w:val="002F47EF"/>
    <w:rsid w:val="002F4BAD"/>
    <w:rsid w:val="003047EA"/>
    <w:rsid w:val="00315CEC"/>
    <w:rsid w:val="003201F1"/>
    <w:rsid w:val="00321BFE"/>
    <w:rsid w:val="00326BD9"/>
    <w:rsid w:val="003356A8"/>
    <w:rsid w:val="00336E62"/>
    <w:rsid w:val="00346DD1"/>
    <w:rsid w:val="003528CD"/>
    <w:rsid w:val="003543BA"/>
    <w:rsid w:val="00383463"/>
    <w:rsid w:val="003836C3"/>
    <w:rsid w:val="00383D43"/>
    <w:rsid w:val="003861EF"/>
    <w:rsid w:val="00390C03"/>
    <w:rsid w:val="003B53C7"/>
    <w:rsid w:val="003B6CB2"/>
    <w:rsid w:val="003C13D6"/>
    <w:rsid w:val="003E720E"/>
    <w:rsid w:val="004018D9"/>
    <w:rsid w:val="00411E90"/>
    <w:rsid w:val="004347AF"/>
    <w:rsid w:val="00434B27"/>
    <w:rsid w:val="004409D7"/>
    <w:rsid w:val="004463DF"/>
    <w:rsid w:val="00461B5D"/>
    <w:rsid w:val="004717E7"/>
    <w:rsid w:val="004848BB"/>
    <w:rsid w:val="00492D57"/>
    <w:rsid w:val="004A6BA7"/>
    <w:rsid w:val="004C183F"/>
    <w:rsid w:val="004E12D7"/>
    <w:rsid w:val="004E499D"/>
    <w:rsid w:val="004E52F1"/>
    <w:rsid w:val="004F77E5"/>
    <w:rsid w:val="005067B2"/>
    <w:rsid w:val="00517548"/>
    <w:rsid w:val="005177A9"/>
    <w:rsid w:val="00537F9E"/>
    <w:rsid w:val="005476FD"/>
    <w:rsid w:val="00550FCE"/>
    <w:rsid w:val="00555DFB"/>
    <w:rsid w:val="005605AE"/>
    <w:rsid w:val="00574F53"/>
    <w:rsid w:val="00586C79"/>
    <w:rsid w:val="005B2694"/>
    <w:rsid w:val="005D1A7F"/>
    <w:rsid w:val="005E6814"/>
    <w:rsid w:val="005F4FCA"/>
    <w:rsid w:val="005F7296"/>
    <w:rsid w:val="0062352E"/>
    <w:rsid w:val="006572D9"/>
    <w:rsid w:val="006743F0"/>
    <w:rsid w:val="00690FAD"/>
    <w:rsid w:val="006922A4"/>
    <w:rsid w:val="006927EF"/>
    <w:rsid w:val="006961CA"/>
    <w:rsid w:val="006B1033"/>
    <w:rsid w:val="006B424B"/>
    <w:rsid w:val="006B4CD5"/>
    <w:rsid w:val="00701171"/>
    <w:rsid w:val="007162E9"/>
    <w:rsid w:val="00723130"/>
    <w:rsid w:val="00736640"/>
    <w:rsid w:val="00757ECF"/>
    <w:rsid w:val="00760CE6"/>
    <w:rsid w:val="00796133"/>
    <w:rsid w:val="007A1965"/>
    <w:rsid w:val="007A2707"/>
    <w:rsid w:val="007B7397"/>
    <w:rsid w:val="007D6B57"/>
    <w:rsid w:val="0081303B"/>
    <w:rsid w:val="0083406D"/>
    <w:rsid w:val="00836B4D"/>
    <w:rsid w:val="00836D9D"/>
    <w:rsid w:val="008435BD"/>
    <w:rsid w:val="008523C0"/>
    <w:rsid w:val="00855657"/>
    <w:rsid w:val="00860408"/>
    <w:rsid w:val="00864FB2"/>
    <w:rsid w:val="00871E5D"/>
    <w:rsid w:val="0088364C"/>
    <w:rsid w:val="0088744F"/>
    <w:rsid w:val="008A4957"/>
    <w:rsid w:val="008C464F"/>
    <w:rsid w:val="008D60F5"/>
    <w:rsid w:val="00910907"/>
    <w:rsid w:val="00936B8B"/>
    <w:rsid w:val="009504E7"/>
    <w:rsid w:val="00972ECF"/>
    <w:rsid w:val="00992CA8"/>
    <w:rsid w:val="009A5FAC"/>
    <w:rsid w:val="009D2209"/>
    <w:rsid w:val="009F5AB9"/>
    <w:rsid w:val="009F74C5"/>
    <w:rsid w:val="009F7F62"/>
    <w:rsid w:val="00A06D0B"/>
    <w:rsid w:val="00A15A61"/>
    <w:rsid w:val="00A311BE"/>
    <w:rsid w:val="00A33A9E"/>
    <w:rsid w:val="00A34DCE"/>
    <w:rsid w:val="00A72F01"/>
    <w:rsid w:val="00A80D39"/>
    <w:rsid w:val="00AB289C"/>
    <w:rsid w:val="00AC483E"/>
    <w:rsid w:val="00AD728B"/>
    <w:rsid w:val="00B11F2B"/>
    <w:rsid w:val="00B15939"/>
    <w:rsid w:val="00B16DDA"/>
    <w:rsid w:val="00B2297B"/>
    <w:rsid w:val="00B349DC"/>
    <w:rsid w:val="00B34DF0"/>
    <w:rsid w:val="00B42975"/>
    <w:rsid w:val="00B63E71"/>
    <w:rsid w:val="00B95866"/>
    <w:rsid w:val="00B977DE"/>
    <w:rsid w:val="00BC2D85"/>
    <w:rsid w:val="00BD0FCF"/>
    <w:rsid w:val="00BE5CEE"/>
    <w:rsid w:val="00BE619D"/>
    <w:rsid w:val="00BE698E"/>
    <w:rsid w:val="00C212CF"/>
    <w:rsid w:val="00C42DC5"/>
    <w:rsid w:val="00C4610A"/>
    <w:rsid w:val="00C6396B"/>
    <w:rsid w:val="00C739B6"/>
    <w:rsid w:val="00C87ED4"/>
    <w:rsid w:val="00C90570"/>
    <w:rsid w:val="00CC040C"/>
    <w:rsid w:val="00CC298F"/>
    <w:rsid w:val="00CC6170"/>
    <w:rsid w:val="00CD1C73"/>
    <w:rsid w:val="00CE3F3E"/>
    <w:rsid w:val="00CF0D37"/>
    <w:rsid w:val="00CF73C3"/>
    <w:rsid w:val="00D42986"/>
    <w:rsid w:val="00D42E32"/>
    <w:rsid w:val="00D43201"/>
    <w:rsid w:val="00D71135"/>
    <w:rsid w:val="00D80837"/>
    <w:rsid w:val="00DB4A45"/>
    <w:rsid w:val="00DB4E41"/>
    <w:rsid w:val="00DD7B3D"/>
    <w:rsid w:val="00DE01A5"/>
    <w:rsid w:val="00DE3EB3"/>
    <w:rsid w:val="00DF57DA"/>
    <w:rsid w:val="00DF6645"/>
    <w:rsid w:val="00E12110"/>
    <w:rsid w:val="00E4567D"/>
    <w:rsid w:val="00E92C80"/>
    <w:rsid w:val="00EA247D"/>
    <w:rsid w:val="00EA3C3E"/>
    <w:rsid w:val="00EC1A15"/>
    <w:rsid w:val="00EC214B"/>
    <w:rsid w:val="00ED546E"/>
    <w:rsid w:val="00ED6321"/>
    <w:rsid w:val="00EF12E4"/>
    <w:rsid w:val="00EF2961"/>
    <w:rsid w:val="00EF4937"/>
    <w:rsid w:val="00F03A33"/>
    <w:rsid w:val="00F1045C"/>
    <w:rsid w:val="00F1217C"/>
    <w:rsid w:val="00F4370E"/>
    <w:rsid w:val="00F47880"/>
    <w:rsid w:val="00F73EF5"/>
    <w:rsid w:val="00F74EA7"/>
    <w:rsid w:val="00FB3AFE"/>
    <w:rsid w:val="00FC4E1A"/>
    <w:rsid w:val="00FE228D"/>
    <w:rsid w:val="015D35CF"/>
    <w:rsid w:val="01E564EC"/>
    <w:rsid w:val="02C153E1"/>
    <w:rsid w:val="02FD6131"/>
    <w:rsid w:val="034A48B5"/>
    <w:rsid w:val="035F5D2A"/>
    <w:rsid w:val="03797018"/>
    <w:rsid w:val="03B86634"/>
    <w:rsid w:val="03BE04A3"/>
    <w:rsid w:val="043352D3"/>
    <w:rsid w:val="04D62207"/>
    <w:rsid w:val="05802745"/>
    <w:rsid w:val="059314A9"/>
    <w:rsid w:val="05DC7F58"/>
    <w:rsid w:val="06085010"/>
    <w:rsid w:val="064D1E96"/>
    <w:rsid w:val="06596B00"/>
    <w:rsid w:val="07CE08E1"/>
    <w:rsid w:val="07CE7437"/>
    <w:rsid w:val="07FFBDBE"/>
    <w:rsid w:val="089377E2"/>
    <w:rsid w:val="097A0FB6"/>
    <w:rsid w:val="09E42DA0"/>
    <w:rsid w:val="0AC71085"/>
    <w:rsid w:val="0B8360A1"/>
    <w:rsid w:val="0B941BE0"/>
    <w:rsid w:val="0BF55ABA"/>
    <w:rsid w:val="0C2514AF"/>
    <w:rsid w:val="0C90293A"/>
    <w:rsid w:val="0CA25505"/>
    <w:rsid w:val="0CA8457A"/>
    <w:rsid w:val="0CE30B23"/>
    <w:rsid w:val="0CFE7920"/>
    <w:rsid w:val="0D5770FE"/>
    <w:rsid w:val="0D9D4ADD"/>
    <w:rsid w:val="0DC40DBB"/>
    <w:rsid w:val="0DFF614D"/>
    <w:rsid w:val="0E4162A9"/>
    <w:rsid w:val="0E75783F"/>
    <w:rsid w:val="0EB51F6B"/>
    <w:rsid w:val="0F3D1845"/>
    <w:rsid w:val="0F532AE7"/>
    <w:rsid w:val="0F79619A"/>
    <w:rsid w:val="0FEB10D0"/>
    <w:rsid w:val="0FF10782"/>
    <w:rsid w:val="100C6C6E"/>
    <w:rsid w:val="102D642D"/>
    <w:rsid w:val="10381BC3"/>
    <w:rsid w:val="11D779A1"/>
    <w:rsid w:val="123755AC"/>
    <w:rsid w:val="12533300"/>
    <w:rsid w:val="12AA2F25"/>
    <w:rsid w:val="12E4705D"/>
    <w:rsid w:val="13290D96"/>
    <w:rsid w:val="134549C3"/>
    <w:rsid w:val="138549E6"/>
    <w:rsid w:val="13F850BF"/>
    <w:rsid w:val="14E438C4"/>
    <w:rsid w:val="15786986"/>
    <w:rsid w:val="158464AA"/>
    <w:rsid w:val="16560588"/>
    <w:rsid w:val="16A9357A"/>
    <w:rsid w:val="17E91EB3"/>
    <w:rsid w:val="18201B88"/>
    <w:rsid w:val="18374D74"/>
    <w:rsid w:val="186165FE"/>
    <w:rsid w:val="18972796"/>
    <w:rsid w:val="19A85CEB"/>
    <w:rsid w:val="1A031E9C"/>
    <w:rsid w:val="1A20229A"/>
    <w:rsid w:val="1A8353CD"/>
    <w:rsid w:val="1A8C7E5F"/>
    <w:rsid w:val="1A9C3220"/>
    <w:rsid w:val="1AB457F8"/>
    <w:rsid w:val="1AE8132C"/>
    <w:rsid w:val="1B2B7895"/>
    <w:rsid w:val="1BBB1472"/>
    <w:rsid w:val="1C56566A"/>
    <w:rsid w:val="1C573F60"/>
    <w:rsid w:val="1D354625"/>
    <w:rsid w:val="1F0444B0"/>
    <w:rsid w:val="1F622498"/>
    <w:rsid w:val="1F9B4098"/>
    <w:rsid w:val="1FEA7AA5"/>
    <w:rsid w:val="20103579"/>
    <w:rsid w:val="202D6F80"/>
    <w:rsid w:val="211F4427"/>
    <w:rsid w:val="21DB2FF0"/>
    <w:rsid w:val="22516837"/>
    <w:rsid w:val="23133121"/>
    <w:rsid w:val="236D6853"/>
    <w:rsid w:val="23793F8F"/>
    <w:rsid w:val="247A3A60"/>
    <w:rsid w:val="24DD5551"/>
    <w:rsid w:val="250057AD"/>
    <w:rsid w:val="25412C97"/>
    <w:rsid w:val="25E472C2"/>
    <w:rsid w:val="261934A8"/>
    <w:rsid w:val="26393115"/>
    <w:rsid w:val="26F746EA"/>
    <w:rsid w:val="275E434C"/>
    <w:rsid w:val="27A25D7C"/>
    <w:rsid w:val="28472FF5"/>
    <w:rsid w:val="28A06F51"/>
    <w:rsid w:val="291A0B7C"/>
    <w:rsid w:val="298639C3"/>
    <w:rsid w:val="2C330C48"/>
    <w:rsid w:val="2C716672"/>
    <w:rsid w:val="2C7706AA"/>
    <w:rsid w:val="2C7D3AF5"/>
    <w:rsid w:val="2CA54FAA"/>
    <w:rsid w:val="2CBA24E2"/>
    <w:rsid w:val="2D290FD2"/>
    <w:rsid w:val="2D4B75CE"/>
    <w:rsid w:val="2D995A14"/>
    <w:rsid w:val="2DB87F55"/>
    <w:rsid w:val="2DE63FEE"/>
    <w:rsid w:val="2E1310BD"/>
    <w:rsid w:val="2E543475"/>
    <w:rsid w:val="2E596AE1"/>
    <w:rsid w:val="2E93472E"/>
    <w:rsid w:val="2ECE0B70"/>
    <w:rsid w:val="2EF52116"/>
    <w:rsid w:val="2EF81C8C"/>
    <w:rsid w:val="2F7FFDAF"/>
    <w:rsid w:val="2F882571"/>
    <w:rsid w:val="2FBD1804"/>
    <w:rsid w:val="304D7C8D"/>
    <w:rsid w:val="30C96DB2"/>
    <w:rsid w:val="31156C94"/>
    <w:rsid w:val="31EE3864"/>
    <w:rsid w:val="320871FE"/>
    <w:rsid w:val="3215752B"/>
    <w:rsid w:val="329D2216"/>
    <w:rsid w:val="32ED68EC"/>
    <w:rsid w:val="330F0E67"/>
    <w:rsid w:val="33A7374F"/>
    <w:rsid w:val="33D40B24"/>
    <w:rsid w:val="33FDA4DB"/>
    <w:rsid w:val="35245F81"/>
    <w:rsid w:val="35357C34"/>
    <w:rsid w:val="35473AF8"/>
    <w:rsid w:val="356B364E"/>
    <w:rsid w:val="356FCAEB"/>
    <w:rsid w:val="36EA4D26"/>
    <w:rsid w:val="375E511C"/>
    <w:rsid w:val="3777E878"/>
    <w:rsid w:val="3782015D"/>
    <w:rsid w:val="37B03090"/>
    <w:rsid w:val="37E212FC"/>
    <w:rsid w:val="385E11F4"/>
    <w:rsid w:val="38A738E8"/>
    <w:rsid w:val="38C101BF"/>
    <w:rsid w:val="38CA5113"/>
    <w:rsid w:val="39272746"/>
    <w:rsid w:val="396008E9"/>
    <w:rsid w:val="398667D1"/>
    <w:rsid w:val="3A4033F1"/>
    <w:rsid w:val="3AA83C6B"/>
    <w:rsid w:val="3B0403DB"/>
    <w:rsid w:val="3B46630A"/>
    <w:rsid w:val="3B822B4B"/>
    <w:rsid w:val="3B9E07D8"/>
    <w:rsid w:val="3BD276BB"/>
    <w:rsid w:val="3C374839"/>
    <w:rsid w:val="3C6337C6"/>
    <w:rsid w:val="3D1D67A2"/>
    <w:rsid w:val="3D7DD650"/>
    <w:rsid w:val="3DABAB92"/>
    <w:rsid w:val="3DCE3807"/>
    <w:rsid w:val="3DFB6CBA"/>
    <w:rsid w:val="3E1D68F8"/>
    <w:rsid w:val="3E2C54EE"/>
    <w:rsid w:val="3EAE2125"/>
    <w:rsid w:val="3EE3086A"/>
    <w:rsid w:val="3EEB428C"/>
    <w:rsid w:val="3F323383"/>
    <w:rsid w:val="3F3F49A3"/>
    <w:rsid w:val="3F580D73"/>
    <w:rsid w:val="3F5909A6"/>
    <w:rsid w:val="3F7BF1E9"/>
    <w:rsid w:val="3FB139B6"/>
    <w:rsid w:val="3FDD5667"/>
    <w:rsid w:val="409E5B41"/>
    <w:rsid w:val="40DE2178"/>
    <w:rsid w:val="41551241"/>
    <w:rsid w:val="41CC61E9"/>
    <w:rsid w:val="42796E5E"/>
    <w:rsid w:val="42C17AA8"/>
    <w:rsid w:val="42D56CBA"/>
    <w:rsid w:val="43231657"/>
    <w:rsid w:val="435641B1"/>
    <w:rsid w:val="4399081C"/>
    <w:rsid w:val="43A87F22"/>
    <w:rsid w:val="43B40E40"/>
    <w:rsid w:val="445D6ACF"/>
    <w:rsid w:val="44D04A37"/>
    <w:rsid w:val="44EB34D2"/>
    <w:rsid w:val="452B0A15"/>
    <w:rsid w:val="45C342EC"/>
    <w:rsid w:val="45DD72C1"/>
    <w:rsid w:val="4600063E"/>
    <w:rsid w:val="46320E62"/>
    <w:rsid w:val="46392672"/>
    <w:rsid w:val="463D1EAF"/>
    <w:rsid w:val="46D25F00"/>
    <w:rsid w:val="473715E2"/>
    <w:rsid w:val="473C415D"/>
    <w:rsid w:val="47CFA720"/>
    <w:rsid w:val="47FD6ED4"/>
    <w:rsid w:val="480D16EC"/>
    <w:rsid w:val="482830E6"/>
    <w:rsid w:val="48544B1C"/>
    <w:rsid w:val="488D7AEF"/>
    <w:rsid w:val="49AA06EB"/>
    <w:rsid w:val="49B12DC9"/>
    <w:rsid w:val="49E47ECD"/>
    <w:rsid w:val="49F147E0"/>
    <w:rsid w:val="4A3249B6"/>
    <w:rsid w:val="4A537782"/>
    <w:rsid w:val="4A555991"/>
    <w:rsid w:val="4AB66C1B"/>
    <w:rsid w:val="4AE03272"/>
    <w:rsid w:val="4B0D1B26"/>
    <w:rsid w:val="4C707F26"/>
    <w:rsid w:val="4C965783"/>
    <w:rsid w:val="4CB678E0"/>
    <w:rsid w:val="4D687134"/>
    <w:rsid w:val="4DF861F7"/>
    <w:rsid w:val="4E1501C2"/>
    <w:rsid w:val="4F9E0136"/>
    <w:rsid w:val="4FF35932"/>
    <w:rsid w:val="500F5EAF"/>
    <w:rsid w:val="50ED3FE6"/>
    <w:rsid w:val="514D1BF9"/>
    <w:rsid w:val="51793126"/>
    <w:rsid w:val="51BF283B"/>
    <w:rsid w:val="51FF3E4C"/>
    <w:rsid w:val="5253576C"/>
    <w:rsid w:val="52772C43"/>
    <w:rsid w:val="527806D8"/>
    <w:rsid w:val="52881721"/>
    <w:rsid w:val="52EB1001"/>
    <w:rsid w:val="5314348C"/>
    <w:rsid w:val="53610AC9"/>
    <w:rsid w:val="53B122DF"/>
    <w:rsid w:val="53E9068E"/>
    <w:rsid w:val="54700FE9"/>
    <w:rsid w:val="54950A7A"/>
    <w:rsid w:val="54AB1CC8"/>
    <w:rsid w:val="54E5032E"/>
    <w:rsid w:val="5543698F"/>
    <w:rsid w:val="55B35DC3"/>
    <w:rsid w:val="55C07F81"/>
    <w:rsid w:val="56D154FF"/>
    <w:rsid w:val="56FF50A0"/>
    <w:rsid w:val="573D11D3"/>
    <w:rsid w:val="57AA5770"/>
    <w:rsid w:val="57FB64A3"/>
    <w:rsid w:val="583F69EB"/>
    <w:rsid w:val="585838D8"/>
    <w:rsid w:val="589C4562"/>
    <w:rsid w:val="59BE0DCA"/>
    <w:rsid w:val="59BF8C78"/>
    <w:rsid w:val="59D65C2F"/>
    <w:rsid w:val="59D87114"/>
    <w:rsid w:val="5A030238"/>
    <w:rsid w:val="5A4154B0"/>
    <w:rsid w:val="5ABB129E"/>
    <w:rsid w:val="5AC473EA"/>
    <w:rsid w:val="5B3F7264"/>
    <w:rsid w:val="5B615ECA"/>
    <w:rsid w:val="5B687FD5"/>
    <w:rsid w:val="5B7F36A8"/>
    <w:rsid w:val="5BA20619"/>
    <w:rsid w:val="5BB17353"/>
    <w:rsid w:val="5BB35B6E"/>
    <w:rsid w:val="5BBB1E52"/>
    <w:rsid w:val="5BEF03D4"/>
    <w:rsid w:val="5BEF078F"/>
    <w:rsid w:val="5BF60F87"/>
    <w:rsid w:val="5C705EEE"/>
    <w:rsid w:val="5CA71B53"/>
    <w:rsid w:val="5CA93F08"/>
    <w:rsid w:val="5CECA437"/>
    <w:rsid w:val="5D514385"/>
    <w:rsid w:val="5D8066CC"/>
    <w:rsid w:val="5DA565E7"/>
    <w:rsid w:val="5DC81A32"/>
    <w:rsid w:val="5E8473FA"/>
    <w:rsid w:val="5F366141"/>
    <w:rsid w:val="5F571B6B"/>
    <w:rsid w:val="5F6E0C25"/>
    <w:rsid w:val="5FD9E542"/>
    <w:rsid w:val="6017138B"/>
    <w:rsid w:val="60335E3F"/>
    <w:rsid w:val="612234D1"/>
    <w:rsid w:val="61285123"/>
    <w:rsid w:val="63CF6EA1"/>
    <w:rsid w:val="63ED4F8B"/>
    <w:rsid w:val="647B7D75"/>
    <w:rsid w:val="64A70BF7"/>
    <w:rsid w:val="64EA6C44"/>
    <w:rsid w:val="650E564A"/>
    <w:rsid w:val="65E82B0E"/>
    <w:rsid w:val="662709F9"/>
    <w:rsid w:val="66EE0196"/>
    <w:rsid w:val="67264F17"/>
    <w:rsid w:val="674D4D81"/>
    <w:rsid w:val="679F2515"/>
    <w:rsid w:val="67EC1CDF"/>
    <w:rsid w:val="6A186FCA"/>
    <w:rsid w:val="6A1F19CD"/>
    <w:rsid w:val="6A681CBB"/>
    <w:rsid w:val="6A732CB2"/>
    <w:rsid w:val="6B374168"/>
    <w:rsid w:val="6B7517E1"/>
    <w:rsid w:val="6B8E34E7"/>
    <w:rsid w:val="6BDB579B"/>
    <w:rsid w:val="6C7B1813"/>
    <w:rsid w:val="6D3BE5D6"/>
    <w:rsid w:val="6E341C9B"/>
    <w:rsid w:val="6E971C1E"/>
    <w:rsid w:val="6EA72231"/>
    <w:rsid w:val="6F0B44D3"/>
    <w:rsid w:val="6F38BAB6"/>
    <w:rsid w:val="6F7FF611"/>
    <w:rsid w:val="6F902B18"/>
    <w:rsid w:val="6FCD27F7"/>
    <w:rsid w:val="70365E0E"/>
    <w:rsid w:val="704D1D02"/>
    <w:rsid w:val="706276B2"/>
    <w:rsid w:val="70FC7A27"/>
    <w:rsid w:val="71545E99"/>
    <w:rsid w:val="7226155B"/>
    <w:rsid w:val="72534239"/>
    <w:rsid w:val="72557991"/>
    <w:rsid w:val="72604C52"/>
    <w:rsid w:val="728D644B"/>
    <w:rsid w:val="72A402D3"/>
    <w:rsid w:val="72BE60E4"/>
    <w:rsid w:val="72EC64C2"/>
    <w:rsid w:val="732C6C6B"/>
    <w:rsid w:val="73882E3B"/>
    <w:rsid w:val="73992328"/>
    <w:rsid w:val="742A79F1"/>
    <w:rsid w:val="748E7181"/>
    <w:rsid w:val="757F81F5"/>
    <w:rsid w:val="758B682C"/>
    <w:rsid w:val="75FDAEB2"/>
    <w:rsid w:val="761555CA"/>
    <w:rsid w:val="761C2240"/>
    <w:rsid w:val="76615ACB"/>
    <w:rsid w:val="766A297A"/>
    <w:rsid w:val="77674CC6"/>
    <w:rsid w:val="77801F87"/>
    <w:rsid w:val="77AC133B"/>
    <w:rsid w:val="77D7B94C"/>
    <w:rsid w:val="77E73E0A"/>
    <w:rsid w:val="78226555"/>
    <w:rsid w:val="785C2759"/>
    <w:rsid w:val="78AC69AA"/>
    <w:rsid w:val="78F16097"/>
    <w:rsid w:val="791C7871"/>
    <w:rsid w:val="794148A1"/>
    <w:rsid w:val="79747C90"/>
    <w:rsid w:val="797F3A44"/>
    <w:rsid w:val="7A475EE1"/>
    <w:rsid w:val="7A632182"/>
    <w:rsid w:val="7AD7309B"/>
    <w:rsid w:val="7B491548"/>
    <w:rsid w:val="7B4B2A16"/>
    <w:rsid w:val="7B5FF0CC"/>
    <w:rsid w:val="7BB157C5"/>
    <w:rsid w:val="7BBDD280"/>
    <w:rsid w:val="7BD1250A"/>
    <w:rsid w:val="7BDEF516"/>
    <w:rsid w:val="7BFB248A"/>
    <w:rsid w:val="7C522221"/>
    <w:rsid w:val="7DF86025"/>
    <w:rsid w:val="7E0247A3"/>
    <w:rsid w:val="7E440C28"/>
    <w:rsid w:val="7EAB65BD"/>
    <w:rsid w:val="7EB236CE"/>
    <w:rsid w:val="7EFD4805"/>
    <w:rsid w:val="7EFF008F"/>
    <w:rsid w:val="7F100663"/>
    <w:rsid w:val="7F2C7FDF"/>
    <w:rsid w:val="7F5F9D42"/>
    <w:rsid w:val="7F742A49"/>
    <w:rsid w:val="7F7F2667"/>
    <w:rsid w:val="7FA32681"/>
    <w:rsid w:val="7FCDEE36"/>
    <w:rsid w:val="7FD5EA5C"/>
    <w:rsid w:val="7FD939D3"/>
    <w:rsid w:val="7FEB3D1A"/>
    <w:rsid w:val="7FEDC6E7"/>
    <w:rsid w:val="8F6EDF5A"/>
    <w:rsid w:val="9EFBA091"/>
    <w:rsid w:val="A3AB0E25"/>
    <w:rsid w:val="B2E5A861"/>
    <w:rsid w:val="B5FF1099"/>
    <w:rsid w:val="B673DA25"/>
    <w:rsid w:val="BA37AEBF"/>
    <w:rsid w:val="BDF734DD"/>
    <w:rsid w:val="BEB441BF"/>
    <w:rsid w:val="BF77A23A"/>
    <w:rsid w:val="BFBFAACE"/>
    <w:rsid w:val="C2BE1AB5"/>
    <w:rsid w:val="CF5BD10C"/>
    <w:rsid w:val="DABDFE1E"/>
    <w:rsid w:val="DBDFB942"/>
    <w:rsid w:val="DBFDBE44"/>
    <w:rsid w:val="DF577562"/>
    <w:rsid w:val="E6ED5D10"/>
    <w:rsid w:val="E76FB124"/>
    <w:rsid w:val="E7F51FF0"/>
    <w:rsid w:val="E7F91843"/>
    <w:rsid w:val="EBFF208F"/>
    <w:rsid w:val="EFB75490"/>
    <w:rsid w:val="EFBBB6C3"/>
    <w:rsid w:val="EFFF1A7F"/>
    <w:rsid w:val="F2CB7629"/>
    <w:rsid w:val="F335C1FD"/>
    <w:rsid w:val="F3F716DE"/>
    <w:rsid w:val="F5DF7701"/>
    <w:rsid w:val="F65D368E"/>
    <w:rsid w:val="F6EBFCCF"/>
    <w:rsid w:val="F7FBFBEA"/>
    <w:rsid w:val="FB7A0F5D"/>
    <w:rsid w:val="FBFCDBEC"/>
    <w:rsid w:val="FC36E1A0"/>
    <w:rsid w:val="FC8BED90"/>
    <w:rsid w:val="FCDFCC07"/>
    <w:rsid w:val="FDFF0E74"/>
    <w:rsid w:val="FF9D9D14"/>
    <w:rsid w:val="FFB720F4"/>
    <w:rsid w:val="FFDD2358"/>
    <w:rsid w:val="FFDF2EEC"/>
    <w:rsid w:val="FFF42472"/>
    <w:rsid w:val="FFFA9C1F"/>
    <w:rsid w:val="FFFF6CAC"/>
    <w:rsid w:val="FFFF9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iPriority w:val="0"/>
    <w:pPr>
      <w:jc w:val="left"/>
    </w:pPr>
    <w:rPr>
      <w:rFonts w:ascii="Calibri" w:hAnsi="Calibri" w:eastAsia="宋体" w:cs="Times New Roman"/>
      <w:sz w:val="24"/>
      <w:szCs w:val="24"/>
    </w:rPr>
  </w:style>
  <w:style w:type="paragraph" w:styleId="3">
    <w:name w:val="Body Text"/>
    <w:basedOn w:val="1"/>
    <w:autoRedefine/>
    <w:uiPriority w:val="0"/>
    <w:pPr>
      <w:spacing w:afterLines="0" w:afterAutospacing="0"/>
      <w:ind w:firstLine="880" w:firstLineChars="200"/>
    </w:pPr>
  </w:style>
  <w:style w:type="paragraph" w:styleId="4">
    <w:name w:val="Body Text Indent"/>
    <w:basedOn w:val="1"/>
    <w:autoRedefine/>
    <w:uiPriority w:val="0"/>
    <w:pPr>
      <w:spacing w:after="120"/>
      <w:ind w:left="420" w:leftChars="200"/>
    </w:pPr>
  </w:style>
  <w:style w:type="paragraph" w:styleId="5">
    <w:name w:val="Balloon Text"/>
    <w:basedOn w:val="1"/>
    <w:link w:val="23"/>
    <w:autoRedefine/>
    <w:uiPriority w:val="0"/>
    <w:rPr>
      <w:rFonts w:ascii="Times New Roman" w:hAnsi="Times New Roman" w:eastAsia="宋体" w:cs="Times New Roman"/>
      <w:kern w:val="0"/>
      <w:sz w:val="16"/>
      <w:szCs w:val="16"/>
    </w:rPr>
  </w:style>
  <w:style w:type="paragraph" w:styleId="6">
    <w:name w:val="footer"/>
    <w:basedOn w:val="1"/>
    <w:link w:val="21"/>
    <w:autoRedefine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default"/>
      <w:sz w:val="18"/>
    </w:rPr>
  </w:style>
  <w:style w:type="paragraph" w:styleId="7">
    <w:name w:val="header"/>
    <w:basedOn w:val="1"/>
    <w:link w:val="20"/>
    <w:autoRedefine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8">
    <w:name w:val="footnote text"/>
    <w:basedOn w:val="1"/>
    <w:autoRedefine/>
    <w:uiPriority w:val="0"/>
    <w:pPr>
      <w:snapToGrid w:val="0"/>
      <w:jc w:val="left"/>
    </w:pPr>
    <w:rPr>
      <w:rFonts w:ascii="Calibri" w:hAnsi="Calibri" w:eastAsia="宋体" w:cs="Times New Roman"/>
      <w:sz w:val="18"/>
      <w:szCs w:val="24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10">
    <w:name w:val="Title"/>
    <w:basedOn w:val="1"/>
    <w:next w:val="1"/>
    <w:link w:val="24"/>
    <w:autoRedefine/>
    <w:qFormat/>
    <w:uiPriority w:val="0"/>
    <w:pPr>
      <w:spacing w:before="240" w:after="60"/>
      <w:jc w:val="center"/>
      <w:outlineLvl w:val="0"/>
    </w:pPr>
    <w:rPr>
      <w:rFonts w:ascii="等线 Light" w:hAnsi="等线 Light" w:eastAsia="宋体" w:cs="Times New Roman"/>
      <w:b/>
      <w:bCs/>
      <w:sz w:val="32"/>
      <w:szCs w:val="32"/>
    </w:rPr>
  </w:style>
  <w:style w:type="paragraph" w:styleId="11">
    <w:name w:val="Body Text First Indent 2"/>
    <w:basedOn w:val="4"/>
    <w:autoRedefine/>
    <w:uiPriority w:val="0"/>
    <w:pPr>
      <w:spacing w:after="0" w:line="300" w:lineRule="auto"/>
      <w:ind w:firstLine="420" w:firstLineChars="200"/>
    </w:pPr>
    <w:rPr>
      <w:szCs w:val="21"/>
    </w:rPr>
  </w:style>
  <w:style w:type="table" w:styleId="13">
    <w:name w:val="Table Grid"/>
    <w:basedOn w:val="12"/>
    <w:autoRedefine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footnote reference"/>
    <w:basedOn w:val="14"/>
    <w:autoRedefine/>
    <w:uiPriority w:val="0"/>
    <w:rPr>
      <w:rFonts w:ascii="Calibri" w:hAnsi="Calibri" w:eastAsia="宋体" w:cs="Times New Roman"/>
      <w:vertAlign w:val="superscript"/>
    </w:rPr>
  </w:style>
  <w:style w:type="paragraph" w:customStyle="1" w:styleId="16">
    <w:name w:val="一级标题"/>
    <w:basedOn w:val="3"/>
    <w:autoRedefine/>
    <w:qFormat/>
    <w:uiPriority w:val="0"/>
    <w:rPr>
      <w:rFonts w:eastAsia="黑体" w:asciiTheme="minorAscii" w:hAnsiTheme="minorAscii"/>
      <w:b/>
      <w:sz w:val="28"/>
    </w:rPr>
  </w:style>
  <w:style w:type="paragraph" w:customStyle="1" w:styleId="17">
    <w:name w:val="二级标题"/>
    <w:basedOn w:val="3"/>
    <w:autoRedefine/>
    <w:qFormat/>
    <w:uiPriority w:val="0"/>
    <w:rPr>
      <w:rFonts w:eastAsia="黑体" w:asciiTheme="minorAscii" w:hAnsiTheme="minorAscii"/>
      <w:b/>
      <w:sz w:val="24"/>
    </w:rPr>
  </w:style>
  <w:style w:type="paragraph" w:customStyle="1" w:styleId="18">
    <w:name w:val="三级标题"/>
    <w:basedOn w:val="3"/>
    <w:autoRedefine/>
    <w:qFormat/>
    <w:uiPriority w:val="0"/>
    <w:rPr>
      <w:rFonts w:eastAsia="宋体" w:asciiTheme="minorAscii" w:hAnsiTheme="minorAscii"/>
      <w:b/>
      <w:sz w:val="24"/>
    </w:rPr>
  </w:style>
  <w:style w:type="paragraph" w:customStyle="1" w:styleId="19">
    <w:name w:val="列出段落1"/>
    <w:basedOn w:val="1"/>
    <w:autoRedefine/>
    <w:qFormat/>
    <w:uiPriority w:val="99"/>
    <w:pPr>
      <w:widowControl w:val="0"/>
      <w:adjustRightInd/>
      <w:snapToGrid/>
      <w:ind w:firstLine="420"/>
    </w:pPr>
    <w:rPr>
      <w:rFonts w:ascii="Calibri" w:hAnsi="Calibri" w:eastAsia="宋体"/>
      <w:kern w:val="2"/>
      <w:sz w:val="21"/>
    </w:rPr>
  </w:style>
  <w:style w:type="character" w:customStyle="1" w:styleId="20">
    <w:name w:val="页眉 Char"/>
    <w:basedOn w:val="14"/>
    <w:link w:val="7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1">
    <w:name w:val="页脚 Char"/>
    <w:basedOn w:val="14"/>
    <w:link w:val="6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22">
    <w:name w:val="彩色列表 - 着色 1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23">
    <w:name w:val="批注框文本 Char"/>
    <w:link w:val="5"/>
    <w:autoRedefine/>
    <w:qFormat/>
    <w:uiPriority w:val="0"/>
    <w:rPr>
      <w:rFonts w:ascii="Times New Roman" w:hAnsi="Times New Roman" w:eastAsia="宋体" w:cs="Times New Roman"/>
      <w:sz w:val="16"/>
      <w:szCs w:val="0"/>
    </w:rPr>
  </w:style>
  <w:style w:type="character" w:customStyle="1" w:styleId="24">
    <w:name w:val="标题 Char"/>
    <w:link w:val="10"/>
    <w:autoRedefine/>
    <w:qFormat/>
    <w:uiPriority w:val="10"/>
    <w:rPr>
      <w:rFonts w:ascii="等线 Light" w:hAnsi="等线 Light" w:eastAsia="宋体" w:cs="Times New Roman"/>
      <w:b/>
      <w:bCs/>
      <w:kern w:val="2"/>
      <w:sz w:val="32"/>
      <w:szCs w:val="32"/>
    </w:rPr>
  </w:style>
  <w:style w:type="character" w:customStyle="1" w:styleId="25">
    <w:name w:val="Header Char1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Header Char"/>
    <w:autoRedefine/>
    <w:qFormat/>
    <w:uiPriority w:val="0"/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2023-10-27T01:54:00Z</dcterms:created>
  <dc:creator>Dan</dc:creator>
  <cp:lastModifiedBy>sunlei</cp:lastModifiedBy>
  <cp:lastPrinted>2021-04-19T02:36:00Z</cp:lastPrinted>
  <dcterms:modified xsi:type="dcterms:W3CDTF">2024-02-01T04:06:31Z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E4FA34AB1BBC4565B04D53AC550E29C6_13</vt:lpwstr>
  </property>
</Properties>
</file>