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after="0" w:line="480" w:lineRule="exact"/>
        <w:jc w:val="both"/>
        <w:textAlignment w:val="auto"/>
        <w:rPr>
          <w:rFonts w:hint="eastAsia" w:ascii="仿宋" w:hAnsi="仿宋" w:eastAsia="仿宋" w:cs="Times New Roman"/>
          <w:b/>
          <w:bCs/>
          <w:sz w:val="32"/>
          <w:szCs w:val="32"/>
        </w:rPr>
      </w:pPr>
    </w:p>
    <w:p>
      <w:pPr>
        <w:spacing w:before="127" w:line="222" w:lineRule="auto"/>
        <w:jc w:val="center"/>
        <w:rPr>
          <w:rFonts w:hint="eastAsia" w:ascii="楷体" w:hAnsi="楷体" w:eastAsia="楷体" w:cs="楷体"/>
          <w:sz w:val="72"/>
          <w:szCs w:val="72"/>
        </w:rPr>
      </w:pPr>
      <w:r>
        <w:rPr>
          <w:rFonts w:hint="eastAsia" w:ascii="楷体" w:hAnsi="楷体" w:eastAsia="楷体" w:cs="楷体"/>
          <w:b/>
          <w:bCs/>
          <w:spacing w:val="1"/>
          <w:w w:val="86"/>
          <w:kern w:val="0"/>
          <w:sz w:val="72"/>
          <w:szCs w:val="72"/>
          <w:fitText w:val="8136" w:id="1308179150"/>
          <w:lang w:val="en-US" w:eastAsia="zh-CN"/>
        </w:rPr>
        <w:t>阜阳市志翔汽车运输有限公</w:t>
      </w:r>
      <w:r>
        <w:rPr>
          <w:rFonts w:hint="eastAsia" w:ascii="楷体" w:hAnsi="楷体" w:eastAsia="楷体" w:cs="楷体"/>
          <w:b/>
          <w:bCs/>
          <w:spacing w:val="16"/>
          <w:w w:val="86"/>
          <w:kern w:val="0"/>
          <w:sz w:val="72"/>
          <w:szCs w:val="72"/>
          <w:fitText w:val="8136" w:id="1308179150"/>
          <w:lang w:val="en-US" w:eastAsia="zh-CN"/>
        </w:rPr>
        <w:t>司</w:t>
      </w:r>
    </w:p>
    <w:p>
      <w:pPr>
        <w:spacing w:line="249" w:lineRule="auto"/>
        <w:rPr>
          <w:rFonts w:ascii="Arial"/>
          <w:sz w:val="21"/>
        </w:rPr>
      </w:pPr>
    </w:p>
    <w:p>
      <w:pPr>
        <w:spacing w:line="250" w:lineRule="auto"/>
        <w:rPr>
          <w:rFonts w:ascii="Arial"/>
          <w:sz w:val="21"/>
        </w:rPr>
      </w:pPr>
    </w:p>
    <w:p>
      <w:pPr>
        <w:spacing w:before="127" w:line="222" w:lineRule="auto"/>
        <w:jc w:val="center"/>
        <w:rPr>
          <w:rFonts w:hint="eastAsia" w:ascii="楷体" w:hAnsi="楷体" w:eastAsia="楷体" w:cs="楷体"/>
          <w:b/>
          <w:bCs/>
          <w:spacing w:val="7616"/>
          <w:kern w:val="0"/>
          <w:sz w:val="52"/>
          <w:szCs w:val="52"/>
          <w:fitText w:val="8136" w:id="2147314963"/>
          <w:lang w:val="en-US" w:eastAsia="zh-CN"/>
        </w:rPr>
      </w:pPr>
      <w:r>
        <w:rPr>
          <w:rFonts w:hint="eastAsia" w:ascii="楷体" w:hAnsi="楷体" w:eastAsia="楷体" w:cs="楷体"/>
          <w:b/>
          <w:bCs/>
          <w:spacing w:val="312"/>
          <w:kern w:val="0"/>
          <w:sz w:val="52"/>
          <w:szCs w:val="52"/>
          <w:fitText w:val="3952" w:id="217546192"/>
          <w:lang w:val="en-US" w:eastAsia="zh-CN"/>
        </w:rPr>
        <w:t>重整计</w:t>
      </w:r>
      <w:r>
        <w:rPr>
          <w:rFonts w:hint="eastAsia" w:ascii="楷体" w:hAnsi="楷体" w:eastAsia="楷体" w:cs="楷体"/>
          <w:b/>
          <w:bCs/>
          <w:spacing w:val="0"/>
          <w:kern w:val="0"/>
          <w:sz w:val="52"/>
          <w:szCs w:val="52"/>
          <w:fitText w:val="3952" w:id="217546192"/>
          <w:lang w:val="en-US" w:eastAsia="zh-CN"/>
        </w:rPr>
        <w:t>划</w:t>
      </w:r>
    </w:p>
    <w:p>
      <w:pPr>
        <w:spacing w:before="127" w:line="222" w:lineRule="auto"/>
        <w:jc w:val="center"/>
        <w:rPr>
          <w:rFonts w:hint="eastAsia" w:ascii="楷体" w:hAnsi="楷体" w:eastAsia="楷体" w:cs="楷体"/>
          <w:b/>
          <w:bCs/>
          <w:spacing w:val="2"/>
          <w:w w:val="100"/>
          <w:kern w:val="0"/>
          <w:sz w:val="52"/>
          <w:szCs w:val="52"/>
          <w:fitText w:val="3588" w:id="1652718036"/>
          <w:lang w:val="en-US" w:eastAsia="zh-CN"/>
        </w:rPr>
      </w:pPr>
      <w:r>
        <w:rPr>
          <w:rFonts w:hint="eastAsia" w:ascii="楷体" w:hAnsi="楷体" w:eastAsia="楷体" w:cs="楷体"/>
          <w:b/>
          <w:bCs/>
          <w:spacing w:val="405"/>
          <w:w w:val="100"/>
          <w:kern w:val="0"/>
          <w:sz w:val="52"/>
          <w:szCs w:val="52"/>
          <w:fitText w:val="3588" w:id="1952920433"/>
          <w:lang w:val="en-US" w:eastAsia="zh-CN"/>
        </w:rPr>
        <w:t>(草案</w:t>
      </w:r>
      <w:r>
        <w:rPr>
          <w:rFonts w:hint="eastAsia" w:ascii="楷体" w:hAnsi="楷体" w:eastAsia="楷体" w:cs="楷体"/>
          <w:b/>
          <w:bCs/>
          <w:spacing w:val="3"/>
          <w:w w:val="100"/>
          <w:kern w:val="0"/>
          <w:sz w:val="52"/>
          <w:szCs w:val="52"/>
          <w:fitText w:val="3588" w:id="1952920433"/>
          <w:lang w:val="en-US" w:eastAsia="zh-CN"/>
        </w:rPr>
        <w:t>)</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bookmarkStart w:id="6" w:name="_GoBack"/>
      <w:bookmarkEnd w:id="6"/>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91" w:line="222" w:lineRule="auto"/>
        <w:jc w:val="center"/>
        <w:rPr>
          <w:rFonts w:hint="eastAsia" w:ascii="楷体" w:hAnsi="楷体" w:eastAsia="楷体" w:cs="楷体"/>
          <w:b/>
          <w:bCs/>
          <w:spacing w:val="10"/>
          <w:sz w:val="36"/>
          <w:szCs w:val="36"/>
        </w:rPr>
      </w:pPr>
      <w:r>
        <w:rPr>
          <w:rFonts w:hint="eastAsia" w:ascii="楷体" w:hAnsi="楷体" w:eastAsia="楷体" w:cs="楷体"/>
          <w:b/>
          <w:bCs/>
          <w:spacing w:val="10"/>
          <w:sz w:val="36"/>
          <w:szCs w:val="36"/>
          <w:lang w:val="en-US" w:eastAsia="zh-CN"/>
        </w:rPr>
        <w:t>阜阳市志翔汽车运输有限公司</w:t>
      </w:r>
      <w:r>
        <w:rPr>
          <w:rFonts w:hint="eastAsia" w:ascii="楷体" w:hAnsi="楷体" w:eastAsia="楷体" w:cs="楷体"/>
          <w:b/>
          <w:bCs/>
          <w:spacing w:val="10"/>
          <w:sz w:val="36"/>
          <w:szCs w:val="36"/>
        </w:rPr>
        <w:t>管理人</w:t>
      </w:r>
    </w:p>
    <w:p>
      <w:pPr>
        <w:spacing w:before="91" w:line="222" w:lineRule="auto"/>
        <w:jc w:val="center"/>
        <w:rPr>
          <w:rFonts w:hint="eastAsia" w:ascii="楷体" w:hAnsi="楷体" w:eastAsia="楷体" w:cs="楷体"/>
          <w:b/>
          <w:bCs/>
          <w:spacing w:val="10"/>
          <w:sz w:val="36"/>
          <w:szCs w:val="36"/>
        </w:rPr>
      </w:pPr>
    </w:p>
    <w:p>
      <w:pPr>
        <w:spacing w:before="91" w:line="222" w:lineRule="auto"/>
        <w:jc w:val="center"/>
        <w:rPr>
          <w:rFonts w:hint="eastAsia" w:ascii="楷体" w:hAnsi="楷体" w:eastAsia="楷体" w:cs="楷体"/>
          <w:b/>
          <w:bCs/>
          <w:spacing w:val="10"/>
          <w:sz w:val="36"/>
          <w:szCs w:val="36"/>
        </w:rPr>
      </w:pPr>
      <w:r>
        <w:rPr>
          <w:rFonts w:hint="eastAsia" w:ascii="楷体" w:hAnsi="楷体" w:eastAsia="楷体" w:cs="楷体"/>
          <w:b/>
          <w:bCs/>
          <w:spacing w:val="10"/>
          <w:sz w:val="36"/>
          <w:szCs w:val="36"/>
        </w:rPr>
        <w:t>二〇二</w:t>
      </w:r>
      <w:r>
        <w:rPr>
          <w:rFonts w:hint="eastAsia" w:ascii="楷体" w:hAnsi="楷体" w:eastAsia="楷体" w:cs="楷体"/>
          <w:b/>
          <w:bCs/>
          <w:spacing w:val="10"/>
          <w:sz w:val="36"/>
          <w:szCs w:val="36"/>
          <w:lang w:val="en-US" w:eastAsia="zh-CN"/>
        </w:rPr>
        <w:t>四</w:t>
      </w:r>
      <w:r>
        <w:rPr>
          <w:rFonts w:hint="eastAsia" w:ascii="楷体" w:hAnsi="楷体" w:eastAsia="楷体" w:cs="楷体"/>
          <w:b/>
          <w:bCs/>
          <w:spacing w:val="10"/>
          <w:sz w:val="36"/>
          <w:szCs w:val="36"/>
        </w:rPr>
        <w:t>年</w:t>
      </w:r>
      <w:r>
        <w:rPr>
          <w:rFonts w:hint="eastAsia" w:ascii="楷体" w:hAnsi="楷体" w:eastAsia="楷体" w:cs="楷体"/>
          <w:b/>
          <w:bCs/>
          <w:spacing w:val="10"/>
          <w:sz w:val="36"/>
          <w:szCs w:val="36"/>
          <w:lang w:val="en-US" w:eastAsia="zh-CN"/>
        </w:rPr>
        <w:t>二</w:t>
      </w:r>
      <w:r>
        <w:rPr>
          <w:rFonts w:hint="eastAsia" w:ascii="楷体" w:hAnsi="楷体" w:eastAsia="楷体" w:cs="楷体"/>
          <w:b/>
          <w:bCs/>
          <w:spacing w:val="10"/>
          <w:sz w:val="36"/>
          <w:szCs w:val="36"/>
        </w:rPr>
        <w:t>月</w:t>
      </w:r>
      <w:r>
        <w:rPr>
          <w:rFonts w:hint="eastAsia" w:ascii="楷体" w:hAnsi="楷体" w:eastAsia="楷体" w:cs="楷体"/>
          <w:b/>
          <w:bCs/>
          <w:spacing w:val="10"/>
          <w:sz w:val="36"/>
          <w:szCs w:val="36"/>
          <w:lang w:val="en-US" w:eastAsia="zh-CN"/>
        </w:rPr>
        <w:t>二十</w:t>
      </w:r>
      <w:r>
        <w:rPr>
          <w:rFonts w:hint="eastAsia" w:ascii="楷体" w:hAnsi="楷体" w:eastAsia="楷体" w:cs="楷体"/>
          <w:b/>
          <w:bCs/>
          <w:spacing w:val="10"/>
          <w:sz w:val="36"/>
          <w:szCs w:val="36"/>
        </w:rPr>
        <w:t>日</w:t>
      </w:r>
    </w:p>
    <w:p/>
    <w:p/>
    <w:p>
      <w:pPr>
        <w:spacing w:before="111" w:line="223" w:lineRule="auto"/>
        <w:jc w:val="center"/>
        <w:rPr>
          <w:rFonts w:hint="eastAsia" w:ascii="方正粗黑宋简体" w:hAnsi="方正粗黑宋简体" w:eastAsia="方正粗黑宋简体" w:cs="方正粗黑宋简体"/>
          <w:sz w:val="36"/>
          <w:szCs w:val="36"/>
        </w:rPr>
      </w:pPr>
      <w:r>
        <w:rPr>
          <w:rFonts w:hint="eastAsia" w:ascii="方正粗黑宋简体" w:hAnsi="方正粗黑宋简体" w:eastAsia="方正粗黑宋简体" w:cs="方正粗黑宋简体"/>
          <w:b/>
          <w:bCs/>
          <w:spacing w:val="-9"/>
          <w:sz w:val="36"/>
          <w:szCs w:val="36"/>
        </w:rPr>
        <w:t>释义</w:t>
      </w:r>
    </w:p>
    <w:p/>
    <w:p>
      <w:pPr>
        <w:spacing w:line="25" w:lineRule="exact"/>
      </w:pPr>
    </w:p>
    <w:tbl>
      <w:tblPr>
        <w:tblStyle w:val="14"/>
        <w:tblW w:w="874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75"/>
        <w:gridCol w:w="510"/>
        <w:gridCol w:w="6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4" w:hRule="atLeast"/>
        </w:trPr>
        <w:tc>
          <w:tcPr>
            <w:tcW w:w="1575"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distribute"/>
              <w:textAlignment w:val="baseline"/>
              <w:rPr>
                <w:rFonts w:hint="eastAsia" w:ascii="仿宋" w:hAnsi="仿宋" w:eastAsia="仿宋" w:cs="仿宋"/>
                <w:sz w:val="28"/>
                <w:szCs w:val="28"/>
              </w:rPr>
            </w:pPr>
            <w:r>
              <w:rPr>
                <w:rFonts w:hint="eastAsia" w:ascii="仿宋" w:hAnsi="仿宋" w:eastAsia="仿宋" w:cs="仿宋"/>
                <w:spacing w:val="-2"/>
                <w:sz w:val="28"/>
                <w:szCs w:val="28"/>
              </w:rPr>
              <w:t>破产法</w:t>
            </w:r>
          </w:p>
        </w:tc>
        <w:tc>
          <w:tcPr>
            <w:tcW w:w="510"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center"/>
              <w:textAlignment w:val="baseline"/>
              <w:rPr>
                <w:rFonts w:hint="eastAsia" w:ascii="仿宋" w:hAnsi="仿宋" w:eastAsia="仿宋" w:cs="仿宋"/>
                <w:sz w:val="28"/>
                <w:szCs w:val="28"/>
              </w:rPr>
            </w:pPr>
            <w:r>
              <w:rPr>
                <w:rFonts w:hint="eastAsia" w:ascii="仿宋" w:hAnsi="仿宋" w:eastAsia="仿宋" w:cs="仿宋"/>
                <w:sz w:val="28"/>
                <w:szCs w:val="28"/>
              </w:rPr>
              <w:t>指</w:t>
            </w:r>
          </w:p>
        </w:tc>
        <w:tc>
          <w:tcPr>
            <w:tcW w:w="6661"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both"/>
              <w:textAlignment w:val="baseline"/>
              <w:rPr>
                <w:rFonts w:hint="eastAsia" w:ascii="仿宋" w:hAnsi="仿宋" w:eastAsia="仿宋" w:cs="仿宋"/>
                <w:sz w:val="28"/>
                <w:szCs w:val="28"/>
              </w:rPr>
            </w:pPr>
            <w:r>
              <w:rPr>
                <w:rFonts w:hint="eastAsia" w:ascii="仿宋" w:hAnsi="仿宋" w:eastAsia="仿宋" w:cs="仿宋"/>
                <w:spacing w:val="10"/>
                <w:sz w:val="28"/>
                <w:szCs w:val="28"/>
              </w:rPr>
              <w:t>由中华人民共和国第十届全国人民代表大会常务委员会第二</w:t>
            </w:r>
            <w:r>
              <w:rPr>
                <w:rFonts w:hint="eastAsia" w:ascii="仿宋" w:hAnsi="仿宋" w:eastAsia="仿宋" w:cs="仿宋"/>
                <w:spacing w:val="32"/>
                <w:sz w:val="28"/>
                <w:szCs w:val="28"/>
              </w:rPr>
              <w:t>十三次会议于2006年8月27日通过，自2007年6月1日起</w:t>
            </w:r>
            <w:r>
              <w:rPr>
                <w:rFonts w:hint="eastAsia" w:ascii="仿宋" w:hAnsi="仿宋" w:eastAsia="仿宋" w:cs="仿宋"/>
                <w:spacing w:val="16"/>
                <w:sz w:val="28"/>
                <w:szCs w:val="28"/>
              </w:rPr>
              <w:t>施行的《中华人民共和国企业破产法》。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575"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distribute"/>
              <w:textAlignment w:val="baseline"/>
              <w:rPr>
                <w:rFonts w:hint="eastAsia" w:ascii="仿宋" w:hAnsi="仿宋" w:eastAsia="仿宋" w:cs="仿宋"/>
                <w:sz w:val="28"/>
                <w:szCs w:val="28"/>
              </w:rPr>
            </w:pPr>
            <w:r>
              <w:rPr>
                <w:rFonts w:hint="eastAsia" w:ascii="仿宋" w:hAnsi="仿宋" w:eastAsia="仿宋" w:cs="仿宋"/>
                <w:spacing w:val="7"/>
                <w:sz w:val="28"/>
                <w:szCs w:val="28"/>
              </w:rPr>
              <w:t>法院</w:t>
            </w:r>
          </w:p>
        </w:tc>
        <w:tc>
          <w:tcPr>
            <w:tcW w:w="510"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center"/>
              <w:textAlignment w:val="baseline"/>
              <w:rPr>
                <w:rFonts w:hint="eastAsia" w:ascii="仿宋" w:hAnsi="仿宋" w:eastAsia="仿宋" w:cs="仿宋"/>
                <w:sz w:val="28"/>
                <w:szCs w:val="28"/>
              </w:rPr>
            </w:pPr>
            <w:r>
              <w:rPr>
                <w:rFonts w:hint="eastAsia" w:ascii="仿宋" w:hAnsi="仿宋" w:eastAsia="仿宋" w:cs="仿宋"/>
                <w:sz w:val="28"/>
                <w:szCs w:val="28"/>
              </w:rPr>
              <w:t>指</w:t>
            </w:r>
          </w:p>
        </w:tc>
        <w:tc>
          <w:tcPr>
            <w:tcW w:w="6661"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both"/>
              <w:textAlignment w:val="baseline"/>
              <w:rPr>
                <w:rFonts w:hint="eastAsia" w:ascii="仿宋" w:hAnsi="仿宋" w:eastAsia="仿宋" w:cs="仿宋"/>
                <w:sz w:val="28"/>
                <w:szCs w:val="28"/>
              </w:rPr>
            </w:pPr>
            <w:r>
              <w:rPr>
                <w:rFonts w:hint="eastAsia" w:ascii="仿宋" w:hAnsi="仿宋" w:eastAsia="仿宋" w:cs="仿宋"/>
                <w:spacing w:val="20"/>
                <w:sz w:val="28"/>
                <w:szCs w:val="28"/>
                <w:lang w:val="en-US" w:eastAsia="zh-CN"/>
              </w:rPr>
              <w:t>阜阳市颍州区</w:t>
            </w:r>
            <w:r>
              <w:rPr>
                <w:rFonts w:hint="eastAsia" w:ascii="仿宋" w:hAnsi="仿宋" w:eastAsia="仿宋" w:cs="仿宋"/>
                <w:spacing w:val="20"/>
                <w:sz w:val="28"/>
                <w:szCs w:val="28"/>
              </w:rPr>
              <w:t>人民法院。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0" w:hRule="atLeast"/>
        </w:trPr>
        <w:tc>
          <w:tcPr>
            <w:tcW w:w="1575"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distribute"/>
              <w:textAlignment w:val="baseline"/>
              <w:rPr>
                <w:rFonts w:hint="eastAsia" w:ascii="仿宋" w:hAnsi="仿宋" w:eastAsia="仿宋" w:cs="仿宋"/>
                <w:sz w:val="28"/>
                <w:szCs w:val="28"/>
              </w:rPr>
            </w:pPr>
            <w:r>
              <w:rPr>
                <w:rFonts w:hint="eastAsia" w:ascii="仿宋" w:hAnsi="仿宋" w:eastAsia="仿宋" w:cs="仿宋"/>
                <w:spacing w:val="13"/>
                <w:sz w:val="28"/>
                <w:szCs w:val="28"/>
              </w:rPr>
              <w:t>管理人</w:t>
            </w:r>
          </w:p>
        </w:tc>
        <w:tc>
          <w:tcPr>
            <w:tcW w:w="510"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center"/>
              <w:textAlignment w:val="baseline"/>
              <w:rPr>
                <w:rFonts w:hint="eastAsia" w:ascii="仿宋" w:hAnsi="仿宋" w:eastAsia="仿宋" w:cs="仿宋"/>
                <w:sz w:val="28"/>
                <w:szCs w:val="28"/>
              </w:rPr>
            </w:pPr>
            <w:r>
              <w:rPr>
                <w:rFonts w:hint="eastAsia" w:ascii="仿宋" w:hAnsi="仿宋" w:eastAsia="仿宋" w:cs="仿宋"/>
                <w:sz w:val="28"/>
                <w:szCs w:val="28"/>
              </w:rPr>
              <w:t>指</w:t>
            </w:r>
          </w:p>
        </w:tc>
        <w:tc>
          <w:tcPr>
            <w:tcW w:w="6661"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both"/>
              <w:textAlignment w:val="baseline"/>
              <w:rPr>
                <w:rFonts w:hint="eastAsia" w:ascii="仿宋" w:hAnsi="仿宋" w:eastAsia="仿宋" w:cs="仿宋"/>
                <w:sz w:val="28"/>
                <w:szCs w:val="28"/>
              </w:rPr>
            </w:pPr>
            <w:r>
              <w:rPr>
                <w:rFonts w:hint="eastAsia" w:ascii="仿宋" w:hAnsi="仿宋" w:eastAsia="仿宋" w:cs="仿宋"/>
                <w:spacing w:val="5"/>
                <w:sz w:val="28"/>
                <w:szCs w:val="28"/>
              </w:rPr>
              <w:t>被法院指定为本案管理人的</w:t>
            </w:r>
            <w:r>
              <w:rPr>
                <w:rFonts w:hint="eastAsia" w:ascii="仿宋" w:hAnsi="仿宋" w:eastAsia="仿宋" w:cs="仿宋"/>
                <w:spacing w:val="5"/>
                <w:sz w:val="28"/>
                <w:szCs w:val="28"/>
                <w:lang w:val="en-US" w:eastAsia="zh-CN"/>
              </w:rPr>
              <w:t>安徽蓝邦律师事务所</w:t>
            </w:r>
            <w:r>
              <w:rPr>
                <w:rFonts w:hint="eastAsia" w:ascii="仿宋" w:hAnsi="仿宋" w:eastAsia="仿宋" w:cs="仿宋"/>
                <w:spacing w:val="5"/>
                <w:sz w:val="28"/>
                <w:szCs w:val="28"/>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0" w:hRule="atLeast"/>
        </w:trPr>
        <w:tc>
          <w:tcPr>
            <w:tcW w:w="1575"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distribute"/>
              <w:textAlignment w:val="baseline"/>
              <w:rPr>
                <w:rFonts w:hint="eastAsia" w:ascii="仿宋" w:hAnsi="仿宋" w:eastAsia="仿宋" w:cs="仿宋"/>
                <w:sz w:val="28"/>
                <w:szCs w:val="28"/>
              </w:rPr>
            </w:pPr>
            <w:r>
              <w:rPr>
                <w:rFonts w:hint="eastAsia" w:ascii="仿宋" w:hAnsi="仿宋" w:eastAsia="仿宋" w:cs="仿宋"/>
                <w:spacing w:val="-1"/>
                <w:sz w:val="28"/>
                <w:szCs w:val="28"/>
              </w:rPr>
              <w:t>债务人</w:t>
            </w:r>
          </w:p>
        </w:tc>
        <w:tc>
          <w:tcPr>
            <w:tcW w:w="510"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center"/>
              <w:textAlignment w:val="baseline"/>
              <w:rPr>
                <w:rFonts w:hint="eastAsia" w:ascii="仿宋" w:hAnsi="仿宋" w:eastAsia="仿宋" w:cs="仿宋"/>
                <w:sz w:val="28"/>
                <w:szCs w:val="28"/>
              </w:rPr>
            </w:pPr>
            <w:r>
              <w:rPr>
                <w:rFonts w:hint="eastAsia" w:ascii="仿宋" w:hAnsi="仿宋" w:eastAsia="仿宋" w:cs="仿宋"/>
                <w:sz w:val="28"/>
                <w:szCs w:val="28"/>
              </w:rPr>
              <w:t>指</w:t>
            </w:r>
          </w:p>
        </w:tc>
        <w:tc>
          <w:tcPr>
            <w:tcW w:w="6661"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both"/>
              <w:textAlignment w:val="baseline"/>
              <w:rPr>
                <w:rFonts w:hint="eastAsia" w:ascii="仿宋" w:hAnsi="仿宋" w:eastAsia="仿宋" w:cs="仿宋"/>
                <w:sz w:val="28"/>
                <w:szCs w:val="28"/>
                <w:lang w:eastAsia="zh-CN"/>
              </w:rPr>
            </w:pPr>
            <w:r>
              <w:rPr>
                <w:rFonts w:hint="eastAsia" w:ascii="仿宋" w:hAnsi="仿宋" w:eastAsia="仿宋" w:cs="仿宋"/>
                <w:spacing w:val="20"/>
                <w:sz w:val="28"/>
                <w:szCs w:val="28"/>
                <w:lang w:val="en-US" w:eastAsia="zh-CN"/>
              </w:rPr>
              <w:t>阜阳市志翔汽车运输有限公司，简称债务人</w:t>
            </w:r>
            <w:r>
              <w:rPr>
                <w:rFonts w:hint="eastAsia" w:ascii="仿宋" w:hAnsi="仿宋" w:eastAsia="仿宋" w:cs="仿宋"/>
                <w:spacing w:val="20"/>
                <w:sz w:val="28"/>
                <w:szCs w:val="28"/>
                <w:lang w:eastAsia="zh-CN"/>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9" w:hRule="atLeast"/>
        </w:trPr>
        <w:tc>
          <w:tcPr>
            <w:tcW w:w="1575"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distribute"/>
              <w:textAlignment w:val="baseline"/>
              <w:rPr>
                <w:rFonts w:hint="eastAsia" w:ascii="仿宋" w:hAnsi="仿宋" w:eastAsia="仿宋" w:cs="仿宋"/>
                <w:sz w:val="28"/>
                <w:szCs w:val="28"/>
                <w:lang w:eastAsia="zh-CN"/>
              </w:rPr>
            </w:pPr>
            <w:r>
              <w:rPr>
                <w:rFonts w:hint="eastAsia" w:ascii="仿宋" w:hAnsi="仿宋" w:eastAsia="仿宋" w:cs="仿宋"/>
                <w:spacing w:val="2"/>
                <w:sz w:val="28"/>
                <w:szCs w:val="28"/>
              </w:rPr>
              <w:t>债权人</w:t>
            </w:r>
          </w:p>
        </w:tc>
        <w:tc>
          <w:tcPr>
            <w:tcW w:w="510"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center"/>
              <w:textAlignment w:val="baseline"/>
              <w:rPr>
                <w:rFonts w:hint="eastAsia" w:ascii="仿宋" w:hAnsi="仿宋" w:eastAsia="仿宋" w:cs="仿宋"/>
                <w:sz w:val="28"/>
                <w:szCs w:val="28"/>
              </w:rPr>
            </w:pPr>
            <w:r>
              <w:rPr>
                <w:rFonts w:hint="eastAsia" w:ascii="仿宋" w:hAnsi="仿宋" w:eastAsia="仿宋" w:cs="仿宋"/>
                <w:spacing w:val="2"/>
                <w:sz w:val="28"/>
                <w:szCs w:val="28"/>
              </w:rPr>
              <w:t>指</w:t>
            </w:r>
          </w:p>
        </w:tc>
        <w:tc>
          <w:tcPr>
            <w:tcW w:w="6661"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both"/>
              <w:textAlignment w:val="baseline"/>
              <w:rPr>
                <w:rFonts w:hint="eastAsia" w:ascii="仿宋" w:hAnsi="仿宋" w:eastAsia="仿宋" w:cs="仿宋"/>
                <w:sz w:val="28"/>
                <w:szCs w:val="28"/>
              </w:rPr>
            </w:pPr>
            <w:r>
              <w:rPr>
                <w:rFonts w:hint="eastAsia" w:ascii="仿宋" w:hAnsi="仿宋" w:eastAsia="仿宋" w:cs="仿宋"/>
                <w:spacing w:val="12"/>
                <w:sz w:val="28"/>
                <w:szCs w:val="28"/>
              </w:rPr>
              <w:t>破产法第四十四条规定的，在法院受理破产申请时对债</w:t>
            </w:r>
            <w:r>
              <w:rPr>
                <w:rFonts w:hint="eastAsia" w:ascii="仿宋" w:hAnsi="仿宋" w:eastAsia="仿宋" w:cs="仿宋"/>
                <w:spacing w:val="11"/>
                <w:sz w:val="28"/>
                <w:szCs w:val="28"/>
              </w:rPr>
              <w:t>务人</w:t>
            </w:r>
            <w:r>
              <w:rPr>
                <w:rFonts w:hint="eastAsia" w:ascii="仿宋" w:hAnsi="仿宋" w:eastAsia="仿宋" w:cs="仿宋"/>
                <w:spacing w:val="19"/>
                <w:sz w:val="28"/>
                <w:szCs w:val="28"/>
              </w:rPr>
              <w:t>享有债权的单位或自然人。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1575"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distribute"/>
              <w:textAlignment w:val="baseline"/>
              <w:rPr>
                <w:rFonts w:hint="eastAsia" w:ascii="仿宋" w:hAnsi="仿宋" w:eastAsia="仿宋" w:cs="仿宋"/>
                <w:sz w:val="28"/>
                <w:szCs w:val="28"/>
              </w:rPr>
            </w:pPr>
            <w:r>
              <w:rPr>
                <w:rFonts w:hint="eastAsia" w:ascii="仿宋" w:hAnsi="仿宋" w:eastAsia="仿宋" w:cs="仿宋"/>
                <w:spacing w:val="-10"/>
                <w:sz w:val="28"/>
                <w:szCs w:val="28"/>
              </w:rPr>
              <w:t>确认债权</w:t>
            </w:r>
          </w:p>
        </w:tc>
        <w:tc>
          <w:tcPr>
            <w:tcW w:w="510"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center"/>
              <w:textAlignment w:val="baseline"/>
              <w:rPr>
                <w:rFonts w:hint="eastAsia" w:ascii="仿宋" w:hAnsi="仿宋" w:eastAsia="仿宋" w:cs="仿宋"/>
                <w:sz w:val="28"/>
                <w:szCs w:val="28"/>
              </w:rPr>
            </w:pPr>
            <w:r>
              <w:rPr>
                <w:rFonts w:hint="eastAsia" w:ascii="仿宋" w:hAnsi="仿宋" w:eastAsia="仿宋" w:cs="仿宋"/>
                <w:sz w:val="28"/>
                <w:szCs w:val="28"/>
              </w:rPr>
              <w:t>指</w:t>
            </w:r>
          </w:p>
        </w:tc>
        <w:tc>
          <w:tcPr>
            <w:tcW w:w="6661"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both"/>
              <w:textAlignment w:val="baseline"/>
              <w:rPr>
                <w:rFonts w:hint="eastAsia" w:ascii="仿宋" w:hAnsi="仿宋" w:eastAsia="仿宋" w:cs="仿宋"/>
                <w:sz w:val="28"/>
                <w:szCs w:val="28"/>
              </w:rPr>
            </w:pPr>
            <w:r>
              <w:rPr>
                <w:rFonts w:hint="eastAsia" w:ascii="仿宋" w:hAnsi="仿宋" w:eastAsia="仿宋" w:cs="仿宋"/>
                <w:spacing w:val="12"/>
                <w:sz w:val="28"/>
                <w:szCs w:val="28"/>
              </w:rPr>
              <w:t>破产法第六章规定的，债权人在法定的期间向管理人申报</w:t>
            </w:r>
            <w:r>
              <w:rPr>
                <w:rFonts w:hint="eastAsia" w:ascii="仿宋" w:hAnsi="仿宋" w:eastAsia="仿宋" w:cs="仿宋"/>
                <w:spacing w:val="11"/>
                <w:sz w:val="28"/>
                <w:szCs w:val="28"/>
              </w:rPr>
              <w:t>且</w:t>
            </w:r>
            <w:r>
              <w:rPr>
                <w:rFonts w:hint="eastAsia" w:ascii="仿宋" w:hAnsi="仿宋" w:eastAsia="仿宋" w:cs="仿宋"/>
                <w:spacing w:val="18"/>
                <w:sz w:val="28"/>
                <w:szCs w:val="28"/>
              </w:rPr>
              <w:t>管理人已经审核确认的债权。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1575"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distribute"/>
              <w:textAlignment w:val="baseline"/>
              <w:rPr>
                <w:rFonts w:hint="eastAsia" w:ascii="仿宋" w:hAnsi="仿宋" w:eastAsia="仿宋" w:cs="仿宋"/>
                <w:sz w:val="28"/>
                <w:szCs w:val="28"/>
              </w:rPr>
            </w:pPr>
            <w:r>
              <w:rPr>
                <w:rFonts w:hint="eastAsia" w:ascii="仿宋" w:hAnsi="仿宋" w:eastAsia="仿宋" w:cs="仿宋"/>
                <w:spacing w:val="-10"/>
                <w:sz w:val="28"/>
                <w:szCs w:val="28"/>
              </w:rPr>
              <w:t>待定债权</w:t>
            </w:r>
          </w:p>
        </w:tc>
        <w:tc>
          <w:tcPr>
            <w:tcW w:w="510"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center"/>
              <w:textAlignment w:val="baseline"/>
              <w:rPr>
                <w:rFonts w:hint="eastAsia" w:ascii="仿宋" w:hAnsi="仿宋" w:eastAsia="仿宋" w:cs="仿宋"/>
                <w:sz w:val="28"/>
                <w:szCs w:val="28"/>
              </w:rPr>
            </w:pPr>
            <w:r>
              <w:rPr>
                <w:rFonts w:hint="eastAsia" w:ascii="仿宋" w:hAnsi="仿宋" w:eastAsia="仿宋" w:cs="仿宋"/>
                <w:sz w:val="28"/>
                <w:szCs w:val="28"/>
              </w:rPr>
              <w:t>指</w:t>
            </w:r>
          </w:p>
        </w:tc>
        <w:tc>
          <w:tcPr>
            <w:tcW w:w="6661"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both"/>
              <w:textAlignment w:val="baseline"/>
              <w:rPr>
                <w:rFonts w:hint="eastAsia" w:ascii="仿宋" w:hAnsi="仿宋" w:eastAsia="仿宋" w:cs="仿宋"/>
                <w:sz w:val="28"/>
                <w:szCs w:val="28"/>
              </w:rPr>
            </w:pPr>
            <w:r>
              <w:rPr>
                <w:rFonts w:hint="eastAsia" w:ascii="仿宋" w:hAnsi="仿宋" w:eastAsia="仿宋" w:cs="仿宋"/>
                <w:spacing w:val="11"/>
                <w:sz w:val="28"/>
                <w:szCs w:val="28"/>
              </w:rPr>
              <w:t>债权人已申报且管理人尚未审核完毕或截至本文件出具之日</w:t>
            </w:r>
            <w:r>
              <w:rPr>
                <w:rFonts w:hint="eastAsia" w:ascii="仿宋" w:hAnsi="仿宋" w:eastAsia="仿宋" w:cs="仿宋"/>
                <w:spacing w:val="18"/>
                <w:sz w:val="28"/>
                <w:szCs w:val="28"/>
              </w:rPr>
              <w:t>前管理人尚未审核确认的债权。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9" w:hRule="atLeast"/>
        </w:trPr>
        <w:tc>
          <w:tcPr>
            <w:tcW w:w="1575"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distribute"/>
              <w:textAlignment w:val="baseline"/>
              <w:rPr>
                <w:rFonts w:hint="eastAsia" w:ascii="仿宋" w:hAnsi="仿宋" w:eastAsia="仿宋" w:cs="仿宋"/>
                <w:sz w:val="28"/>
                <w:szCs w:val="28"/>
              </w:rPr>
            </w:pPr>
            <w:r>
              <w:rPr>
                <w:rFonts w:hint="eastAsia" w:ascii="仿宋" w:hAnsi="仿宋" w:eastAsia="仿宋" w:cs="仿宋"/>
                <w:spacing w:val="-10"/>
                <w:sz w:val="28"/>
                <w:szCs w:val="28"/>
              </w:rPr>
              <w:t>预计债权</w:t>
            </w:r>
          </w:p>
        </w:tc>
        <w:tc>
          <w:tcPr>
            <w:tcW w:w="510"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center"/>
              <w:textAlignment w:val="baseline"/>
              <w:rPr>
                <w:rFonts w:hint="eastAsia" w:ascii="仿宋" w:hAnsi="仿宋" w:eastAsia="仿宋" w:cs="仿宋"/>
                <w:sz w:val="28"/>
                <w:szCs w:val="28"/>
              </w:rPr>
            </w:pPr>
            <w:r>
              <w:rPr>
                <w:rFonts w:hint="eastAsia" w:ascii="仿宋" w:hAnsi="仿宋" w:eastAsia="仿宋" w:cs="仿宋"/>
                <w:sz w:val="28"/>
                <w:szCs w:val="28"/>
              </w:rPr>
              <w:t>指</w:t>
            </w:r>
          </w:p>
        </w:tc>
        <w:tc>
          <w:tcPr>
            <w:tcW w:w="6661"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both"/>
              <w:textAlignment w:val="baseline"/>
              <w:rPr>
                <w:rFonts w:hint="eastAsia" w:ascii="仿宋" w:hAnsi="仿宋" w:eastAsia="仿宋" w:cs="仿宋"/>
                <w:sz w:val="28"/>
                <w:szCs w:val="28"/>
              </w:rPr>
            </w:pPr>
            <w:r>
              <w:rPr>
                <w:rFonts w:hint="eastAsia" w:ascii="仿宋" w:hAnsi="仿宋" w:eastAsia="仿宋" w:cs="仿宋"/>
                <w:spacing w:val="11"/>
                <w:sz w:val="28"/>
                <w:szCs w:val="28"/>
              </w:rPr>
              <w:t>待定债权、尚未申报但可能存在的债权及因担保财产变现价</w:t>
            </w:r>
            <w:r>
              <w:rPr>
                <w:rFonts w:hint="eastAsia" w:ascii="仿宋" w:hAnsi="仿宋" w:eastAsia="仿宋" w:cs="仿宋"/>
                <w:spacing w:val="12"/>
                <w:sz w:val="28"/>
                <w:szCs w:val="28"/>
              </w:rPr>
              <w:t>值低于特定财产担保债权额而需转入普通债权参与受偿的债</w:t>
            </w:r>
            <w:r>
              <w:rPr>
                <w:rFonts w:hint="eastAsia" w:ascii="仿宋" w:hAnsi="仿宋" w:eastAsia="仿宋" w:cs="仿宋"/>
                <w:spacing w:val="18"/>
                <w:sz w:val="28"/>
                <w:szCs w:val="28"/>
              </w:rPr>
              <w:t>权、书面提交债权异议的债权。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9" w:hRule="atLeast"/>
        </w:trPr>
        <w:tc>
          <w:tcPr>
            <w:tcW w:w="1575"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distribute"/>
              <w:textAlignment w:val="baseline"/>
              <w:rPr>
                <w:rFonts w:hint="eastAsia" w:ascii="仿宋" w:hAnsi="仿宋" w:eastAsia="仿宋" w:cs="仿宋"/>
                <w:sz w:val="28"/>
                <w:szCs w:val="28"/>
              </w:rPr>
            </w:pPr>
            <w:r>
              <w:rPr>
                <w:rFonts w:hint="eastAsia" w:ascii="仿宋" w:hAnsi="仿宋" w:eastAsia="仿宋" w:cs="仿宋"/>
                <w:spacing w:val="-10"/>
                <w:sz w:val="28"/>
                <w:szCs w:val="28"/>
              </w:rPr>
              <w:t>担保债权</w:t>
            </w:r>
          </w:p>
        </w:tc>
        <w:tc>
          <w:tcPr>
            <w:tcW w:w="510"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center"/>
              <w:textAlignment w:val="baseline"/>
              <w:rPr>
                <w:rFonts w:hint="eastAsia" w:ascii="仿宋" w:hAnsi="仿宋" w:eastAsia="仿宋" w:cs="仿宋"/>
                <w:sz w:val="28"/>
                <w:szCs w:val="28"/>
              </w:rPr>
            </w:pPr>
            <w:r>
              <w:rPr>
                <w:rFonts w:hint="eastAsia" w:ascii="仿宋" w:hAnsi="仿宋" w:eastAsia="仿宋" w:cs="仿宋"/>
                <w:sz w:val="28"/>
                <w:szCs w:val="28"/>
              </w:rPr>
              <w:t>指</w:t>
            </w:r>
          </w:p>
        </w:tc>
        <w:tc>
          <w:tcPr>
            <w:tcW w:w="6661"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both"/>
              <w:textAlignment w:val="baseline"/>
              <w:rPr>
                <w:rFonts w:hint="eastAsia" w:ascii="仿宋" w:hAnsi="仿宋" w:eastAsia="仿宋" w:cs="仿宋"/>
                <w:sz w:val="28"/>
                <w:szCs w:val="28"/>
              </w:rPr>
            </w:pPr>
            <w:r>
              <w:rPr>
                <w:rFonts w:hint="eastAsia" w:ascii="仿宋" w:hAnsi="仿宋" w:eastAsia="仿宋" w:cs="仿宋"/>
                <w:spacing w:val="11"/>
                <w:sz w:val="28"/>
                <w:szCs w:val="28"/>
              </w:rPr>
              <w:t>破产法第一百零九条规定的，对破产人的特定财产享有担保</w:t>
            </w:r>
            <w:r>
              <w:rPr>
                <w:rFonts w:hint="eastAsia" w:ascii="仿宋" w:hAnsi="仿宋" w:eastAsia="仿宋" w:cs="仿宋"/>
                <w:spacing w:val="15"/>
                <w:sz w:val="28"/>
                <w:szCs w:val="28"/>
              </w:rPr>
              <w:t>权的权利人，对该特定财产享有优先受偿的权利。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19" w:hRule="atLeast"/>
        </w:trPr>
        <w:tc>
          <w:tcPr>
            <w:tcW w:w="1575"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distribute"/>
              <w:textAlignment w:val="baseline"/>
              <w:rPr>
                <w:rFonts w:hint="eastAsia" w:ascii="仿宋" w:hAnsi="仿宋" w:eastAsia="仿宋" w:cs="仿宋"/>
                <w:sz w:val="28"/>
                <w:szCs w:val="28"/>
              </w:rPr>
            </w:pPr>
            <w:r>
              <w:rPr>
                <w:rFonts w:hint="eastAsia" w:ascii="仿宋" w:hAnsi="仿宋" w:eastAsia="仿宋" w:cs="仿宋"/>
                <w:spacing w:val="-10"/>
                <w:sz w:val="28"/>
                <w:szCs w:val="28"/>
              </w:rPr>
              <w:t>职工债权</w:t>
            </w:r>
          </w:p>
        </w:tc>
        <w:tc>
          <w:tcPr>
            <w:tcW w:w="510"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center"/>
              <w:textAlignment w:val="baseline"/>
              <w:rPr>
                <w:rFonts w:hint="eastAsia" w:ascii="仿宋" w:hAnsi="仿宋" w:eastAsia="仿宋" w:cs="仿宋"/>
                <w:sz w:val="28"/>
                <w:szCs w:val="28"/>
              </w:rPr>
            </w:pPr>
            <w:r>
              <w:rPr>
                <w:rFonts w:hint="eastAsia" w:ascii="仿宋" w:hAnsi="仿宋" w:eastAsia="仿宋" w:cs="仿宋"/>
                <w:sz w:val="28"/>
                <w:szCs w:val="28"/>
              </w:rPr>
              <w:t>指</w:t>
            </w:r>
          </w:p>
        </w:tc>
        <w:tc>
          <w:tcPr>
            <w:tcW w:w="6661"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both"/>
              <w:textAlignment w:val="baseline"/>
              <w:rPr>
                <w:rFonts w:hint="eastAsia" w:ascii="仿宋" w:hAnsi="仿宋" w:eastAsia="仿宋" w:cs="仿宋"/>
                <w:sz w:val="28"/>
                <w:szCs w:val="28"/>
              </w:rPr>
            </w:pPr>
            <w:r>
              <w:rPr>
                <w:rFonts w:hint="eastAsia" w:ascii="仿宋" w:hAnsi="仿宋" w:eastAsia="仿宋" w:cs="仿宋"/>
                <w:spacing w:val="10"/>
                <w:sz w:val="28"/>
                <w:szCs w:val="28"/>
              </w:rPr>
              <w:t>破产法第四十八条第二款规定的，债务人所欠职工的工资和</w:t>
            </w:r>
            <w:r>
              <w:rPr>
                <w:rFonts w:hint="eastAsia" w:ascii="仿宋" w:hAnsi="仿宋" w:eastAsia="仿宋" w:cs="仿宋"/>
                <w:spacing w:val="11"/>
                <w:sz w:val="28"/>
                <w:szCs w:val="28"/>
              </w:rPr>
              <w:t>医疗、伤残补助、抚恤费用，所欠的应当划入员工个人账户的基本养老保险、基本医疗保险费用，以及法律、行政法规</w:t>
            </w:r>
            <w:r>
              <w:rPr>
                <w:rFonts w:hint="eastAsia" w:ascii="仿宋" w:hAnsi="仿宋" w:eastAsia="仿宋" w:cs="仿宋"/>
                <w:spacing w:val="18"/>
                <w:sz w:val="28"/>
                <w:szCs w:val="28"/>
              </w:rPr>
              <w:t>规定应当支付给员工的补偿金。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0" w:hRule="atLeast"/>
        </w:trPr>
        <w:tc>
          <w:tcPr>
            <w:tcW w:w="1575"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distribute"/>
              <w:textAlignment w:val="baseline"/>
              <w:rPr>
                <w:rFonts w:hint="eastAsia" w:ascii="仿宋" w:hAnsi="仿宋" w:eastAsia="仿宋" w:cs="仿宋"/>
                <w:sz w:val="28"/>
                <w:szCs w:val="28"/>
              </w:rPr>
            </w:pPr>
            <w:r>
              <w:rPr>
                <w:rFonts w:hint="eastAsia" w:ascii="仿宋" w:hAnsi="仿宋" w:eastAsia="仿宋" w:cs="仿宋"/>
                <w:spacing w:val="-10"/>
                <w:sz w:val="28"/>
                <w:szCs w:val="28"/>
              </w:rPr>
              <w:t>社保债权</w:t>
            </w:r>
          </w:p>
        </w:tc>
        <w:tc>
          <w:tcPr>
            <w:tcW w:w="510"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center"/>
              <w:textAlignment w:val="baseline"/>
              <w:rPr>
                <w:rFonts w:hint="eastAsia" w:ascii="仿宋" w:hAnsi="仿宋" w:eastAsia="仿宋" w:cs="仿宋"/>
                <w:sz w:val="28"/>
                <w:szCs w:val="28"/>
              </w:rPr>
            </w:pPr>
            <w:r>
              <w:rPr>
                <w:rFonts w:hint="eastAsia" w:ascii="仿宋" w:hAnsi="仿宋" w:eastAsia="仿宋" w:cs="仿宋"/>
                <w:sz w:val="28"/>
                <w:szCs w:val="28"/>
              </w:rPr>
              <w:t>指</w:t>
            </w:r>
          </w:p>
        </w:tc>
        <w:tc>
          <w:tcPr>
            <w:tcW w:w="6661"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both"/>
              <w:textAlignment w:val="baseline"/>
              <w:rPr>
                <w:rFonts w:hint="eastAsia" w:ascii="仿宋" w:hAnsi="仿宋" w:eastAsia="仿宋" w:cs="仿宋"/>
                <w:sz w:val="28"/>
                <w:szCs w:val="28"/>
              </w:rPr>
            </w:pPr>
            <w:r>
              <w:rPr>
                <w:rFonts w:hint="eastAsia" w:ascii="仿宋" w:hAnsi="仿宋" w:eastAsia="仿宋" w:cs="仿宋"/>
                <w:spacing w:val="7"/>
                <w:sz w:val="28"/>
                <w:szCs w:val="28"/>
              </w:rPr>
              <w:t>破产法第一百一十三条(二)项规定</w:t>
            </w:r>
            <w:r>
              <w:rPr>
                <w:rFonts w:hint="eastAsia" w:ascii="仿宋" w:hAnsi="仿宋" w:eastAsia="仿宋" w:cs="仿宋"/>
                <w:spacing w:val="2"/>
                <w:sz w:val="28"/>
                <w:szCs w:val="28"/>
              </w:rPr>
              <w:t>“破产人欠缴的除</w:t>
            </w:r>
            <w:r>
              <w:rPr>
                <w:rFonts w:hint="eastAsia" w:ascii="仿宋" w:hAnsi="仿宋" w:eastAsia="仿宋" w:cs="仿宋"/>
                <w:spacing w:val="7"/>
                <w:sz w:val="28"/>
                <w:szCs w:val="28"/>
              </w:rPr>
              <w:t>的，</w:t>
            </w:r>
            <w:r>
              <w:rPr>
                <w:rFonts w:hint="eastAsia" w:ascii="仿宋" w:hAnsi="仿宋" w:eastAsia="仿宋" w:cs="仿宋"/>
                <w:spacing w:val="17"/>
                <w:sz w:val="28"/>
                <w:szCs w:val="28"/>
              </w:rPr>
              <w:t>前项规定以外的社会保险费用”。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3" w:hRule="atLeast"/>
        </w:trPr>
        <w:tc>
          <w:tcPr>
            <w:tcW w:w="1575"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distribute"/>
              <w:textAlignment w:val="baseline"/>
              <w:rPr>
                <w:rFonts w:hint="eastAsia" w:ascii="仿宋" w:hAnsi="仿宋" w:eastAsia="仿宋" w:cs="仿宋"/>
                <w:sz w:val="28"/>
                <w:szCs w:val="28"/>
              </w:rPr>
            </w:pPr>
            <w:r>
              <w:rPr>
                <w:rFonts w:hint="eastAsia" w:ascii="仿宋" w:hAnsi="仿宋" w:eastAsia="仿宋" w:cs="仿宋"/>
                <w:spacing w:val="-2"/>
                <w:sz w:val="28"/>
                <w:szCs w:val="28"/>
              </w:rPr>
              <w:t>税</w:t>
            </w:r>
            <w:r>
              <w:rPr>
                <w:rFonts w:hint="eastAsia" w:ascii="仿宋" w:hAnsi="仿宋" w:eastAsia="仿宋" w:cs="仿宋"/>
                <w:spacing w:val="-2"/>
                <w:sz w:val="28"/>
                <w:szCs w:val="28"/>
                <w:lang w:val="en-US" w:eastAsia="zh-CN"/>
              </w:rPr>
              <w:t>款</w:t>
            </w:r>
            <w:r>
              <w:rPr>
                <w:rFonts w:hint="eastAsia" w:ascii="仿宋" w:hAnsi="仿宋" w:eastAsia="仿宋" w:cs="仿宋"/>
                <w:spacing w:val="-2"/>
                <w:sz w:val="28"/>
                <w:szCs w:val="28"/>
              </w:rPr>
              <w:t>债权</w:t>
            </w:r>
          </w:p>
        </w:tc>
        <w:tc>
          <w:tcPr>
            <w:tcW w:w="510"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center"/>
              <w:textAlignment w:val="baseline"/>
              <w:rPr>
                <w:rFonts w:hint="eastAsia" w:ascii="仿宋" w:hAnsi="仿宋" w:eastAsia="仿宋" w:cs="仿宋"/>
                <w:sz w:val="28"/>
                <w:szCs w:val="28"/>
              </w:rPr>
            </w:pPr>
            <w:r>
              <w:rPr>
                <w:rFonts w:hint="eastAsia" w:ascii="仿宋" w:hAnsi="仿宋" w:eastAsia="仿宋" w:cs="仿宋"/>
                <w:sz w:val="28"/>
                <w:szCs w:val="28"/>
              </w:rPr>
              <w:t>指</w:t>
            </w:r>
          </w:p>
        </w:tc>
        <w:tc>
          <w:tcPr>
            <w:tcW w:w="6661"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both"/>
              <w:textAlignment w:val="baseline"/>
              <w:rPr>
                <w:rFonts w:hint="default" w:ascii="仿宋" w:hAnsi="仿宋" w:eastAsia="仿宋" w:cs="仿宋"/>
                <w:sz w:val="28"/>
                <w:szCs w:val="28"/>
                <w:lang w:val="en-US" w:eastAsia="zh-CN"/>
              </w:rPr>
            </w:pPr>
            <w:r>
              <w:rPr>
                <w:rFonts w:hint="eastAsia" w:ascii="仿宋" w:hAnsi="仿宋" w:eastAsia="仿宋" w:cs="仿宋"/>
                <w:spacing w:val="4"/>
                <w:sz w:val="28"/>
                <w:szCs w:val="28"/>
              </w:rPr>
              <w:t>破产法第一百一十三条(二)项规定的，“破</w:t>
            </w:r>
            <w:r>
              <w:rPr>
                <w:rFonts w:hint="eastAsia" w:ascii="仿宋" w:hAnsi="仿宋" w:eastAsia="仿宋" w:cs="仿宋"/>
                <w:spacing w:val="3"/>
                <w:sz w:val="28"/>
                <w:szCs w:val="28"/>
              </w:rPr>
              <w:t>产人所欠税款”。</w:t>
            </w:r>
            <w:r>
              <w:rPr>
                <w:rFonts w:hint="eastAsia" w:ascii="仿宋" w:hAnsi="仿宋" w:eastAsia="仿宋" w:cs="仿宋"/>
                <w:spacing w:val="3"/>
                <w:sz w:val="28"/>
                <w:szCs w:val="28"/>
                <w:lang w:val="en-US" w:eastAsia="zh-CN"/>
              </w:rPr>
              <w:t>不含税款滞纳金。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69" w:hRule="atLeast"/>
        </w:trPr>
        <w:tc>
          <w:tcPr>
            <w:tcW w:w="1575"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distribute"/>
              <w:textAlignment w:val="baseline"/>
              <w:rPr>
                <w:rFonts w:hint="eastAsia" w:ascii="仿宋" w:hAnsi="仿宋" w:eastAsia="仿宋" w:cs="仿宋"/>
                <w:sz w:val="28"/>
                <w:szCs w:val="28"/>
              </w:rPr>
            </w:pPr>
            <w:r>
              <w:rPr>
                <w:rFonts w:hint="eastAsia" w:ascii="仿宋" w:hAnsi="仿宋" w:eastAsia="仿宋" w:cs="仿宋"/>
                <w:spacing w:val="-10"/>
                <w:sz w:val="28"/>
                <w:szCs w:val="28"/>
              </w:rPr>
              <w:t>普通债权</w:t>
            </w:r>
          </w:p>
        </w:tc>
        <w:tc>
          <w:tcPr>
            <w:tcW w:w="510"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center"/>
              <w:textAlignment w:val="baseline"/>
              <w:rPr>
                <w:rFonts w:hint="eastAsia" w:ascii="仿宋" w:hAnsi="仿宋" w:eastAsia="仿宋" w:cs="仿宋"/>
                <w:sz w:val="28"/>
                <w:szCs w:val="28"/>
              </w:rPr>
            </w:pPr>
            <w:r>
              <w:rPr>
                <w:rFonts w:hint="eastAsia" w:ascii="仿宋" w:hAnsi="仿宋" w:eastAsia="仿宋" w:cs="仿宋"/>
                <w:sz w:val="28"/>
                <w:szCs w:val="28"/>
              </w:rPr>
              <w:t>指</w:t>
            </w:r>
          </w:p>
        </w:tc>
        <w:tc>
          <w:tcPr>
            <w:tcW w:w="6661"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both"/>
              <w:textAlignment w:val="baseline"/>
              <w:rPr>
                <w:rFonts w:hint="eastAsia" w:ascii="仿宋" w:hAnsi="仿宋" w:eastAsia="仿宋" w:cs="仿宋"/>
                <w:sz w:val="28"/>
                <w:szCs w:val="28"/>
              </w:rPr>
            </w:pPr>
            <w:r>
              <w:rPr>
                <w:rFonts w:hint="eastAsia" w:ascii="仿宋" w:hAnsi="仿宋" w:eastAsia="仿宋" w:cs="仿宋"/>
                <w:spacing w:val="12"/>
                <w:sz w:val="28"/>
                <w:szCs w:val="28"/>
              </w:rPr>
              <w:t>破产法第八十二条第一款第四项规定的，债权人对债务</w:t>
            </w:r>
            <w:r>
              <w:rPr>
                <w:rFonts w:hint="eastAsia" w:ascii="仿宋" w:hAnsi="仿宋" w:eastAsia="仿宋" w:cs="仿宋"/>
                <w:spacing w:val="11"/>
                <w:sz w:val="28"/>
                <w:szCs w:val="28"/>
              </w:rPr>
              <w:t>人享</w:t>
            </w:r>
            <w:r>
              <w:rPr>
                <w:rFonts w:hint="eastAsia" w:ascii="仿宋" w:hAnsi="仿宋" w:eastAsia="仿宋" w:cs="仿宋"/>
                <w:spacing w:val="32"/>
                <w:sz w:val="28"/>
                <w:szCs w:val="28"/>
              </w:rPr>
              <w:t>有的债权。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29" w:hRule="atLeast"/>
        </w:trPr>
        <w:tc>
          <w:tcPr>
            <w:tcW w:w="1575"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distribute"/>
              <w:textAlignment w:val="baseline"/>
              <w:rPr>
                <w:rFonts w:hint="eastAsia" w:ascii="仿宋" w:hAnsi="仿宋" w:eastAsia="仿宋" w:cs="仿宋"/>
                <w:sz w:val="28"/>
                <w:szCs w:val="28"/>
              </w:rPr>
            </w:pPr>
            <w:r>
              <w:rPr>
                <w:rFonts w:hint="eastAsia" w:ascii="仿宋" w:hAnsi="仿宋" w:eastAsia="仿宋" w:cs="仿宋"/>
                <w:spacing w:val="-10"/>
                <w:sz w:val="28"/>
                <w:szCs w:val="28"/>
              </w:rPr>
              <w:t>破产费用</w:t>
            </w:r>
          </w:p>
        </w:tc>
        <w:tc>
          <w:tcPr>
            <w:tcW w:w="510"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center"/>
              <w:textAlignment w:val="baseline"/>
              <w:rPr>
                <w:rFonts w:hint="eastAsia" w:ascii="仿宋" w:hAnsi="仿宋" w:eastAsia="仿宋" w:cs="仿宋"/>
                <w:sz w:val="28"/>
                <w:szCs w:val="28"/>
              </w:rPr>
            </w:pPr>
            <w:r>
              <w:rPr>
                <w:rFonts w:hint="eastAsia" w:ascii="仿宋" w:hAnsi="仿宋" w:eastAsia="仿宋" w:cs="仿宋"/>
                <w:sz w:val="28"/>
                <w:szCs w:val="28"/>
              </w:rPr>
              <w:t>指</w:t>
            </w:r>
          </w:p>
        </w:tc>
        <w:tc>
          <w:tcPr>
            <w:tcW w:w="6661"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both"/>
              <w:textAlignment w:val="baseline"/>
              <w:rPr>
                <w:rFonts w:hint="eastAsia" w:ascii="仿宋" w:hAnsi="仿宋" w:eastAsia="仿宋" w:cs="仿宋"/>
                <w:sz w:val="28"/>
                <w:szCs w:val="28"/>
              </w:rPr>
            </w:pPr>
            <w:r>
              <w:rPr>
                <w:rFonts w:hint="eastAsia" w:ascii="仿宋" w:hAnsi="仿宋" w:eastAsia="仿宋" w:cs="仿宋"/>
                <w:spacing w:val="9"/>
                <w:sz w:val="28"/>
                <w:szCs w:val="28"/>
              </w:rPr>
              <w:t>破产法第四十一条规定的，破产案件的诉讼费用，管理、变价和分配债务人财产费用及管理人执行职务、报酬和聘用工</w:t>
            </w:r>
            <w:r>
              <w:rPr>
                <w:rFonts w:hint="eastAsia" w:ascii="仿宋" w:hAnsi="仿宋" w:eastAsia="仿宋" w:cs="仿宋"/>
                <w:spacing w:val="40"/>
                <w:sz w:val="28"/>
                <w:szCs w:val="28"/>
              </w:rPr>
              <w:t>作人员的费用。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39" w:hRule="atLeast"/>
        </w:trPr>
        <w:tc>
          <w:tcPr>
            <w:tcW w:w="1575"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distribute"/>
              <w:textAlignment w:val="baseline"/>
              <w:rPr>
                <w:rFonts w:hint="eastAsia" w:ascii="仿宋" w:hAnsi="仿宋" w:eastAsia="仿宋" w:cs="仿宋"/>
                <w:sz w:val="28"/>
                <w:szCs w:val="28"/>
              </w:rPr>
            </w:pPr>
            <w:r>
              <w:rPr>
                <w:rFonts w:hint="eastAsia" w:ascii="仿宋" w:hAnsi="仿宋" w:eastAsia="仿宋" w:cs="仿宋"/>
                <w:spacing w:val="-2"/>
                <w:sz w:val="28"/>
                <w:szCs w:val="28"/>
              </w:rPr>
              <w:t>共益债务</w:t>
            </w:r>
          </w:p>
        </w:tc>
        <w:tc>
          <w:tcPr>
            <w:tcW w:w="510"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center"/>
              <w:textAlignment w:val="baseline"/>
              <w:rPr>
                <w:rFonts w:hint="eastAsia" w:ascii="仿宋" w:hAnsi="仿宋" w:eastAsia="仿宋" w:cs="仿宋"/>
                <w:sz w:val="28"/>
                <w:szCs w:val="28"/>
              </w:rPr>
            </w:pPr>
            <w:r>
              <w:rPr>
                <w:rFonts w:hint="eastAsia" w:ascii="仿宋" w:hAnsi="仿宋" w:eastAsia="仿宋" w:cs="仿宋"/>
                <w:sz w:val="28"/>
                <w:szCs w:val="28"/>
              </w:rPr>
              <w:t>指</w:t>
            </w:r>
          </w:p>
        </w:tc>
        <w:tc>
          <w:tcPr>
            <w:tcW w:w="6661"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both"/>
              <w:textAlignment w:val="baseline"/>
              <w:rPr>
                <w:rFonts w:hint="eastAsia" w:ascii="仿宋" w:hAnsi="仿宋" w:eastAsia="仿宋" w:cs="仿宋"/>
                <w:sz w:val="28"/>
                <w:szCs w:val="28"/>
              </w:rPr>
            </w:pPr>
            <w:r>
              <w:rPr>
                <w:rFonts w:hint="eastAsia" w:ascii="仿宋" w:hAnsi="仿宋" w:eastAsia="仿宋" w:cs="仿宋"/>
                <w:spacing w:val="9"/>
                <w:sz w:val="28"/>
                <w:szCs w:val="28"/>
              </w:rPr>
              <w:t>破产法第四十二条所述的人民法院受理破产案件后，管理人</w:t>
            </w:r>
            <w:r>
              <w:rPr>
                <w:rFonts w:hint="eastAsia" w:ascii="仿宋" w:hAnsi="仿宋" w:eastAsia="仿宋" w:cs="仿宋"/>
                <w:spacing w:val="10"/>
                <w:sz w:val="28"/>
                <w:szCs w:val="28"/>
              </w:rPr>
              <w:t>为全体债权人的共同利益，管理债务人财产时所负担或产生</w:t>
            </w:r>
            <w:r>
              <w:rPr>
                <w:rFonts w:hint="eastAsia" w:ascii="仿宋" w:hAnsi="仿宋" w:eastAsia="仿宋" w:cs="仿宋"/>
                <w:spacing w:val="17"/>
                <w:sz w:val="28"/>
                <w:szCs w:val="28"/>
              </w:rPr>
              <w:t>的债务以及因债务人财产而产生的有关债务。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1" w:hRule="atLeast"/>
        </w:trPr>
        <w:tc>
          <w:tcPr>
            <w:tcW w:w="1575"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distribute"/>
              <w:textAlignment w:val="baseline"/>
              <w:rPr>
                <w:rFonts w:hint="eastAsia" w:ascii="仿宋" w:hAnsi="仿宋" w:eastAsia="仿宋" w:cs="仿宋"/>
                <w:sz w:val="28"/>
                <w:szCs w:val="28"/>
              </w:rPr>
            </w:pPr>
            <w:r>
              <w:rPr>
                <w:rFonts w:hint="eastAsia" w:ascii="仿宋" w:hAnsi="仿宋" w:eastAsia="仿宋" w:cs="仿宋"/>
                <w:spacing w:val="2"/>
                <w:sz w:val="28"/>
                <w:szCs w:val="28"/>
              </w:rPr>
              <w:t>待处置财产</w:t>
            </w:r>
          </w:p>
        </w:tc>
        <w:tc>
          <w:tcPr>
            <w:tcW w:w="510"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center"/>
              <w:textAlignment w:val="baseline"/>
              <w:rPr>
                <w:rFonts w:hint="eastAsia" w:ascii="仿宋" w:hAnsi="仿宋" w:eastAsia="仿宋" w:cs="仿宋"/>
                <w:sz w:val="28"/>
                <w:szCs w:val="28"/>
              </w:rPr>
            </w:pPr>
            <w:r>
              <w:rPr>
                <w:rFonts w:hint="eastAsia" w:ascii="仿宋" w:hAnsi="仿宋" w:eastAsia="仿宋" w:cs="仿宋"/>
                <w:sz w:val="28"/>
                <w:szCs w:val="28"/>
              </w:rPr>
              <w:t>指</w:t>
            </w:r>
          </w:p>
        </w:tc>
        <w:tc>
          <w:tcPr>
            <w:tcW w:w="6661" w:type="dxa"/>
            <w:tcBorders>
              <w:left w:val="nil"/>
              <w:right w:val="nil"/>
            </w:tcBorders>
            <w:noWrap w:val="0"/>
            <w:vAlign w:val="center"/>
          </w:tcPr>
          <w:p>
            <w:pPr>
              <w:keepNext w:val="0"/>
              <w:keepLines w:val="0"/>
              <w:pageBreakBefore w:val="0"/>
              <w:widowControl/>
              <w:kinsoku w:val="0"/>
              <w:wordWrap/>
              <w:overflowPunct/>
              <w:topLinePunct w:val="0"/>
              <w:autoSpaceDE w:val="0"/>
              <w:autoSpaceDN w:val="0"/>
              <w:bidi w:val="0"/>
              <w:adjustRightInd w:val="0"/>
              <w:snapToGrid w:val="0"/>
              <w:spacing w:line="440" w:lineRule="exact"/>
              <w:ind w:right="0"/>
              <w:jc w:val="both"/>
              <w:textAlignment w:val="baseline"/>
              <w:rPr>
                <w:rFonts w:hint="eastAsia" w:ascii="仿宋" w:hAnsi="仿宋" w:eastAsia="仿宋" w:cs="仿宋"/>
                <w:sz w:val="28"/>
                <w:szCs w:val="28"/>
              </w:rPr>
            </w:pPr>
            <w:r>
              <w:rPr>
                <w:rFonts w:hint="eastAsia" w:ascii="仿宋" w:hAnsi="仿宋" w:eastAsia="仿宋" w:cs="仿宋"/>
                <w:spacing w:val="9"/>
                <w:sz w:val="28"/>
                <w:szCs w:val="28"/>
              </w:rPr>
              <w:t>未</w:t>
            </w:r>
            <w:r>
              <w:rPr>
                <w:rFonts w:hint="eastAsia" w:ascii="仿宋" w:hAnsi="仿宋" w:eastAsia="仿宋" w:cs="仿宋"/>
                <w:spacing w:val="10"/>
                <w:sz w:val="28"/>
                <w:szCs w:val="28"/>
              </w:rPr>
              <w:t>纳入重整范围的除应向债权人进行分配的现金外的其他财产，包括未收回应收账款、管理人预留的财产和投资人支付的重整对价。</w:t>
            </w:r>
          </w:p>
        </w:tc>
      </w:tr>
    </w:tbl>
    <w:p>
      <w:pPr>
        <w:spacing w:before="111" w:line="223" w:lineRule="auto"/>
        <w:jc w:val="both"/>
        <w:rPr>
          <w:rFonts w:hint="eastAsia" w:ascii="方正粗黑宋简体" w:hAnsi="方正粗黑宋简体" w:eastAsia="方正粗黑宋简体" w:cs="方正粗黑宋简体"/>
          <w:b/>
          <w:bCs/>
          <w:spacing w:val="-9"/>
          <w:sz w:val="36"/>
          <w:szCs w:val="36"/>
        </w:rPr>
      </w:pPr>
      <w:bookmarkStart w:id="0" w:name="_bookmark5"/>
      <w:bookmarkEnd w:id="0"/>
      <w:bookmarkStart w:id="1" w:name="_bookmark4"/>
      <w:bookmarkEnd w:id="1"/>
      <w:bookmarkStart w:id="2" w:name="_bookmark6"/>
      <w:bookmarkEnd w:id="2"/>
    </w:p>
    <w:p>
      <w:pPr>
        <w:spacing w:before="111" w:line="223" w:lineRule="auto"/>
        <w:jc w:val="center"/>
        <w:rPr>
          <w:rFonts w:ascii="Arial"/>
          <w:sz w:val="52"/>
          <w:szCs w:val="52"/>
        </w:rPr>
      </w:pPr>
      <w:r>
        <w:rPr>
          <w:rFonts w:hint="eastAsia" w:ascii="方正粗黑宋简体" w:hAnsi="方正粗黑宋简体" w:eastAsia="方正粗黑宋简体" w:cs="方正粗黑宋简体"/>
          <w:b/>
          <w:bCs/>
          <w:spacing w:val="-9"/>
          <w:sz w:val="52"/>
          <w:szCs w:val="52"/>
        </w:rPr>
        <w:t>前言</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2024年1月15日，安徽省阜阳市颍州区人民法院裁定受理阜阳市志翔汽车运输有限公司破产清算案，并指定安徽蓝邦律师事务所担任管理人。管理人自接受指定以来，为保证清算、重整期间各项工作的有序开展，对债务人进行了全面接管。管理人先后进行了债权申报与审查、资产状况调查与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2024年2月19日，阜阳市志翔汽车运输有限公司向阜阳市颍州区人民法院提出破产重整申请，阜阳市颍州区人民法院裁定债务人重整。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管理人在颍州区人民法院监督指导下，积极推进债务人破产重整工作，并积极引进重整投资人。由于债务人缺乏偿债资金，经营难以持续，亟待引入投资人筹措偿债资金。为推动和保障债务人完成重整，管理人于2024年2月19日与意向投资人进行洽谈，目前，意向投资人已经签署投资承诺书，意向投资人初步确定。管理人拟在本次债权人会议结束后在全国企业破产重整案件信息网发布债务人破产案件意向投资人招募公告，接受意向投资人报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 w:hAnsi="仿宋" w:eastAsia="仿宋" w:cs="仿宋"/>
          <w:sz w:val="32"/>
          <w:szCs w:val="32"/>
          <w:lang w:val="en-US" w:eastAsia="zh-CN"/>
        </w:rPr>
        <w:sectPr>
          <w:headerReference r:id="rId3" w:type="default"/>
          <w:footerReference r:id="rId4" w:type="default"/>
          <w:pgSz w:w="11900" w:h="16830"/>
          <w:pgMar w:top="1430" w:right="1785" w:bottom="1202" w:left="1740" w:header="850" w:footer="1134" w:gutter="0"/>
          <w:pgNumType w:fmt="decimal"/>
          <w:cols w:space="720" w:num="1"/>
        </w:sectPr>
      </w:pPr>
      <w:r>
        <w:rPr>
          <w:rFonts w:hint="eastAsia" w:ascii="仿宋" w:hAnsi="仿宋" w:eastAsia="仿宋" w:cs="仿宋"/>
          <w:sz w:val="32"/>
          <w:szCs w:val="32"/>
          <w:lang w:val="en-US" w:eastAsia="zh-CN"/>
        </w:rPr>
        <w:t>管理人依据《企业破产法》等相关法律规定，拟定了本《重整计划(草案)》。管理人在充分考虑了各方债权人利益的前提下，报经合议庭预审，管理人现交付《重整计划(草案)》供债权人会议正式表决。</w:t>
      </w:r>
    </w:p>
    <w:p>
      <w:pPr>
        <w:keepNext w:val="0"/>
        <w:keepLines w:val="0"/>
        <w:pageBreakBefore w:val="0"/>
        <w:wordWrap/>
        <w:overflowPunct/>
        <w:topLinePunct w:val="0"/>
        <w:bidi w:val="0"/>
        <w:spacing w:line="600" w:lineRule="exact"/>
        <w:jc w:val="center"/>
        <w:rPr>
          <w:rFonts w:ascii="Arial"/>
          <w:sz w:val="44"/>
          <w:szCs w:val="44"/>
        </w:rPr>
      </w:pPr>
      <w:bookmarkStart w:id="3" w:name="_bookmark7"/>
      <w:bookmarkEnd w:id="3"/>
      <w:r>
        <w:rPr>
          <w:rFonts w:hint="eastAsia" w:ascii="方正粗黑宋简体" w:hAnsi="方正粗黑宋简体" w:eastAsia="方正粗黑宋简体" w:cs="方正粗黑宋简体"/>
          <w:b/>
          <w:bCs/>
          <w:spacing w:val="-9"/>
          <w:sz w:val="44"/>
          <w:szCs w:val="44"/>
        </w:rPr>
        <w:t>摘要</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为使各债权人快速了解重整计划草案并理解本重整计划内容，现将重整计划草案摘要说明如下：</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755" w:firstLineChars="200"/>
        <w:jc w:val="both"/>
        <w:textAlignment w:val="baseline"/>
        <w:rPr>
          <w:rFonts w:ascii="仿宋" w:hAnsi="仿宋" w:eastAsia="仿宋" w:cs="仿宋"/>
          <w:b/>
          <w:bCs/>
          <w:spacing w:val="28"/>
          <w:sz w:val="32"/>
          <w:szCs w:val="32"/>
        </w:rPr>
      </w:pPr>
      <w:r>
        <w:rPr>
          <w:rFonts w:ascii="仿宋" w:hAnsi="仿宋" w:eastAsia="仿宋" w:cs="仿宋"/>
          <w:b/>
          <w:bCs/>
          <w:spacing w:val="28"/>
          <w:sz w:val="32"/>
          <w:szCs w:val="32"/>
        </w:rPr>
        <w:t>一、重整投资人及重整对价</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全国企业破产重整案件信息网发布债务人破产案件意向投资人招募公告，同时在淘宝网上将债务人出资人的100%股权进行以100万元为基础进行重整投资人招募。若无人报名，则由意向投资人以100万元的价格确定为重整投资人；如有人报名，则价高者作为重整投资人。如出现意向投资人不再出资的情形，则授权管理人自主调整价格再次招募。</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755" w:firstLineChars="200"/>
        <w:jc w:val="both"/>
        <w:textAlignment w:val="baseline"/>
        <w:rPr>
          <w:rFonts w:ascii="仿宋" w:hAnsi="仿宋" w:eastAsia="仿宋" w:cs="仿宋"/>
          <w:b/>
          <w:bCs/>
          <w:spacing w:val="28"/>
          <w:sz w:val="32"/>
          <w:szCs w:val="32"/>
        </w:rPr>
      </w:pPr>
      <w:r>
        <w:rPr>
          <w:rFonts w:ascii="仿宋" w:hAnsi="仿宋" w:eastAsia="仿宋" w:cs="仿宋"/>
          <w:b/>
          <w:bCs/>
          <w:spacing w:val="28"/>
          <w:sz w:val="32"/>
          <w:szCs w:val="32"/>
        </w:rPr>
        <w:t>二、出资人权益调整</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债务人2名出资人的权益均调整为0，将股权以1元对价过户给重整投资人，由重整投资人持有债务人100%股权。</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755" w:firstLineChars="200"/>
        <w:jc w:val="both"/>
        <w:textAlignment w:val="baseline"/>
        <w:rPr>
          <w:rFonts w:ascii="仿宋" w:hAnsi="仿宋" w:eastAsia="仿宋" w:cs="仿宋"/>
          <w:b/>
          <w:bCs/>
          <w:spacing w:val="28"/>
          <w:sz w:val="32"/>
          <w:szCs w:val="32"/>
        </w:rPr>
      </w:pPr>
      <w:r>
        <w:rPr>
          <w:rFonts w:ascii="仿宋" w:hAnsi="仿宋" w:eastAsia="仿宋" w:cs="仿宋"/>
          <w:b/>
          <w:bCs/>
          <w:spacing w:val="28"/>
          <w:sz w:val="32"/>
          <w:szCs w:val="32"/>
        </w:rPr>
        <w:t>三、重整范围与重整模式</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752" w:firstLineChars="200"/>
        <w:jc w:val="both"/>
        <w:textAlignment w:val="baseline"/>
        <w:rPr>
          <w:rFonts w:hint="default" w:ascii="仿宋" w:hAnsi="仿宋" w:eastAsia="仿宋" w:cs="仿宋"/>
          <w:color w:val="FF0000"/>
          <w:spacing w:val="28"/>
          <w:sz w:val="32"/>
          <w:szCs w:val="32"/>
          <w:lang w:val="en-US"/>
        </w:rPr>
      </w:pPr>
      <w:r>
        <w:rPr>
          <w:rFonts w:ascii="仿宋" w:hAnsi="仿宋" w:eastAsia="仿宋" w:cs="仿宋"/>
          <w:spacing w:val="28"/>
          <w:sz w:val="32"/>
          <w:szCs w:val="32"/>
        </w:rPr>
        <w:t>本次重整拟以</w:t>
      </w:r>
      <w:r>
        <w:rPr>
          <w:rFonts w:hint="eastAsia" w:ascii="仿宋" w:hAnsi="仿宋" w:eastAsia="仿宋" w:cs="仿宋"/>
          <w:spacing w:val="28"/>
          <w:sz w:val="32"/>
          <w:szCs w:val="32"/>
          <w:lang w:val="en-US" w:eastAsia="zh-CN"/>
        </w:rPr>
        <w:t>股权让渡的方式</w:t>
      </w:r>
      <w:r>
        <w:rPr>
          <w:rFonts w:ascii="仿宋" w:hAnsi="仿宋" w:eastAsia="仿宋" w:cs="仿宋"/>
          <w:spacing w:val="28"/>
          <w:sz w:val="32"/>
          <w:szCs w:val="32"/>
        </w:rPr>
        <w:t>进行，重整投资人受让</w:t>
      </w:r>
      <w:r>
        <w:rPr>
          <w:rFonts w:hint="eastAsia" w:ascii="仿宋" w:hAnsi="仿宋" w:eastAsia="仿宋" w:cs="仿宋"/>
          <w:spacing w:val="28"/>
          <w:sz w:val="32"/>
          <w:szCs w:val="32"/>
          <w:lang w:val="en-US" w:eastAsia="zh-CN"/>
        </w:rPr>
        <w:t>债务人出资人</w:t>
      </w:r>
      <w:r>
        <w:rPr>
          <w:rFonts w:ascii="仿宋" w:hAnsi="仿宋" w:eastAsia="仿宋" w:cs="仿宋"/>
          <w:spacing w:val="28"/>
          <w:sz w:val="32"/>
          <w:szCs w:val="32"/>
        </w:rPr>
        <w:t>100%股权，</w:t>
      </w:r>
      <w:r>
        <w:rPr>
          <w:rFonts w:hint="eastAsia" w:ascii="仿宋" w:hAnsi="仿宋" w:eastAsia="仿宋" w:cs="仿宋"/>
          <w:spacing w:val="28"/>
          <w:sz w:val="32"/>
          <w:szCs w:val="32"/>
          <w:lang w:val="en-US" w:eastAsia="zh-CN"/>
        </w:rPr>
        <w:t>因债务人名下车辆均为挂靠车辆，并非车辆的实际所有人，故</w:t>
      </w:r>
      <w:r>
        <w:rPr>
          <w:rFonts w:ascii="仿宋" w:hAnsi="仿宋" w:eastAsia="仿宋" w:cs="仿宋"/>
          <w:spacing w:val="28"/>
          <w:sz w:val="32"/>
          <w:szCs w:val="32"/>
        </w:rPr>
        <w:t>重整投资人受让</w:t>
      </w:r>
      <w:r>
        <w:rPr>
          <w:rFonts w:hint="eastAsia" w:ascii="仿宋" w:hAnsi="仿宋" w:eastAsia="仿宋" w:cs="仿宋"/>
          <w:spacing w:val="28"/>
          <w:sz w:val="32"/>
          <w:szCs w:val="32"/>
          <w:lang w:val="en-US" w:eastAsia="zh-CN"/>
        </w:rPr>
        <w:t>债务人出资人100%股权后，继续保持原来的挂靠经营状态，取得债务人名下全部登记车辆的经营管理权。</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752" w:firstLineChars="200"/>
        <w:jc w:val="both"/>
        <w:textAlignment w:val="baseline"/>
        <w:rPr>
          <w:rFonts w:ascii="仿宋" w:hAnsi="仿宋" w:eastAsia="仿宋" w:cs="仿宋"/>
          <w:spacing w:val="28"/>
          <w:sz w:val="32"/>
          <w:szCs w:val="32"/>
        </w:rPr>
      </w:pPr>
      <w:r>
        <w:rPr>
          <w:rFonts w:ascii="仿宋" w:hAnsi="仿宋" w:eastAsia="仿宋" w:cs="仿宋"/>
          <w:spacing w:val="28"/>
          <w:sz w:val="32"/>
          <w:szCs w:val="32"/>
        </w:rPr>
        <w:t>重整投资人受让</w:t>
      </w:r>
      <w:r>
        <w:rPr>
          <w:rFonts w:hint="eastAsia" w:ascii="仿宋" w:hAnsi="仿宋" w:eastAsia="仿宋" w:cs="仿宋"/>
          <w:spacing w:val="28"/>
          <w:sz w:val="32"/>
          <w:szCs w:val="32"/>
          <w:lang w:eastAsia="zh-CN"/>
        </w:rPr>
        <w:t>债务人</w:t>
      </w:r>
      <w:r>
        <w:rPr>
          <w:rFonts w:hint="eastAsia" w:ascii="仿宋" w:hAnsi="仿宋" w:eastAsia="仿宋" w:cs="仿宋"/>
          <w:spacing w:val="28"/>
          <w:sz w:val="32"/>
          <w:szCs w:val="32"/>
          <w:lang w:val="en-US" w:eastAsia="zh-CN"/>
        </w:rPr>
        <w:t>出资人</w:t>
      </w:r>
      <w:r>
        <w:rPr>
          <w:rFonts w:ascii="仿宋" w:hAnsi="仿宋" w:eastAsia="仿宋" w:cs="仿宋"/>
          <w:spacing w:val="28"/>
          <w:sz w:val="32"/>
          <w:szCs w:val="32"/>
        </w:rPr>
        <w:t>100%股权</w:t>
      </w:r>
      <w:r>
        <w:rPr>
          <w:rFonts w:hint="eastAsia" w:ascii="仿宋" w:hAnsi="仿宋" w:eastAsia="仿宋" w:cs="仿宋"/>
          <w:spacing w:val="28"/>
          <w:sz w:val="32"/>
          <w:szCs w:val="32"/>
          <w:lang w:val="en-US" w:eastAsia="zh-CN"/>
        </w:rPr>
        <w:t>前的对外应收账款</w:t>
      </w:r>
      <w:r>
        <w:rPr>
          <w:rFonts w:ascii="仿宋" w:hAnsi="仿宋" w:eastAsia="仿宋" w:cs="仿宋"/>
          <w:spacing w:val="28"/>
          <w:sz w:val="32"/>
          <w:szCs w:val="32"/>
        </w:rPr>
        <w:t>不属于重整范围。</w:t>
      </w:r>
      <w:r>
        <w:rPr>
          <w:rFonts w:hint="eastAsia" w:ascii="仿宋" w:hAnsi="仿宋" w:eastAsia="仿宋" w:cs="仿宋"/>
          <w:spacing w:val="28"/>
          <w:sz w:val="32"/>
          <w:szCs w:val="32"/>
          <w:lang w:val="en-US" w:eastAsia="zh-CN"/>
        </w:rPr>
        <w:t>对外应收账款</w:t>
      </w:r>
      <w:r>
        <w:rPr>
          <w:rFonts w:ascii="仿宋" w:hAnsi="仿宋" w:eastAsia="仿宋" w:cs="仿宋"/>
          <w:spacing w:val="28"/>
          <w:sz w:val="32"/>
          <w:szCs w:val="32"/>
        </w:rPr>
        <w:t>待</w:t>
      </w:r>
      <w:r>
        <w:rPr>
          <w:rFonts w:hint="eastAsia" w:ascii="仿宋" w:hAnsi="仿宋" w:eastAsia="仿宋" w:cs="仿宋"/>
          <w:spacing w:val="28"/>
          <w:sz w:val="32"/>
          <w:szCs w:val="32"/>
          <w:lang w:val="en-US" w:eastAsia="zh-CN"/>
        </w:rPr>
        <w:t>追收</w:t>
      </w:r>
      <w:r>
        <w:rPr>
          <w:rFonts w:ascii="仿宋" w:hAnsi="仿宋" w:eastAsia="仿宋" w:cs="仿宋"/>
          <w:spacing w:val="28"/>
          <w:sz w:val="32"/>
          <w:szCs w:val="32"/>
        </w:rPr>
        <w:t>财产</w:t>
      </w:r>
      <w:r>
        <w:rPr>
          <w:rFonts w:hint="eastAsia" w:ascii="仿宋" w:hAnsi="仿宋" w:eastAsia="仿宋" w:cs="仿宋"/>
          <w:spacing w:val="28"/>
          <w:sz w:val="32"/>
          <w:szCs w:val="32"/>
          <w:lang w:eastAsia="zh-CN"/>
        </w:rPr>
        <w:t>，</w:t>
      </w:r>
      <w:r>
        <w:rPr>
          <w:rFonts w:ascii="仿宋" w:hAnsi="仿宋" w:eastAsia="仿宋" w:cs="仿宋"/>
          <w:spacing w:val="28"/>
          <w:sz w:val="32"/>
          <w:szCs w:val="32"/>
        </w:rPr>
        <w:t>由</w:t>
      </w:r>
      <w:r>
        <w:rPr>
          <w:rFonts w:hint="eastAsia" w:ascii="仿宋" w:hAnsi="仿宋" w:eastAsia="仿宋" w:cs="仿宋"/>
          <w:spacing w:val="28"/>
          <w:sz w:val="32"/>
          <w:szCs w:val="32"/>
          <w:lang w:val="en-US" w:eastAsia="zh-CN"/>
        </w:rPr>
        <w:t>管理人向人民法院提起诉讼、执行</w:t>
      </w:r>
      <w:r>
        <w:rPr>
          <w:rFonts w:ascii="仿宋" w:hAnsi="仿宋" w:eastAsia="仿宋" w:cs="仿宋"/>
          <w:spacing w:val="28"/>
          <w:sz w:val="32"/>
          <w:szCs w:val="32"/>
        </w:rPr>
        <w:t>，实现待</w:t>
      </w:r>
      <w:r>
        <w:rPr>
          <w:rFonts w:hint="eastAsia" w:ascii="仿宋" w:hAnsi="仿宋" w:eastAsia="仿宋" w:cs="仿宋"/>
          <w:spacing w:val="28"/>
          <w:sz w:val="32"/>
          <w:szCs w:val="32"/>
          <w:lang w:val="en-US" w:eastAsia="zh-CN"/>
        </w:rPr>
        <w:t>追收</w:t>
      </w:r>
      <w:r>
        <w:rPr>
          <w:rFonts w:ascii="仿宋" w:hAnsi="仿宋" w:eastAsia="仿宋" w:cs="仿宋"/>
          <w:spacing w:val="28"/>
          <w:sz w:val="32"/>
          <w:szCs w:val="32"/>
        </w:rPr>
        <w:t>财产的清理</w:t>
      </w:r>
      <w:r>
        <w:rPr>
          <w:rFonts w:hint="eastAsia" w:ascii="仿宋" w:hAnsi="仿宋" w:eastAsia="仿宋" w:cs="仿宋"/>
          <w:spacing w:val="28"/>
          <w:sz w:val="32"/>
          <w:szCs w:val="32"/>
          <w:lang w:eastAsia="zh-CN"/>
        </w:rPr>
        <w:t>、</w:t>
      </w:r>
      <w:r>
        <w:rPr>
          <w:rFonts w:ascii="仿宋" w:hAnsi="仿宋" w:eastAsia="仿宋" w:cs="仿宋"/>
          <w:spacing w:val="28"/>
          <w:sz w:val="32"/>
          <w:szCs w:val="32"/>
        </w:rPr>
        <w:t>催</w:t>
      </w:r>
      <w:r>
        <w:rPr>
          <w:rFonts w:hint="eastAsia" w:ascii="仿宋" w:hAnsi="仿宋" w:eastAsia="仿宋" w:cs="仿宋"/>
          <w:spacing w:val="28"/>
          <w:sz w:val="32"/>
          <w:szCs w:val="32"/>
          <w:lang w:val="en-US" w:eastAsia="zh-CN"/>
        </w:rPr>
        <w:t>收、</w:t>
      </w:r>
      <w:r>
        <w:rPr>
          <w:rFonts w:ascii="仿宋" w:hAnsi="仿宋" w:eastAsia="仿宋" w:cs="仿宋"/>
          <w:spacing w:val="28"/>
          <w:sz w:val="32"/>
          <w:szCs w:val="32"/>
        </w:rPr>
        <w:t>分配等工作，</w:t>
      </w:r>
      <w:r>
        <w:rPr>
          <w:rFonts w:hint="eastAsia" w:ascii="仿宋" w:hAnsi="仿宋" w:eastAsia="仿宋" w:cs="仿宋"/>
          <w:spacing w:val="28"/>
          <w:sz w:val="32"/>
          <w:szCs w:val="32"/>
          <w:lang w:val="en-US" w:eastAsia="zh-CN"/>
        </w:rPr>
        <w:t>追</w:t>
      </w:r>
      <w:r>
        <w:rPr>
          <w:rFonts w:ascii="仿宋" w:hAnsi="仿宋" w:eastAsia="仿宋" w:cs="仿宋"/>
          <w:spacing w:val="28"/>
          <w:sz w:val="32"/>
          <w:szCs w:val="32"/>
        </w:rPr>
        <w:t>收所得等可分配现金在优先支付相关费用后</w:t>
      </w:r>
      <w:r>
        <w:rPr>
          <w:rFonts w:hint="eastAsia" w:ascii="仿宋" w:hAnsi="仿宋" w:eastAsia="仿宋" w:cs="仿宋"/>
          <w:spacing w:val="28"/>
          <w:sz w:val="32"/>
          <w:szCs w:val="32"/>
          <w:lang w:eastAsia="zh-CN"/>
        </w:rPr>
        <w:t>，</w:t>
      </w:r>
      <w:r>
        <w:rPr>
          <w:rFonts w:ascii="仿宋" w:hAnsi="仿宋" w:eastAsia="仿宋" w:cs="仿宋"/>
          <w:spacing w:val="28"/>
          <w:sz w:val="32"/>
          <w:szCs w:val="32"/>
        </w:rPr>
        <w:t>向未获全额清偿的债权人按照</w:t>
      </w:r>
      <w:r>
        <w:rPr>
          <w:rFonts w:hint="eastAsia" w:ascii="仿宋" w:hAnsi="仿宋" w:eastAsia="仿宋" w:cs="仿宋"/>
          <w:spacing w:val="28"/>
          <w:sz w:val="32"/>
          <w:szCs w:val="32"/>
          <w:lang w:val="en-US" w:eastAsia="zh-CN"/>
        </w:rPr>
        <w:t>本次</w:t>
      </w:r>
      <w:r>
        <w:rPr>
          <w:rFonts w:ascii="仿宋" w:hAnsi="仿宋" w:eastAsia="仿宋" w:cs="仿宋"/>
          <w:spacing w:val="28"/>
          <w:sz w:val="32"/>
          <w:szCs w:val="32"/>
        </w:rPr>
        <w:t>债权人会议通过</w:t>
      </w:r>
      <w:r>
        <w:rPr>
          <w:rFonts w:hint="eastAsia" w:ascii="仿宋" w:hAnsi="仿宋" w:eastAsia="仿宋" w:cs="仿宋"/>
          <w:spacing w:val="28"/>
          <w:sz w:val="32"/>
          <w:szCs w:val="32"/>
          <w:lang w:val="en-US" w:eastAsia="zh-CN"/>
        </w:rPr>
        <w:t>的</w:t>
      </w:r>
      <w:r>
        <w:rPr>
          <w:rFonts w:ascii="仿宋" w:hAnsi="仿宋" w:eastAsia="仿宋" w:cs="仿宋"/>
          <w:spacing w:val="28"/>
          <w:sz w:val="32"/>
          <w:szCs w:val="32"/>
        </w:rPr>
        <w:t>分配</w:t>
      </w:r>
      <w:r>
        <w:rPr>
          <w:rFonts w:hint="eastAsia" w:ascii="仿宋" w:hAnsi="仿宋" w:eastAsia="仿宋" w:cs="仿宋"/>
          <w:spacing w:val="28"/>
          <w:sz w:val="32"/>
          <w:szCs w:val="32"/>
          <w:lang w:val="en-US" w:eastAsia="zh-CN"/>
        </w:rPr>
        <w:t>方案</w:t>
      </w:r>
      <w:r>
        <w:rPr>
          <w:rFonts w:ascii="仿宋" w:hAnsi="仿宋" w:eastAsia="仿宋" w:cs="仿宋"/>
          <w:spacing w:val="28"/>
          <w:sz w:val="32"/>
          <w:szCs w:val="32"/>
        </w:rPr>
        <w:t>向债权人分配</w:t>
      </w:r>
      <w:r>
        <w:rPr>
          <w:rFonts w:hint="eastAsia" w:ascii="仿宋" w:hAnsi="仿宋" w:eastAsia="仿宋" w:cs="仿宋"/>
          <w:spacing w:val="28"/>
          <w:sz w:val="32"/>
          <w:szCs w:val="32"/>
          <w:lang w:eastAsia="zh-CN"/>
        </w:rPr>
        <w:t>。</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752" w:firstLineChars="200"/>
        <w:jc w:val="both"/>
        <w:textAlignment w:val="baseline"/>
        <w:rPr>
          <w:rFonts w:ascii="仿宋" w:hAnsi="仿宋" w:eastAsia="仿宋" w:cs="仿宋"/>
          <w:spacing w:val="28"/>
          <w:sz w:val="32"/>
          <w:szCs w:val="32"/>
        </w:rPr>
      </w:pPr>
      <w:r>
        <w:rPr>
          <w:rFonts w:ascii="仿宋" w:hAnsi="仿宋" w:eastAsia="仿宋" w:cs="仿宋"/>
          <w:spacing w:val="28"/>
          <w:sz w:val="32"/>
          <w:szCs w:val="32"/>
        </w:rPr>
        <w:t>对于未依照破产法规定申报债权的债权人，在重整计划执行期间不得行使权利</w:t>
      </w:r>
      <w:r>
        <w:rPr>
          <w:rFonts w:hint="eastAsia" w:ascii="仿宋" w:hAnsi="仿宋" w:eastAsia="仿宋" w:cs="仿宋"/>
          <w:spacing w:val="28"/>
          <w:sz w:val="32"/>
          <w:szCs w:val="32"/>
          <w:lang w:eastAsia="zh-CN"/>
        </w:rPr>
        <w:t>。</w:t>
      </w:r>
      <w:r>
        <w:rPr>
          <w:rFonts w:ascii="仿宋" w:hAnsi="仿宋" w:eastAsia="仿宋" w:cs="仿宋"/>
          <w:spacing w:val="28"/>
          <w:sz w:val="32"/>
          <w:szCs w:val="32"/>
        </w:rPr>
        <w:t>在重整计划执行完毕后，可以按照重整计划规定的同类债权的清偿条件</w:t>
      </w:r>
      <w:r>
        <w:rPr>
          <w:rFonts w:hint="eastAsia" w:ascii="仿宋" w:hAnsi="仿宋" w:eastAsia="仿宋" w:cs="仿宋"/>
          <w:spacing w:val="28"/>
          <w:sz w:val="32"/>
          <w:szCs w:val="32"/>
          <w:lang w:val="en-US" w:eastAsia="zh-CN"/>
        </w:rPr>
        <w:t>在未分配财产范围内</w:t>
      </w:r>
      <w:r>
        <w:rPr>
          <w:rFonts w:ascii="仿宋" w:hAnsi="仿宋" w:eastAsia="仿宋" w:cs="仿宋"/>
          <w:spacing w:val="28"/>
          <w:sz w:val="32"/>
          <w:szCs w:val="32"/>
        </w:rPr>
        <w:t>行使权利，不得以任何理由通过任何方</w:t>
      </w:r>
      <w:r>
        <w:rPr>
          <w:rFonts w:hint="eastAsia" w:ascii="仿宋" w:hAnsi="仿宋" w:eastAsia="仿宋" w:cs="仿宋"/>
          <w:spacing w:val="28"/>
          <w:sz w:val="32"/>
          <w:szCs w:val="32"/>
          <w:lang w:val="en-US" w:eastAsia="zh-CN"/>
        </w:rPr>
        <w:t>式、</w:t>
      </w:r>
      <w:r>
        <w:rPr>
          <w:rFonts w:ascii="仿宋" w:hAnsi="仿宋" w:eastAsia="仿宋" w:cs="仿宋"/>
          <w:spacing w:val="28"/>
          <w:sz w:val="32"/>
          <w:szCs w:val="32"/>
        </w:rPr>
        <w:t>途径向重整</w:t>
      </w:r>
      <w:r>
        <w:rPr>
          <w:rFonts w:hint="eastAsia" w:ascii="仿宋" w:hAnsi="仿宋" w:eastAsia="仿宋" w:cs="仿宋"/>
          <w:spacing w:val="28"/>
          <w:sz w:val="32"/>
          <w:szCs w:val="32"/>
          <w:lang w:val="en-US" w:eastAsia="zh-CN"/>
        </w:rPr>
        <w:t>投资人</w:t>
      </w:r>
      <w:r>
        <w:rPr>
          <w:rFonts w:ascii="仿宋" w:hAnsi="仿宋" w:eastAsia="仿宋" w:cs="仿宋"/>
          <w:spacing w:val="28"/>
          <w:sz w:val="32"/>
          <w:szCs w:val="32"/>
        </w:rPr>
        <w:t>主张权利。</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600" w:lineRule="exact"/>
        <w:ind w:right="0" w:rightChars="0" w:firstLine="755" w:firstLineChars="200"/>
        <w:jc w:val="both"/>
        <w:textAlignment w:val="baseline"/>
        <w:rPr>
          <w:rFonts w:ascii="仿宋" w:hAnsi="仿宋" w:eastAsia="仿宋" w:cs="仿宋"/>
          <w:b/>
          <w:bCs/>
          <w:spacing w:val="28"/>
          <w:sz w:val="32"/>
          <w:szCs w:val="32"/>
        </w:rPr>
      </w:pPr>
      <w:bookmarkStart w:id="4" w:name="_bookmark9"/>
      <w:bookmarkEnd w:id="4"/>
      <w:bookmarkStart w:id="5" w:name="_bookmark8"/>
      <w:bookmarkEnd w:id="5"/>
      <w:r>
        <w:rPr>
          <w:rFonts w:hint="eastAsia" w:ascii="仿宋" w:hAnsi="仿宋" w:eastAsia="仿宋" w:cs="仿宋"/>
          <w:b/>
          <w:bCs/>
          <w:spacing w:val="28"/>
          <w:sz w:val="32"/>
          <w:szCs w:val="32"/>
          <w:lang w:val="en-US" w:eastAsia="zh-CN"/>
        </w:rPr>
        <w:t>四、</w:t>
      </w:r>
      <w:r>
        <w:rPr>
          <w:rFonts w:ascii="仿宋" w:hAnsi="仿宋" w:eastAsia="仿宋" w:cs="仿宋"/>
          <w:b/>
          <w:bCs/>
          <w:spacing w:val="28"/>
          <w:sz w:val="32"/>
          <w:szCs w:val="32"/>
        </w:rPr>
        <w:t>债权调整及受偿方案</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752" w:firstLineChars="200"/>
        <w:jc w:val="both"/>
        <w:textAlignment w:val="baseline"/>
        <w:rPr>
          <w:rFonts w:hint="default" w:ascii="仿宋" w:hAnsi="仿宋" w:eastAsia="仿宋" w:cs="仿宋"/>
          <w:spacing w:val="28"/>
          <w:sz w:val="32"/>
          <w:szCs w:val="32"/>
          <w:lang w:val="en-US" w:eastAsia="zh-CN"/>
        </w:rPr>
      </w:pPr>
      <w:r>
        <w:rPr>
          <w:rFonts w:ascii="仿宋" w:hAnsi="仿宋" w:eastAsia="仿宋" w:cs="仿宋"/>
          <w:spacing w:val="28"/>
          <w:sz w:val="32"/>
          <w:szCs w:val="32"/>
        </w:rPr>
        <w:t>1.</w:t>
      </w:r>
      <w:r>
        <w:rPr>
          <w:rFonts w:hint="eastAsia" w:ascii="仿宋" w:hAnsi="仿宋" w:eastAsia="仿宋" w:cs="仿宋"/>
          <w:spacing w:val="28"/>
          <w:sz w:val="32"/>
          <w:szCs w:val="32"/>
          <w:lang w:val="en-US" w:eastAsia="zh-CN"/>
        </w:rPr>
        <w:t>对本案的破产费用不作调整，</w:t>
      </w:r>
      <w:r>
        <w:rPr>
          <w:rFonts w:ascii="仿宋" w:hAnsi="仿宋" w:eastAsia="仿宋" w:cs="仿宋"/>
          <w:spacing w:val="28"/>
          <w:sz w:val="32"/>
          <w:szCs w:val="32"/>
        </w:rPr>
        <w:t>以现金方式全额清偿。自</w:t>
      </w:r>
      <w:r>
        <w:rPr>
          <w:rFonts w:hint="eastAsia" w:ascii="仿宋" w:hAnsi="仿宋" w:eastAsia="仿宋" w:cs="仿宋"/>
          <w:spacing w:val="28"/>
          <w:sz w:val="32"/>
          <w:szCs w:val="32"/>
          <w:lang w:val="en-US" w:eastAsia="zh-CN"/>
        </w:rPr>
        <w:t>人民</w:t>
      </w:r>
      <w:r>
        <w:rPr>
          <w:rFonts w:ascii="仿宋" w:hAnsi="仿宋" w:eastAsia="仿宋" w:cs="仿宋"/>
          <w:spacing w:val="28"/>
          <w:sz w:val="32"/>
          <w:szCs w:val="32"/>
        </w:rPr>
        <w:t>法院裁定批准重整计划之日起</w:t>
      </w:r>
      <w:r>
        <w:rPr>
          <w:rFonts w:hint="eastAsia" w:ascii="仿宋" w:hAnsi="仿宋" w:eastAsia="仿宋" w:cs="仿宋"/>
          <w:spacing w:val="28"/>
          <w:sz w:val="32"/>
          <w:szCs w:val="32"/>
          <w:lang w:val="en-US" w:eastAsia="zh-CN"/>
        </w:rPr>
        <w:t>15日</w:t>
      </w:r>
      <w:r>
        <w:rPr>
          <w:rFonts w:ascii="仿宋" w:hAnsi="仿宋" w:eastAsia="仿宋" w:cs="仿宋"/>
          <w:spacing w:val="28"/>
          <w:sz w:val="32"/>
          <w:szCs w:val="32"/>
        </w:rPr>
        <w:t>内</w:t>
      </w:r>
      <w:r>
        <w:rPr>
          <w:rFonts w:hint="eastAsia" w:ascii="仿宋" w:hAnsi="仿宋" w:eastAsia="仿宋" w:cs="仿宋"/>
          <w:spacing w:val="28"/>
          <w:sz w:val="32"/>
          <w:szCs w:val="32"/>
          <w:lang w:val="en-US" w:eastAsia="zh-CN"/>
        </w:rPr>
        <w:t>由重整投资人</w:t>
      </w:r>
      <w:r>
        <w:rPr>
          <w:rFonts w:ascii="仿宋" w:hAnsi="仿宋" w:eastAsia="仿宋" w:cs="仿宋"/>
          <w:spacing w:val="28"/>
          <w:sz w:val="32"/>
          <w:szCs w:val="32"/>
        </w:rPr>
        <w:t>全额清偿。</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752" w:firstLineChars="200"/>
        <w:jc w:val="both"/>
        <w:textAlignment w:val="baseline"/>
        <w:rPr>
          <w:rFonts w:ascii="仿宋" w:hAnsi="仿宋" w:eastAsia="仿宋" w:cs="仿宋"/>
          <w:spacing w:val="28"/>
          <w:sz w:val="32"/>
          <w:szCs w:val="32"/>
        </w:rPr>
      </w:pPr>
      <w:r>
        <w:rPr>
          <w:rFonts w:ascii="仿宋" w:hAnsi="仿宋" w:eastAsia="仿宋" w:cs="仿宋"/>
          <w:spacing w:val="28"/>
          <w:sz w:val="32"/>
          <w:szCs w:val="32"/>
        </w:rPr>
        <w:t>2.对本案的共益债务不作调整，以现金方式全额清偿。自</w:t>
      </w:r>
      <w:r>
        <w:rPr>
          <w:rFonts w:hint="eastAsia" w:ascii="仿宋" w:hAnsi="仿宋" w:eastAsia="仿宋" w:cs="仿宋"/>
          <w:spacing w:val="28"/>
          <w:sz w:val="32"/>
          <w:szCs w:val="32"/>
          <w:lang w:val="en-US" w:eastAsia="zh-CN"/>
        </w:rPr>
        <w:t>人民</w:t>
      </w:r>
      <w:r>
        <w:rPr>
          <w:rFonts w:ascii="仿宋" w:hAnsi="仿宋" w:eastAsia="仿宋" w:cs="仿宋"/>
          <w:spacing w:val="28"/>
          <w:sz w:val="32"/>
          <w:szCs w:val="32"/>
        </w:rPr>
        <w:t>法院裁定批准重整计划之日起</w:t>
      </w:r>
      <w:r>
        <w:rPr>
          <w:rFonts w:hint="eastAsia" w:ascii="仿宋" w:hAnsi="仿宋" w:eastAsia="仿宋" w:cs="仿宋"/>
          <w:spacing w:val="28"/>
          <w:sz w:val="32"/>
          <w:szCs w:val="32"/>
          <w:lang w:val="en-US" w:eastAsia="zh-CN"/>
        </w:rPr>
        <w:t>15日</w:t>
      </w:r>
      <w:r>
        <w:rPr>
          <w:rFonts w:ascii="仿宋" w:hAnsi="仿宋" w:eastAsia="仿宋" w:cs="仿宋"/>
          <w:spacing w:val="28"/>
          <w:sz w:val="32"/>
          <w:szCs w:val="32"/>
        </w:rPr>
        <w:t>内</w:t>
      </w:r>
      <w:r>
        <w:rPr>
          <w:rFonts w:hint="eastAsia" w:ascii="仿宋" w:hAnsi="仿宋" w:eastAsia="仿宋" w:cs="仿宋"/>
          <w:spacing w:val="28"/>
          <w:sz w:val="32"/>
          <w:szCs w:val="32"/>
          <w:lang w:val="en-US" w:eastAsia="zh-CN"/>
        </w:rPr>
        <w:t>由重整投资人</w:t>
      </w:r>
      <w:r>
        <w:rPr>
          <w:rFonts w:ascii="仿宋" w:hAnsi="仿宋" w:eastAsia="仿宋" w:cs="仿宋"/>
          <w:spacing w:val="28"/>
          <w:sz w:val="32"/>
          <w:szCs w:val="32"/>
        </w:rPr>
        <w:t>全额清偿。</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752" w:firstLineChars="200"/>
        <w:jc w:val="both"/>
        <w:textAlignment w:val="baseline"/>
        <w:rPr>
          <w:rFonts w:ascii="仿宋" w:hAnsi="仿宋" w:eastAsia="仿宋" w:cs="仿宋"/>
          <w:spacing w:val="28"/>
          <w:sz w:val="32"/>
          <w:szCs w:val="32"/>
        </w:rPr>
      </w:pPr>
      <w:r>
        <w:rPr>
          <w:rFonts w:hint="eastAsia" w:ascii="仿宋" w:hAnsi="仿宋" w:eastAsia="仿宋" w:cs="仿宋"/>
          <w:spacing w:val="28"/>
          <w:sz w:val="32"/>
          <w:szCs w:val="32"/>
          <w:lang w:val="en-US" w:eastAsia="zh-CN"/>
        </w:rPr>
        <w:t>3.</w:t>
      </w:r>
      <w:r>
        <w:rPr>
          <w:rFonts w:ascii="仿宋" w:hAnsi="仿宋" w:eastAsia="仿宋" w:cs="仿宋"/>
          <w:spacing w:val="28"/>
          <w:sz w:val="32"/>
          <w:szCs w:val="32"/>
        </w:rPr>
        <w:t>对职工债权不作调整，以现金方式全额清</w:t>
      </w:r>
      <w:r>
        <w:rPr>
          <w:rFonts w:hint="eastAsia" w:ascii="仿宋" w:hAnsi="仿宋" w:eastAsia="仿宋" w:cs="仿宋"/>
          <w:spacing w:val="28"/>
          <w:sz w:val="32"/>
          <w:szCs w:val="32"/>
          <w:lang w:val="en-US" w:eastAsia="zh-CN"/>
        </w:rPr>
        <w:t>偿。</w:t>
      </w:r>
      <w:r>
        <w:rPr>
          <w:rFonts w:ascii="仿宋" w:hAnsi="仿宋" w:eastAsia="仿宋" w:cs="仿宋"/>
          <w:spacing w:val="28"/>
          <w:sz w:val="32"/>
          <w:szCs w:val="32"/>
        </w:rPr>
        <w:t>自</w:t>
      </w:r>
      <w:r>
        <w:rPr>
          <w:rFonts w:hint="eastAsia" w:ascii="仿宋" w:hAnsi="仿宋" w:eastAsia="仿宋" w:cs="仿宋"/>
          <w:spacing w:val="28"/>
          <w:sz w:val="32"/>
          <w:szCs w:val="32"/>
          <w:lang w:val="en-US" w:eastAsia="zh-CN"/>
        </w:rPr>
        <w:t>人民</w:t>
      </w:r>
      <w:r>
        <w:rPr>
          <w:rFonts w:ascii="仿宋" w:hAnsi="仿宋" w:eastAsia="仿宋" w:cs="仿宋"/>
          <w:spacing w:val="28"/>
          <w:sz w:val="32"/>
          <w:szCs w:val="32"/>
        </w:rPr>
        <w:t>法院裁定批准重整计划之日起1个月内全额清偿。</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752" w:firstLineChars="200"/>
        <w:jc w:val="both"/>
        <w:textAlignment w:val="baseline"/>
        <w:rPr>
          <w:rFonts w:ascii="仿宋" w:hAnsi="仿宋" w:eastAsia="仿宋" w:cs="仿宋"/>
          <w:spacing w:val="28"/>
          <w:sz w:val="32"/>
          <w:szCs w:val="32"/>
        </w:rPr>
      </w:pPr>
      <w:r>
        <w:rPr>
          <w:rFonts w:hint="eastAsia" w:ascii="仿宋" w:hAnsi="仿宋" w:eastAsia="仿宋" w:cs="仿宋"/>
          <w:spacing w:val="28"/>
          <w:sz w:val="32"/>
          <w:szCs w:val="32"/>
          <w:lang w:val="en-US" w:eastAsia="zh-CN"/>
        </w:rPr>
        <w:t>4</w:t>
      </w:r>
      <w:r>
        <w:rPr>
          <w:rFonts w:ascii="仿宋" w:hAnsi="仿宋" w:eastAsia="仿宋" w:cs="仿宋"/>
          <w:spacing w:val="28"/>
          <w:sz w:val="32"/>
          <w:szCs w:val="32"/>
        </w:rPr>
        <w:t>.对已确认的普通债权</w:t>
      </w:r>
      <w:r>
        <w:rPr>
          <w:rFonts w:hint="eastAsia" w:ascii="仿宋" w:hAnsi="仿宋" w:eastAsia="仿宋" w:cs="仿宋"/>
          <w:spacing w:val="28"/>
          <w:sz w:val="32"/>
          <w:szCs w:val="32"/>
          <w:lang w:eastAsia="zh-CN"/>
        </w:rPr>
        <w:t>，</w:t>
      </w:r>
      <w:r>
        <w:rPr>
          <w:rFonts w:hint="eastAsia" w:ascii="仿宋" w:hAnsi="仿宋" w:eastAsia="仿宋" w:cs="仿宋"/>
          <w:spacing w:val="28"/>
          <w:sz w:val="32"/>
          <w:szCs w:val="32"/>
          <w:lang w:val="en-US" w:eastAsia="zh-CN"/>
        </w:rPr>
        <w:t>按照最终处置债务人100%股权所得款项，清偿上述破产费用、共益债务、职工债权、税务债权后，</w:t>
      </w:r>
      <w:r>
        <w:rPr>
          <w:rFonts w:ascii="仿宋" w:hAnsi="仿宋" w:eastAsia="仿宋" w:cs="仿宋"/>
          <w:spacing w:val="28"/>
          <w:sz w:val="32"/>
          <w:szCs w:val="32"/>
        </w:rPr>
        <w:t>实际剩余</w:t>
      </w:r>
      <w:r>
        <w:rPr>
          <w:rFonts w:hint="eastAsia" w:ascii="仿宋" w:hAnsi="仿宋" w:eastAsia="仿宋" w:cs="仿宋"/>
          <w:spacing w:val="28"/>
          <w:sz w:val="32"/>
          <w:szCs w:val="32"/>
          <w:lang w:val="en-US" w:eastAsia="zh-CN"/>
        </w:rPr>
        <w:t>的</w:t>
      </w:r>
      <w:r>
        <w:rPr>
          <w:rFonts w:ascii="仿宋" w:hAnsi="仿宋" w:eastAsia="仿宋" w:cs="仿宋"/>
          <w:spacing w:val="28"/>
          <w:sz w:val="32"/>
          <w:szCs w:val="32"/>
        </w:rPr>
        <w:t>可分配财产</w:t>
      </w:r>
      <w:r>
        <w:rPr>
          <w:rFonts w:hint="eastAsia" w:ascii="仿宋" w:hAnsi="仿宋" w:eastAsia="仿宋" w:cs="仿宋"/>
          <w:color w:val="auto"/>
          <w:sz w:val="32"/>
          <w:szCs w:val="32"/>
          <w:lang w:val="en-US" w:eastAsia="zh-CN"/>
        </w:rPr>
        <w:t>按比例</w:t>
      </w:r>
      <w:r>
        <w:rPr>
          <w:rFonts w:ascii="仿宋" w:hAnsi="仿宋" w:eastAsia="仿宋" w:cs="仿宋"/>
          <w:spacing w:val="28"/>
          <w:sz w:val="32"/>
          <w:szCs w:val="32"/>
        </w:rPr>
        <w:t>分配。</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752" w:firstLineChars="200"/>
        <w:jc w:val="both"/>
        <w:textAlignment w:val="baseline"/>
        <w:rPr>
          <w:rFonts w:ascii="仿宋" w:hAnsi="仿宋" w:eastAsia="仿宋" w:cs="仿宋"/>
          <w:spacing w:val="28"/>
          <w:sz w:val="32"/>
          <w:szCs w:val="32"/>
        </w:rPr>
      </w:pPr>
      <w:r>
        <w:rPr>
          <w:rFonts w:hint="eastAsia" w:ascii="仿宋" w:hAnsi="仿宋" w:eastAsia="仿宋" w:cs="仿宋"/>
          <w:spacing w:val="28"/>
          <w:sz w:val="32"/>
          <w:szCs w:val="32"/>
          <w:lang w:val="en-US" w:eastAsia="zh-CN"/>
        </w:rPr>
        <w:t>对于</w:t>
      </w:r>
      <w:r>
        <w:rPr>
          <w:rFonts w:ascii="仿宋" w:hAnsi="仿宋" w:eastAsia="仿宋" w:cs="仿宋"/>
          <w:spacing w:val="28"/>
          <w:sz w:val="32"/>
          <w:szCs w:val="32"/>
        </w:rPr>
        <w:t>待</w:t>
      </w:r>
      <w:r>
        <w:rPr>
          <w:rFonts w:hint="eastAsia" w:ascii="仿宋" w:hAnsi="仿宋" w:eastAsia="仿宋" w:cs="仿宋"/>
          <w:spacing w:val="28"/>
          <w:sz w:val="32"/>
          <w:szCs w:val="32"/>
          <w:lang w:val="en-US" w:eastAsia="zh-CN"/>
        </w:rPr>
        <w:t>追收</w:t>
      </w:r>
      <w:r>
        <w:rPr>
          <w:rFonts w:ascii="仿宋" w:hAnsi="仿宋" w:eastAsia="仿宋" w:cs="仿宋"/>
          <w:spacing w:val="28"/>
          <w:sz w:val="32"/>
          <w:szCs w:val="32"/>
        </w:rPr>
        <w:t>财产</w:t>
      </w:r>
      <w:r>
        <w:rPr>
          <w:rFonts w:hint="eastAsia" w:ascii="仿宋" w:hAnsi="仿宋" w:eastAsia="仿宋" w:cs="仿宋"/>
          <w:spacing w:val="28"/>
          <w:sz w:val="32"/>
          <w:szCs w:val="32"/>
          <w:lang w:eastAsia="zh-CN"/>
        </w:rPr>
        <w:t>，</w:t>
      </w:r>
      <w:r>
        <w:rPr>
          <w:rFonts w:ascii="仿宋" w:hAnsi="仿宋" w:eastAsia="仿宋" w:cs="仿宋"/>
          <w:spacing w:val="28"/>
          <w:sz w:val="32"/>
          <w:szCs w:val="32"/>
        </w:rPr>
        <w:t>由</w:t>
      </w:r>
      <w:r>
        <w:rPr>
          <w:rFonts w:hint="eastAsia" w:ascii="仿宋" w:hAnsi="仿宋" w:eastAsia="仿宋" w:cs="仿宋"/>
          <w:spacing w:val="28"/>
          <w:sz w:val="32"/>
          <w:szCs w:val="32"/>
          <w:lang w:val="en-US" w:eastAsia="zh-CN"/>
        </w:rPr>
        <w:t>管理人向人民法院提起诉讼、执行</w:t>
      </w:r>
      <w:r>
        <w:rPr>
          <w:rFonts w:ascii="仿宋" w:hAnsi="仿宋" w:eastAsia="仿宋" w:cs="仿宋"/>
          <w:spacing w:val="28"/>
          <w:sz w:val="32"/>
          <w:szCs w:val="32"/>
        </w:rPr>
        <w:t>，实现待</w:t>
      </w:r>
      <w:r>
        <w:rPr>
          <w:rFonts w:hint="eastAsia" w:ascii="仿宋" w:hAnsi="仿宋" w:eastAsia="仿宋" w:cs="仿宋"/>
          <w:spacing w:val="28"/>
          <w:sz w:val="32"/>
          <w:szCs w:val="32"/>
          <w:lang w:val="en-US" w:eastAsia="zh-CN"/>
        </w:rPr>
        <w:t>追收</w:t>
      </w:r>
      <w:r>
        <w:rPr>
          <w:rFonts w:ascii="仿宋" w:hAnsi="仿宋" w:eastAsia="仿宋" w:cs="仿宋"/>
          <w:spacing w:val="28"/>
          <w:sz w:val="32"/>
          <w:szCs w:val="32"/>
        </w:rPr>
        <w:t>财产的清理、催收、分配等工作，</w:t>
      </w:r>
      <w:r>
        <w:rPr>
          <w:rFonts w:hint="eastAsia" w:ascii="仿宋" w:hAnsi="仿宋" w:eastAsia="仿宋" w:cs="仿宋"/>
          <w:spacing w:val="28"/>
          <w:sz w:val="32"/>
          <w:szCs w:val="32"/>
          <w:lang w:val="en-US" w:eastAsia="zh-CN"/>
        </w:rPr>
        <w:t>追</w:t>
      </w:r>
      <w:r>
        <w:rPr>
          <w:rFonts w:ascii="仿宋" w:hAnsi="仿宋" w:eastAsia="仿宋" w:cs="仿宋"/>
          <w:spacing w:val="28"/>
          <w:sz w:val="32"/>
          <w:szCs w:val="32"/>
        </w:rPr>
        <w:t>收所得等可分配现金在优先支付相关费用后</w:t>
      </w:r>
      <w:r>
        <w:rPr>
          <w:rFonts w:hint="eastAsia" w:ascii="仿宋" w:hAnsi="仿宋" w:eastAsia="仿宋" w:cs="仿宋"/>
          <w:spacing w:val="28"/>
          <w:sz w:val="32"/>
          <w:szCs w:val="32"/>
          <w:lang w:eastAsia="zh-CN"/>
        </w:rPr>
        <w:t>，</w:t>
      </w:r>
      <w:r>
        <w:rPr>
          <w:rFonts w:ascii="仿宋" w:hAnsi="仿宋" w:eastAsia="仿宋" w:cs="仿宋"/>
          <w:spacing w:val="28"/>
          <w:sz w:val="32"/>
          <w:szCs w:val="32"/>
        </w:rPr>
        <w:t>向未获全额清偿的债权人补充分配。</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752" w:firstLineChars="200"/>
        <w:jc w:val="both"/>
        <w:textAlignment w:val="baseline"/>
        <w:rPr>
          <w:rFonts w:ascii="仿宋" w:hAnsi="仿宋" w:eastAsia="仿宋" w:cs="仿宋"/>
          <w:spacing w:val="28"/>
          <w:sz w:val="32"/>
          <w:szCs w:val="32"/>
        </w:rPr>
      </w:pPr>
      <w:r>
        <w:rPr>
          <w:rFonts w:ascii="仿宋" w:hAnsi="仿宋" w:eastAsia="仿宋" w:cs="仿宋"/>
          <w:spacing w:val="28"/>
          <w:sz w:val="32"/>
          <w:szCs w:val="32"/>
        </w:rPr>
        <w:t>重整计划执行完毕后，债务人未予以清偿的债务将依法予以豁免，但不影响债权人根据相关法律</w:t>
      </w:r>
      <w:r>
        <w:rPr>
          <w:rFonts w:hint="eastAsia" w:ascii="仿宋" w:hAnsi="仿宋" w:eastAsia="仿宋" w:cs="仿宋"/>
          <w:spacing w:val="28"/>
          <w:sz w:val="32"/>
          <w:szCs w:val="32"/>
          <w:lang w:val="en-US" w:eastAsia="zh-CN"/>
        </w:rPr>
        <w:t>规定</w:t>
      </w:r>
      <w:r>
        <w:rPr>
          <w:rFonts w:ascii="仿宋" w:hAnsi="仿宋" w:eastAsia="仿宋" w:cs="仿宋"/>
          <w:spacing w:val="28"/>
          <w:sz w:val="32"/>
          <w:szCs w:val="32"/>
        </w:rPr>
        <w:t>向其他责任人</w:t>
      </w:r>
      <w:r>
        <w:rPr>
          <w:rFonts w:hint="eastAsia" w:ascii="仿宋" w:hAnsi="仿宋" w:eastAsia="仿宋" w:cs="仿宋"/>
          <w:spacing w:val="28"/>
          <w:sz w:val="32"/>
          <w:szCs w:val="32"/>
          <w:lang w:val="en-US" w:eastAsia="zh-CN"/>
        </w:rPr>
        <w:t>主张相关</w:t>
      </w:r>
      <w:r>
        <w:rPr>
          <w:rFonts w:ascii="仿宋" w:hAnsi="仿宋" w:eastAsia="仿宋" w:cs="仿宋"/>
          <w:spacing w:val="28"/>
          <w:sz w:val="32"/>
          <w:szCs w:val="32"/>
        </w:rPr>
        <w:t>权利。</w:t>
      </w:r>
    </w:p>
    <w:p>
      <w:pPr>
        <w:keepNext w:val="0"/>
        <w:keepLines w:val="0"/>
        <w:pageBreakBefore w:val="0"/>
        <w:widowControl/>
        <w:kinsoku w:val="0"/>
        <w:wordWrap/>
        <w:overflowPunct/>
        <w:topLinePunct w:val="0"/>
        <w:autoSpaceDE w:val="0"/>
        <w:autoSpaceDN w:val="0"/>
        <w:bidi w:val="0"/>
        <w:adjustRightInd w:val="0"/>
        <w:snapToGrid w:val="0"/>
        <w:spacing w:line="600" w:lineRule="exact"/>
        <w:ind w:right="0" w:firstLine="752" w:firstLineChars="200"/>
        <w:jc w:val="both"/>
        <w:textAlignment w:val="baseline"/>
        <w:rPr>
          <w:rFonts w:ascii="仿宋" w:hAnsi="仿宋" w:eastAsia="仿宋" w:cs="仿宋"/>
          <w:spacing w:val="28"/>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752" w:firstLineChars="200"/>
        <w:jc w:val="both"/>
        <w:textAlignment w:val="baseline"/>
        <w:rPr>
          <w:rFonts w:ascii="仿宋" w:hAnsi="仿宋" w:eastAsia="仿宋" w:cs="仿宋"/>
          <w:spacing w:val="28"/>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752" w:firstLineChars="200"/>
        <w:jc w:val="both"/>
        <w:textAlignment w:val="baseline"/>
        <w:rPr>
          <w:rFonts w:ascii="仿宋" w:hAnsi="仿宋" w:eastAsia="仿宋" w:cs="仿宋"/>
          <w:spacing w:val="28"/>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752" w:firstLineChars="200"/>
        <w:jc w:val="both"/>
        <w:textAlignment w:val="baseline"/>
        <w:rPr>
          <w:rFonts w:ascii="仿宋" w:hAnsi="仿宋" w:eastAsia="仿宋" w:cs="仿宋"/>
          <w:spacing w:val="28"/>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752" w:firstLineChars="200"/>
        <w:jc w:val="both"/>
        <w:textAlignment w:val="baseline"/>
        <w:rPr>
          <w:rFonts w:ascii="仿宋" w:hAnsi="仿宋" w:eastAsia="仿宋" w:cs="仿宋"/>
          <w:spacing w:val="28"/>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752" w:firstLineChars="200"/>
        <w:jc w:val="both"/>
        <w:textAlignment w:val="baseline"/>
        <w:rPr>
          <w:rFonts w:ascii="仿宋" w:hAnsi="仿宋" w:eastAsia="仿宋" w:cs="仿宋"/>
          <w:spacing w:val="28"/>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752" w:firstLineChars="200"/>
        <w:jc w:val="both"/>
        <w:textAlignment w:val="baseline"/>
        <w:rPr>
          <w:rFonts w:ascii="仿宋" w:hAnsi="仿宋" w:eastAsia="仿宋" w:cs="仿宋"/>
          <w:spacing w:val="28"/>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752" w:firstLineChars="200"/>
        <w:jc w:val="both"/>
        <w:textAlignment w:val="baseline"/>
        <w:rPr>
          <w:rFonts w:ascii="仿宋" w:hAnsi="仿宋" w:eastAsia="仿宋" w:cs="仿宋"/>
          <w:spacing w:val="28"/>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752" w:firstLineChars="200"/>
        <w:jc w:val="both"/>
        <w:textAlignment w:val="baseline"/>
        <w:rPr>
          <w:rFonts w:ascii="仿宋" w:hAnsi="仿宋" w:eastAsia="仿宋" w:cs="仿宋"/>
          <w:spacing w:val="28"/>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752" w:firstLineChars="200"/>
        <w:jc w:val="both"/>
        <w:textAlignment w:val="baseline"/>
        <w:rPr>
          <w:rFonts w:ascii="仿宋" w:hAnsi="仿宋" w:eastAsia="仿宋" w:cs="仿宋"/>
          <w:spacing w:val="28"/>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752" w:firstLineChars="200"/>
        <w:jc w:val="both"/>
        <w:textAlignment w:val="baseline"/>
        <w:rPr>
          <w:rFonts w:ascii="仿宋" w:hAnsi="仿宋" w:eastAsia="仿宋" w:cs="仿宋"/>
          <w:spacing w:val="28"/>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752" w:firstLineChars="200"/>
        <w:jc w:val="both"/>
        <w:textAlignment w:val="baseline"/>
        <w:rPr>
          <w:rFonts w:ascii="仿宋" w:hAnsi="仿宋" w:eastAsia="仿宋" w:cs="仿宋"/>
          <w:spacing w:val="28"/>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752" w:firstLineChars="200"/>
        <w:jc w:val="both"/>
        <w:textAlignment w:val="baseline"/>
        <w:rPr>
          <w:rFonts w:ascii="仿宋" w:hAnsi="仿宋" w:eastAsia="仿宋" w:cs="仿宋"/>
          <w:spacing w:val="28"/>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jc w:val="both"/>
        <w:textAlignment w:val="baseline"/>
        <w:rPr>
          <w:rFonts w:ascii="仿宋" w:hAnsi="仿宋" w:eastAsia="仿宋" w:cs="仿宋"/>
          <w:spacing w:val="28"/>
          <w:sz w:val="32"/>
          <w:szCs w:val="32"/>
        </w:rPr>
      </w:pPr>
    </w:p>
    <w:p>
      <w:pPr>
        <w:spacing w:before="111" w:line="223" w:lineRule="auto"/>
        <w:jc w:val="both"/>
        <w:rPr>
          <w:rFonts w:hint="eastAsia" w:ascii="方正粗黑宋简体" w:hAnsi="方正粗黑宋简体" w:eastAsia="方正粗黑宋简体" w:cs="方正粗黑宋简体"/>
          <w:b/>
          <w:bCs/>
          <w:spacing w:val="-9"/>
          <w:sz w:val="36"/>
          <w:szCs w:val="36"/>
        </w:rPr>
      </w:pPr>
    </w:p>
    <w:p>
      <w:pPr>
        <w:keepNext w:val="0"/>
        <w:keepLines w:val="0"/>
        <w:pageBreakBefore w:val="0"/>
        <w:wordWrap/>
        <w:overflowPunct/>
        <w:topLinePunct w:val="0"/>
        <w:bidi w:val="0"/>
        <w:spacing w:line="600" w:lineRule="exact"/>
        <w:jc w:val="center"/>
        <w:rPr>
          <w:rFonts w:hint="eastAsia" w:ascii="方正粗黑宋简体" w:hAnsi="方正粗黑宋简体" w:eastAsia="方正粗黑宋简体" w:cs="方正粗黑宋简体"/>
          <w:b/>
          <w:bCs/>
          <w:spacing w:val="-9"/>
          <w:sz w:val="44"/>
          <w:szCs w:val="44"/>
        </w:rPr>
      </w:pPr>
      <w:r>
        <w:rPr>
          <w:rFonts w:hint="eastAsia" w:ascii="方正粗黑宋简体" w:hAnsi="方正粗黑宋简体" w:eastAsia="方正粗黑宋简体" w:cs="方正粗黑宋简体"/>
          <w:b/>
          <w:bCs/>
          <w:spacing w:val="-9"/>
          <w:sz w:val="44"/>
          <w:szCs w:val="44"/>
        </w:rPr>
        <w:t>特别说明</w:t>
      </w:r>
    </w:p>
    <w:p>
      <w:pPr>
        <w:keepNext w:val="0"/>
        <w:keepLines w:val="0"/>
        <w:pageBreakBefore w:val="0"/>
        <w:widowControl/>
        <w:kinsoku w:val="0"/>
        <w:wordWrap/>
        <w:overflowPunct/>
        <w:topLinePunct w:val="0"/>
        <w:autoSpaceDE w:val="0"/>
        <w:autoSpaceDN w:val="0"/>
        <w:bidi w:val="0"/>
        <w:adjustRightInd w:val="0"/>
        <w:snapToGrid w:val="0"/>
        <w:spacing w:line="5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一、出席本次债权人会议的债权人应根据管理人确认的债权金额对重整计划草案进行投票表决。</w:t>
      </w:r>
    </w:p>
    <w:p>
      <w:pPr>
        <w:keepNext w:val="0"/>
        <w:keepLines w:val="0"/>
        <w:pageBreakBefore w:val="0"/>
        <w:widowControl/>
        <w:kinsoku w:val="0"/>
        <w:wordWrap/>
        <w:overflowPunct/>
        <w:topLinePunct w:val="0"/>
        <w:autoSpaceDE w:val="0"/>
        <w:autoSpaceDN w:val="0"/>
        <w:bidi w:val="0"/>
        <w:adjustRightInd w:val="0"/>
        <w:snapToGrid w:val="0"/>
        <w:spacing w:line="5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二、根据《破产法》第八十二、八十四、八十六条之规定，本重整计划草案由各类别债权人分组表决；经出席债权人会议的同一表决组的债权人过半数同意，并且其所代表的债权额占该组债权总额的三分之二以上的，即为该组通过重整计划草案；各表决组均通过重整计划草案的，重整计划即为通过。</w:t>
      </w:r>
    </w:p>
    <w:p>
      <w:pPr>
        <w:keepNext w:val="0"/>
        <w:keepLines w:val="0"/>
        <w:pageBreakBefore w:val="0"/>
        <w:widowControl/>
        <w:kinsoku w:val="0"/>
        <w:wordWrap/>
        <w:overflowPunct/>
        <w:topLinePunct w:val="0"/>
        <w:autoSpaceDE w:val="0"/>
        <w:autoSpaceDN w:val="0"/>
        <w:bidi w:val="0"/>
        <w:adjustRightInd w:val="0"/>
        <w:snapToGrid w:val="0"/>
        <w:spacing w:line="5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三、除本重整计划草案之外，管理人并未授权任何人或机构作出有关重整计划草案的任何表述，任何该等表述(如有)不应被依赖或被视为已获得管理人的授权。</w:t>
      </w:r>
    </w:p>
    <w:p>
      <w:pPr>
        <w:keepNext w:val="0"/>
        <w:keepLines w:val="0"/>
        <w:pageBreakBefore w:val="0"/>
        <w:widowControl/>
        <w:kinsoku w:val="0"/>
        <w:wordWrap/>
        <w:overflowPunct/>
        <w:topLinePunct w:val="0"/>
        <w:autoSpaceDE w:val="0"/>
        <w:autoSpaceDN w:val="0"/>
        <w:bidi w:val="0"/>
        <w:adjustRightInd w:val="0"/>
        <w:snapToGrid w:val="0"/>
        <w:spacing w:line="5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四、本重整计划草案中所列各附件构成本重整计划草案的不可分割的部分。如本重整计划草案有任何重大遗漏或重大错误，或其所依据的事实有任何重大变化，该等重大遗漏、重大错误或事实的重大变化可能导致本重整计划草案无法被执行或无法被完全执行，或继续履行将对债权人或债务人的重整构成实质性损害，管理人在征求重整投资人意见后，对本重整计划草案提出补充、调整和完善的方案，按照法律规定程序经法院批准后予以执行。</w:t>
      </w:r>
    </w:p>
    <w:p>
      <w:pPr>
        <w:keepNext w:val="0"/>
        <w:keepLines w:val="0"/>
        <w:pageBreakBefore w:val="0"/>
        <w:widowControl/>
        <w:kinsoku w:val="0"/>
        <w:wordWrap/>
        <w:overflowPunct/>
        <w:topLinePunct w:val="0"/>
        <w:autoSpaceDE w:val="0"/>
        <w:autoSpaceDN w:val="0"/>
        <w:bidi w:val="0"/>
        <w:adjustRightInd w:val="0"/>
        <w:snapToGrid w:val="0"/>
        <w:spacing w:line="5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五、根据《破产法》第九十二条规定，经人民法院裁定批准的重整计划，对债务人和全体债权人均有约束力，债权人未依照本法规定申报债权的，在重整计划执行期间不得行使权利；在重整计划执行完毕后，可以按照重整计划规定的同类债权的清偿条件行使权利。债权人对债务人的保证人和其他连带债务人所享有的权利，不受重整计划的影响。</w:t>
      </w:r>
    </w:p>
    <w:p>
      <w:pPr>
        <w:keepNext w:val="0"/>
        <w:keepLines w:val="0"/>
        <w:pageBreakBefore w:val="0"/>
        <w:widowControl/>
        <w:kinsoku w:val="0"/>
        <w:wordWrap/>
        <w:overflowPunct/>
        <w:topLinePunct w:val="0"/>
        <w:autoSpaceDE w:val="0"/>
        <w:autoSpaceDN w:val="0"/>
        <w:bidi w:val="0"/>
        <w:adjustRightInd w:val="0"/>
        <w:snapToGrid w:val="0"/>
        <w:spacing w:line="5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六、本重整计划草案或任何与债务人重整计划草案或方案相关文件的任何内容(包括但不限于重整计划草案执行的监督期限的规定)，均不得解释为管理人对债务人履行经法院批准之重整计划草案提供了任何担保或承诺。</w:t>
      </w:r>
    </w:p>
    <w:p>
      <w:pPr>
        <w:keepNext w:val="0"/>
        <w:keepLines w:val="0"/>
        <w:pageBreakBefore w:val="0"/>
        <w:widowControl/>
        <w:kinsoku w:val="0"/>
        <w:wordWrap/>
        <w:overflowPunct/>
        <w:topLinePunct w:val="0"/>
        <w:autoSpaceDE w:val="0"/>
        <w:autoSpaceDN w:val="0"/>
        <w:bidi w:val="0"/>
        <w:adjustRightInd w:val="0"/>
        <w:snapToGrid w:val="0"/>
        <w:spacing w:line="5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七、本重整计划草案的任何部分或内容，均不得被解释为管理人对于所涉及的特定安排、协议或其他文件所可能产生的商务上的任何结果作岀的法律、商务、运营、财务、税务等方面的评估、预测或意见，亦不得解释为管理人对相关事实、安排的承诺或保证。债权人需向其各自的专业顾问就其与本重整计划草案相关之利益及判断所涉及之法律、税务、财务、商务或其他事项进行咨询。</w:t>
      </w:r>
    </w:p>
    <w:p>
      <w:pPr>
        <w:keepNext w:val="0"/>
        <w:keepLines w:val="0"/>
        <w:pageBreakBefore w:val="0"/>
        <w:widowControl/>
        <w:kinsoku w:val="0"/>
        <w:wordWrap/>
        <w:overflowPunct/>
        <w:topLinePunct w:val="0"/>
        <w:autoSpaceDE w:val="0"/>
        <w:autoSpaceDN w:val="0"/>
        <w:bidi w:val="0"/>
        <w:adjustRightInd w:val="0"/>
        <w:snapToGrid w:val="0"/>
        <w:spacing w:line="5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八、根据《破产法》第九十四条规定，按照重整计划减免的债务，自重整计划执行完毕时起，债务人不再承担清偿责任。</w:t>
      </w:r>
    </w:p>
    <w:p>
      <w:pPr>
        <w:keepNext w:val="0"/>
        <w:keepLines w:val="0"/>
        <w:pageBreakBefore w:val="0"/>
        <w:widowControl/>
        <w:kinsoku w:val="0"/>
        <w:wordWrap/>
        <w:overflowPunct/>
        <w:topLinePunct w:val="0"/>
        <w:autoSpaceDE w:val="0"/>
        <w:autoSpaceDN w:val="0"/>
        <w:bidi w:val="0"/>
        <w:adjustRightInd w:val="0"/>
        <w:snapToGrid w:val="0"/>
        <w:spacing w:line="5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九、本重整计划草案中债权的具体执行以法院裁定确认的债权表为准。</w:t>
      </w:r>
    </w:p>
    <w:p>
      <w:pPr>
        <w:keepNext w:val="0"/>
        <w:keepLines w:val="0"/>
        <w:pageBreakBefore w:val="0"/>
        <w:widowControl/>
        <w:kinsoku w:val="0"/>
        <w:wordWrap/>
        <w:overflowPunct/>
        <w:topLinePunct w:val="0"/>
        <w:autoSpaceDE w:val="0"/>
        <w:autoSpaceDN w:val="0"/>
        <w:bidi w:val="0"/>
        <w:adjustRightInd w:val="0"/>
        <w:snapToGrid w:val="0"/>
        <w:spacing w:line="5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十、根据《破产法》第八十八条规定，重整计划草案未获得通过且未依照本法第八十七条的规定获得批准，或者已通过的重整计划未获得批准的，人民法院应当裁定终止重整程序，并宣告债务人破产。</w:t>
      </w: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firstLine="752" w:firstLineChars="200"/>
        <w:jc w:val="both"/>
        <w:textAlignment w:val="baseline"/>
        <w:rPr>
          <w:rFonts w:ascii="仿宋" w:hAnsi="仿宋" w:eastAsia="仿宋" w:cs="仿宋"/>
          <w:spacing w:val="28"/>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jc w:val="both"/>
        <w:textAlignment w:val="baseline"/>
        <w:rPr>
          <w:rFonts w:ascii="仿宋" w:hAnsi="仿宋" w:eastAsia="仿宋" w:cs="仿宋"/>
          <w:spacing w:val="28"/>
          <w:sz w:val="32"/>
          <w:szCs w:val="32"/>
        </w:rPr>
      </w:pPr>
    </w:p>
    <w:p>
      <w:pPr>
        <w:spacing w:before="111" w:line="223" w:lineRule="auto"/>
        <w:jc w:val="center"/>
        <w:rPr>
          <w:rFonts w:ascii="Arial"/>
          <w:sz w:val="52"/>
          <w:szCs w:val="52"/>
        </w:rPr>
      </w:pPr>
      <w:r>
        <w:rPr>
          <w:rFonts w:hint="eastAsia" w:ascii="方正粗黑宋简体" w:hAnsi="方正粗黑宋简体" w:eastAsia="方正粗黑宋简体" w:cs="方正粗黑宋简体"/>
          <w:b/>
          <w:bCs/>
          <w:spacing w:val="-9"/>
          <w:sz w:val="52"/>
          <w:szCs w:val="52"/>
        </w:rPr>
        <w:t>正</w:t>
      </w:r>
      <w:r>
        <w:rPr>
          <w:rFonts w:hint="eastAsia" w:ascii="方正粗黑宋简体" w:hAnsi="方正粗黑宋简体" w:eastAsia="方正粗黑宋简体" w:cs="方正粗黑宋简体"/>
          <w:b/>
          <w:bCs/>
          <w:spacing w:val="-9"/>
          <w:sz w:val="52"/>
          <w:szCs w:val="52"/>
          <w:lang w:val="en-US" w:eastAsia="zh-CN"/>
        </w:rPr>
        <w:t xml:space="preserve">  </w:t>
      </w:r>
      <w:r>
        <w:rPr>
          <w:rFonts w:hint="eastAsia" w:ascii="方正粗黑宋简体" w:hAnsi="方正粗黑宋简体" w:eastAsia="方正粗黑宋简体" w:cs="方正粗黑宋简体"/>
          <w:b/>
          <w:bCs/>
          <w:spacing w:val="-9"/>
          <w:sz w:val="52"/>
          <w:szCs w:val="52"/>
        </w:rPr>
        <w:t>文</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jc w:val="center"/>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一、债务人基本情况</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left"/>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(一)企业概况</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1.工商信息</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ascii="Arial"/>
          <w:sz w:val="32"/>
          <w:szCs w:val="32"/>
        </w:rPr>
      </w:pPr>
      <w:r>
        <w:rPr>
          <w:rFonts w:hint="eastAsia" w:ascii="仿宋" w:hAnsi="仿宋" w:eastAsia="仿宋" w:cs="仿宋"/>
          <w:spacing w:val="28"/>
          <w:sz w:val="32"/>
          <w:szCs w:val="32"/>
          <w:lang w:val="en-US" w:eastAsia="zh-CN"/>
        </w:rPr>
        <w:t>截至本重整计划出具之日，债务人工商信息如下：</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 w:hAnsi="仿宋" w:eastAsia="仿宋" w:cs="仿宋"/>
          <w:b/>
          <w:bCs/>
          <w:spacing w:val="28"/>
          <w:sz w:val="32"/>
          <w:szCs w:val="32"/>
          <w:lang w:val="en-US" w:eastAsia="zh-CN"/>
        </w:rPr>
      </w:pPr>
      <w:r>
        <w:rPr>
          <w:rFonts w:hint="eastAsia" w:ascii="仿宋" w:hAnsi="仿宋" w:eastAsia="仿宋" w:cs="仿宋"/>
          <w:b w:val="0"/>
          <w:bCs/>
          <w:sz w:val="32"/>
          <w:szCs w:val="32"/>
          <w:lang w:val="en-US" w:eastAsia="zh-CN"/>
        </w:rPr>
        <w:t>债务人成立于2006年01月25日，住所地安徽省阜阳市颍州区南二环路20号（现经营地址为安徽省阜阳市颍州区锦绣园小区2号楼3单元1209室），统一社会信用代码：91341200784909430R。债务人注册资本为30万元；经营期限自2006年1月25日至2026年1月24日止；企业类型：有限责任公司（自然人投资或者控股）；许可经营项目是道路运输许可证。债务人公司经营范围：普通货物道路运输，集装箱道路运输，冷藏车道路运输，大型货物道路运输；汽车配件销售；保险兼业代理业务。（依法须经批准的项目，经相关部门批准后方可开展经营活动；对环境产生影响的，凭环保审批手续经营）。</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2.股权结构及权利限制</w:t>
      </w:r>
    </w:p>
    <w:p>
      <w:pPr>
        <w:keepNext w:val="0"/>
        <w:keepLines w:val="0"/>
        <w:pageBreakBefore w:val="0"/>
        <w:widowControl w:val="0"/>
        <w:kinsoku/>
        <w:wordWrap/>
        <w:overflowPunct/>
        <w:topLinePunct w:val="0"/>
        <w:autoSpaceDE/>
        <w:autoSpaceDN/>
        <w:bidi w:val="0"/>
        <w:adjustRightInd/>
        <w:snapToGrid/>
        <w:spacing w:line="500" w:lineRule="exact"/>
        <w:ind w:firstLine="640" w:firstLineChars="200"/>
        <w:jc w:val="both"/>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截至本重整计划出具之日，债务人股权结构及限制情况如下：</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股东王志勇、高祥设立债务人。2006年1月6日，公司注册资本为人民币叁拾万元；股东为王志勇、高祥两人，出资额分别是15万元，出资方式均为货币出资。</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股东高祥于2006年1月6日、2006年1月9日将注册资本100000元、50000元存入至债务人阜阳市颍泉区中市区农村信用合作社账户（账号为20115184）；股东王志勇于2006年1月9日将注册资本150000元存入至债务人上述账户中。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2007年5月30日，债务人股东王志勇与范子学签订债务人股权转让合同，股东王志勇将持有债务人股权50%共计15万元出资额转让给范子学。</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2014年3月13日，债务人股东高祥将持有债务人50%的股权15万元出资额转让给张振；债务人股东范子学与许怀芳签订债务人股权转让协议，股东范子学将持有债务人50%的股权15万元出资额转让给许怀芳。</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(二)生产经营情况</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债务人一直处于继续营业状态。</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(三)资产情况</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default"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1.资产评估情况</w:t>
      </w:r>
    </w:p>
    <w:p>
      <w:pPr>
        <w:keepNext w:val="0"/>
        <w:keepLines w:val="0"/>
        <w:pageBreakBefore w:val="0"/>
        <w:widowControl/>
        <w:kinsoku/>
        <w:wordWrap/>
        <w:overflowPunct/>
        <w:topLinePunct w:val="0"/>
        <w:autoSpaceDE/>
        <w:autoSpaceDN/>
        <w:bidi w:val="0"/>
        <w:adjustRightInd w:val="0"/>
        <w:snapToGrid w:val="0"/>
        <w:spacing w:line="400" w:lineRule="exact"/>
        <w:ind w:firstLine="640" w:firstLineChars="200"/>
        <w:jc w:val="both"/>
        <w:textAlignment w:val="auto"/>
        <w:rPr>
          <w:rFonts w:hint="eastAsia" w:ascii="仿宋" w:hAnsi="仿宋" w:eastAsia="仿宋" w:cs="仿宋"/>
          <w:spacing w:val="28"/>
          <w:sz w:val="32"/>
          <w:szCs w:val="32"/>
          <w:lang w:val="en-US" w:eastAsia="zh-CN"/>
        </w:rPr>
      </w:pPr>
      <w:r>
        <w:rPr>
          <w:rFonts w:hint="eastAsia" w:ascii="仿宋" w:hAnsi="仿宋" w:eastAsia="仿宋" w:cs="仿宋"/>
          <w:b w:val="0"/>
          <w:bCs/>
          <w:sz w:val="32"/>
          <w:szCs w:val="32"/>
          <w:highlight w:val="none"/>
          <w:lang w:val="en-US" w:eastAsia="zh-CN"/>
        </w:rPr>
        <w:t>债务人名下车辆均为挂靠车辆，债务人不享有所有权。无其他资产。</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2.不纳入重整范围资产</w:t>
      </w:r>
    </w:p>
    <w:p>
      <w:pPr>
        <w:keepNext w:val="0"/>
        <w:keepLines w:val="0"/>
        <w:pageBreakBefore w:val="0"/>
        <w:widowControl/>
        <w:kinsoku/>
        <w:wordWrap/>
        <w:overflowPunct/>
        <w:topLinePunct w:val="0"/>
        <w:autoSpaceDE/>
        <w:autoSpaceDN/>
        <w:bidi w:val="0"/>
        <w:adjustRightInd w:val="0"/>
        <w:snapToGrid w:val="0"/>
        <w:spacing w:line="400" w:lineRule="exact"/>
        <w:ind w:firstLine="640" w:firstLineChars="200"/>
        <w:jc w:val="both"/>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(1)货币资金</w:t>
      </w:r>
    </w:p>
    <w:p>
      <w:pPr>
        <w:keepNext w:val="0"/>
        <w:keepLines w:val="0"/>
        <w:pageBreakBefore w:val="0"/>
        <w:widowControl/>
        <w:kinsoku/>
        <w:wordWrap/>
        <w:overflowPunct/>
        <w:topLinePunct w:val="0"/>
        <w:autoSpaceDE/>
        <w:autoSpaceDN/>
        <w:bidi w:val="0"/>
        <w:adjustRightInd w:val="0"/>
        <w:snapToGrid w:val="0"/>
        <w:spacing w:line="400" w:lineRule="exact"/>
        <w:ind w:firstLine="640" w:firstLineChars="200"/>
        <w:jc w:val="both"/>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截至2024年2月20日，债务人账户货币204.94元。</w:t>
      </w:r>
    </w:p>
    <w:p>
      <w:pPr>
        <w:keepNext w:val="0"/>
        <w:keepLines w:val="0"/>
        <w:pageBreakBefore w:val="0"/>
        <w:widowControl/>
        <w:kinsoku/>
        <w:wordWrap/>
        <w:overflowPunct/>
        <w:topLinePunct w:val="0"/>
        <w:autoSpaceDE/>
        <w:autoSpaceDN/>
        <w:bidi w:val="0"/>
        <w:adjustRightInd w:val="0"/>
        <w:snapToGrid w:val="0"/>
        <w:spacing w:line="400" w:lineRule="exact"/>
        <w:ind w:firstLine="640" w:firstLineChars="200"/>
        <w:jc w:val="both"/>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(2)对外追收债权</w:t>
      </w:r>
    </w:p>
    <w:p>
      <w:pPr>
        <w:keepNext w:val="0"/>
        <w:keepLines w:val="0"/>
        <w:pageBreakBefore w:val="0"/>
        <w:widowControl/>
        <w:kinsoku/>
        <w:wordWrap/>
        <w:overflowPunct/>
        <w:topLinePunct w:val="0"/>
        <w:autoSpaceDE/>
        <w:autoSpaceDN/>
        <w:bidi w:val="0"/>
        <w:adjustRightInd w:val="0"/>
        <w:snapToGrid w:val="0"/>
        <w:spacing w:line="400" w:lineRule="exact"/>
        <w:ind w:firstLine="640" w:firstLineChars="200"/>
        <w:jc w:val="both"/>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债务人进入破产程序之前，为部分实际车主垫付购车款。管理人将结合相关法律规定实施追收，具体追收数额以管理人执行到位金额为准。追收所得等可分配资金在优先支付相关费用后向未获全额清偿的债权人补充分配。</w:t>
      </w:r>
    </w:p>
    <w:p>
      <w:pPr>
        <w:keepNext w:val="0"/>
        <w:keepLines w:val="0"/>
        <w:pageBreakBefore w:val="0"/>
        <w:widowControl/>
        <w:kinsoku/>
        <w:wordWrap/>
        <w:overflowPunct/>
        <w:topLinePunct w:val="0"/>
        <w:autoSpaceDE/>
        <w:autoSpaceDN/>
        <w:bidi w:val="0"/>
        <w:adjustRightInd w:val="0"/>
        <w:snapToGrid w:val="0"/>
        <w:spacing w:line="400" w:lineRule="exact"/>
        <w:ind w:firstLine="640" w:firstLineChars="200"/>
        <w:jc w:val="both"/>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上述货币资金、对外追收所得资金均不列入本次重整范围。</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right="0" w:rightChars="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3.纳入重整范围资产</w:t>
      </w:r>
    </w:p>
    <w:p>
      <w:pPr>
        <w:keepNext w:val="0"/>
        <w:keepLines w:val="0"/>
        <w:pageBreakBefore w:val="0"/>
        <w:widowControl/>
        <w:kinsoku/>
        <w:wordWrap/>
        <w:overflowPunct/>
        <w:topLinePunct w:val="0"/>
        <w:autoSpaceDE/>
        <w:autoSpaceDN/>
        <w:bidi w:val="0"/>
        <w:adjustRightInd w:val="0"/>
        <w:snapToGrid w:val="0"/>
        <w:spacing w:line="400" w:lineRule="exact"/>
        <w:ind w:firstLine="640" w:firstLineChars="200"/>
        <w:jc w:val="both"/>
        <w:textAlignment w:val="auto"/>
        <w:rPr>
          <w:rFonts w:hint="eastAsia" w:ascii="仿宋" w:hAnsi="仿宋" w:eastAsia="仿宋" w:cs="仿宋"/>
          <w:b w:val="0"/>
          <w:bCs/>
          <w:sz w:val="32"/>
          <w:szCs w:val="32"/>
          <w:highlight w:val="none"/>
          <w:lang w:val="en-US" w:eastAsia="zh-CN"/>
        </w:rPr>
      </w:pPr>
      <w:r>
        <w:rPr>
          <w:rFonts w:hint="eastAsia" w:ascii="仿宋" w:hAnsi="仿宋" w:eastAsia="仿宋" w:cs="仿宋"/>
          <w:b w:val="0"/>
          <w:bCs/>
          <w:sz w:val="32"/>
          <w:szCs w:val="32"/>
          <w:highlight w:val="none"/>
          <w:lang w:val="en-US" w:eastAsia="zh-CN"/>
        </w:rPr>
        <w:t>债务人从事道路交通的特许资质。</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(四)负债情况</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color w:val="auto"/>
          <w:spacing w:val="28"/>
          <w:sz w:val="32"/>
          <w:szCs w:val="32"/>
          <w:lang w:val="en-US" w:eastAsia="zh-CN"/>
        </w:rPr>
      </w:pPr>
      <w:r>
        <w:rPr>
          <w:rFonts w:hint="eastAsia" w:ascii="仿宋" w:hAnsi="仿宋" w:eastAsia="仿宋" w:cs="仿宋"/>
          <w:b/>
          <w:bCs/>
          <w:color w:val="auto"/>
          <w:spacing w:val="28"/>
          <w:sz w:val="32"/>
          <w:szCs w:val="32"/>
          <w:lang w:val="en-US" w:eastAsia="zh-CN"/>
        </w:rPr>
        <w:t>1.债权申报、审查情况</w:t>
      </w:r>
    </w:p>
    <w:p>
      <w:pPr>
        <w:keepNext w:val="0"/>
        <w:keepLines w:val="0"/>
        <w:pageBreakBefore w:val="0"/>
        <w:widowControl w:val="0"/>
        <w:kinsoku/>
        <w:wordWrap/>
        <w:overflowPunct/>
        <w:topLinePunct w:val="0"/>
        <w:autoSpaceDE/>
        <w:autoSpaceDN/>
        <w:bidi w:val="0"/>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管理人共接收债权申报卷5件，申报债权总额1400543.48元。</w:t>
      </w:r>
    </w:p>
    <w:p>
      <w:pPr>
        <w:keepNext w:val="0"/>
        <w:keepLines w:val="0"/>
        <w:pageBreakBefore w:val="0"/>
        <w:widowControl w:val="0"/>
        <w:kinsoku/>
        <w:wordWrap/>
        <w:overflowPunct/>
        <w:topLinePunct w:val="0"/>
        <w:autoSpaceDE/>
        <w:autoSpaceDN/>
        <w:bidi w:val="0"/>
        <w:spacing w:line="500" w:lineRule="exact"/>
        <w:ind w:firstLine="640" w:firstLineChars="200"/>
        <w:textAlignment w:val="auto"/>
        <w:rPr>
          <w:rFonts w:hint="eastAsia" w:ascii="仿宋" w:hAnsi="仿宋" w:eastAsia="仿宋" w:cs="仿宋"/>
          <w:color w:val="0000FF"/>
          <w:spacing w:val="28"/>
          <w:sz w:val="32"/>
          <w:szCs w:val="32"/>
          <w:lang w:val="en-US" w:eastAsia="zh-CN"/>
        </w:rPr>
      </w:pPr>
      <w:r>
        <w:rPr>
          <w:rFonts w:hint="eastAsia" w:ascii="仿宋" w:hAnsi="仿宋" w:eastAsia="仿宋" w:cs="仿宋"/>
          <w:sz w:val="32"/>
          <w:szCs w:val="32"/>
          <w:lang w:val="en-US" w:eastAsia="zh-CN"/>
        </w:rPr>
        <w:t>经管理人审查，拟确认债权4</w:t>
      </w:r>
      <w:r>
        <w:rPr>
          <w:rFonts w:hint="eastAsia" w:ascii="仿宋" w:hAnsi="仿宋" w:eastAsia="仿宋" w:cs="仿宋"/>
          <w:sz w:val="32"/>
          <w:szCs w:val="32"/>
          <w:lang w:val="en-US" w:eastAsia="zh-Hans"/>
        </w:rPr>
        <w:t>件</w:t>
      </w:r>
      <w:r>
        <w:rPr>
          <w:rFonts w:hint="default" w:ascii="仿宋" w:hAnsi="仿宋" w:eastAsia="仿宋" w:cs="仿宋"/>
          <w:sz w:val="32"/>
          <w:szCs w:val="32"/>
          <w:lang w:eastAsia="zh-Hans"/>
        </w:rPr>
        <w:t>，</w:t>
      </w:r>
      <w:r>
        <w:rPr>
          <w:rFonts w:hint="eastAsia" w:ascii="仿宋" w:hAnsi="仿宋" w:eastAsia="仿宋" w:cs="仿宋"/>
          <w:sz w:val="32"/>
          <w:szCs w:val="32"/>
          <w:lang w:val="en-US" w:eastAsia="zh-Hans"/>
        </w:rPr>
        <w:t>债权</w:t>
      </w:r>
      <w:r>
        <w:rPr>
          <w:rFonts w:hint="eastAsia" w:ascii="仿宋" w:hAnsi="仿宋" w:eastAsia="仿宋" w:cs="仿宋"/>
          <w:sz w:val="32"/>
          <w:szCs w:val="32"/>
          <w:lang w:val="en-US" w:eastAsia="zh-CN"/>
        </w:rPr>
        <w:t>金额1218466.21元，其中普通债权4件，债权金额1135505.56元；劣后债权1件，债权金额82961.05元。</w:t>
      </w:r>
    </w:p>
    <w:p>
      <w:pPr>
        <w:keepNext w:val="0"/>
        <w:keepLines w:val="0"/>
        <w:pageBreakBefore w:val="0"/>
        <w:widowControl w:val="0"/>
        <w:kinsoku/>
        <w:wordWrap/>
        <w:overflowPunct/>
        <w:topLinePunct w:val="0"/>
        <w:autoSpaceDE/>
        <w:autoSpaceDN/>
        <w:bidi w:val="0"/>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2.职工债权调查情况</w:t>
      </w:r>
    </w:p>
    <w:p>
      <w:pPr>
        <w:keepNext w:val="0"/>
        <w:keepLines w:val="0"/>
        <w:pageBreakBefore w:val="0"/>
        <w:widowControl w:val="0"/>
        <w:kinsoku/>
        <w:wordWrap/>
        <w:overflowPunct/>
        <w:topLinePunct w:val="0"/>
        <w:autoSpaceDE/>
        <w:autoSpaceDN/>
        <w:bidi w:val="0"/>
        <w:spacing w:line="500" w:lineRule="exact"/>
        <w:ind w:firstLine="640" w:firstLineChars="200"/>
        <w:textAlignment w:val="auto"/>
        <w:rPr>
          <w:rFonts w:hint="eastAsia" w:ascii="仿宋" w:hAnsi="仿宋" w:eastAsia="仿宋" w:cs="仿宋"/>
          <w:b/>
          <w:bCs/>
          <w:spacing w:val="28"/>
          <w:sz w:val="32"/>
          <w:szCs w:val="32"/>
          <w:lang w:val="en-US" w:eastAsia="zh-CN"/>
        </w:rPr>
      </w:pPr>
      <w:r>
        <w:rPr>
          <w:rFonts w:hint="eastAsia" w:ascii="仿宋" w:hAnsi="仿宋" w:eastAsia="仿宋" w:cs="仿宋"/>
          <w:sz w:val="32"/>
          <w:szCs w:val="32"/>
          <w:lang w:val="en-US" w:eastAsia="zh-CN"/>
        </w:rPr>
        <w:t>截至本重整计划作出之日，管理人调查的职工债权金额60216元，涉及职工3名。</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jc w:val="center"/>
        <w:textAlignment w:val="baseline"/>
        <w:rPr>
          <w:rFonts w:hint="eastAsia" w:ascii="仿宋" w:hAnsi="仿宋" w:eastAsia="仿宋" w:cs="仿宋"/>
          <w:spacing w:val="28"/>
          <w:sz w:val="32"/>
          <w:szCs w:val="32"/>
          <w:lang w:val="en-US" w:eastAsia="zh-CN"/>
        </w:rPr>
      </w:pPr>
      <w:r>
        <w:rPr>
          <w:rFonts w:hint="eastAsia" w:ascii="仿宋" w:hAnsi="仿宋" w:eastAsia="仿宋" w:cs="仿宋"/>
          <w:b/>
          <w:bCs/>
          <w:spacing w:val="28"/>
          <w:sz w:val="32"/>
          <w:szCs w:val="32"/>
          <w:lang w:val="en-US" w:eastAsia="zh-CN"/>
        </w:rPr>
        <w:t>二、破产清算状态下的偿债能力分析</w:t>
      </w:r>
    </w:p>
    <w:p>
      <w:pPr>
        <w:keepNext w:val="0"/>
        <w:keepLines w:val="0"/>
        <w:pageBreakBefore w:val="0"/>
        <w:widowControl w:val="0"/>
        <w:kinsoku/>
        <w:wordWrap/>
        <w:overflowPunct/>
        <w:topLinePunct w:val="0"/>
        <w:autoSpaceDE/>
        <w:autoSpaceDN/>
        <w:bidi w:val="0"/>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如债务人破产清算，则从事交通运输的资质将被吊销，名下挂靠车辆均由实际车主转移登记到其他公司经营，债务人将丧失经济价值，届时将无财产可供清偿，各类债权均无法清偿。</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jc w:val="center"/>
        <w:textAlignment w:val="baseline"/>
        <w:rPr>
          <w:rFonts w:hint="eastAsia" w:ascii="仿宋" w:hAnsi="仿宋" w:eastAsia="仿宋" w:cs="仿宋"/>
          <w:spacing w:val="28"/>
          <w:sz w:val="32"/>
          <w:szCs w:val="32"/>
          <w:lang w:val="en-US" w:eastAsia="zh-CN"/>
        </w:rPr>
      </w:pPr>
      <w:r>
        <w:rPr>
          <w:rFonts w:hint="eastAsia" w:ascii="仿宋" w:hAnsi="仿宋" w:eastAsia="仿宋" w:cs="仿宋"/>
          <w:b/>
          <w:bCs/>
          <w:spacing w:val="28"/>
          <w:sz w:val="32"/>
          <w:szCs w:val="32"/>
          <w:lang w:val="en-US" w:eastAsia="zh-CN"/>
        </w:rPr>
        <w:t>三、重整优势分析</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管理人根据债务人的现状及未处置财产的属性，就破产重整相较于破产清算下处置现有资产的相关优势进行了分析，认为通过出资人股权让渡形式，变更股东，保留经营价值，使债务人得以存续。继续经营，</w:t>
      </w:r>
      <w:r>
        <w:rPr>
          <w:rFonts w:hint="eastAsia" w:ascii="仿宋" w:hAnsi="仿宋" w:eastAsia="仿宋" w:cs="仿宋"/>
          <w:color w:val="000000"/>
          <w:spacing w:val="28"/>
          <w:sz w:val="32"/>
          <w:szCs w:val="32"/>
          <w:lang w:val="en-US" w:eastAsia="zh-CN"/>
        </w:rPr>
        <w:t>有利于保持债务人的运营价值，提高清偿率，使</w:t>
      </w:r>
      <w:r>
        <w:rPr>
          <w:rFonts w:hint="eastAsia" w:ascii="仿宋" w:hAnsi="仿宋" w:eastAsia="仿宋" w:cs="仿宋"/>
          <w:spacing w:val="28"/>
          <w:sz w:val="32"/>
          <w:szCs w:val="32"/>
          <w:lang w:val="en-US" w:eastAsia="zh-CN"/>
        </w:rPr>
        <w:t>重整计划具有可行性。具体分析如下：</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jc w:val="center"/>
        <w:textAlignment w:val="baseline"/>
        <w:rPr>
          <w:rFonts w:hint="default"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(一)重整有利于特许经营资质的价值利用</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债务人具有道路运输经营许可证。阜阳市颍州区道路运输管理部门颁发的《道路运输经营许可证》，证件有效期：2020年5月11日至2024年5月10日，因此，债务人的行政许可证件并未注销并且债务人仍然有资质继续从事道路运输经营，存在经营价值。故重整有利于发挥继续经营产生的经济效益、社会效益，有利于特许经营资质的价值利用，实现重整价值。</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jc w:val="center"/>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(二)重整收益高于清算收益</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spacing w:val="28"/>
          <w:sz w:val="32"/>
          <w:szCs w:val="32"/>
          <w:lang w:val="en-US" w:eastAsia="zh-CN"/>
        </w:rPr>
        <w:t>意向投资人拟以100万元对价取得重整投资资格。基于重整更能实现特许经营资质的价值，实现更快处置，故认为重整投资价格高于清算拍卖价格，债务人债权人可以更快更多地参与分配，本案的重整收益高于清算收益。</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jc w:val="center"/>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四、出资人权益调整方案</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(一)出资人权益调整的必要性</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债务人不能清偿到期债务，生产经营和财务状况均已陷入困境，若债务人破产清算，现无财产可供清偿，更无剩余财产向出资人分配，出资人权益实际为负数。为挽救债务人，避免其破产清算，出资人和债权人需共同作出努力。实现债权清场，债务人重生。因此，重整程序中对债务人的出资人权益调整为0。</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(二)出资人权益的调整方式</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本重整计划将对出资人权益进行调整，由重整投资人按出资比例以1元对价受让原出资人持有的债务人全部股权。出资人权益调整方案实施完毕前，债务人的持股情况发生变动的，重整计划规定的出资人权益调整方案的效力，及于股权受让方及/或承继人。</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如果债务人现有股东不配合办理股权变动手续的，则由人民法院根据破产法第八十七条的规定裁定变更债务人的股东及持股比例。</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spacing w:val="28"/>
          <w:sz w:val="32"/>
          <w:szCs w:val="32"/>
          <w:lang w:val="en-US" w:eastAsia="zh-CN"/>
        </w:rPr>
        <w:t>该项股权变更，在法院裁定批准重整计划后。为确保本重整计划顺利执行，避免重整计划执行过程中遭受不必要的干扰，本重整计划的股权并不即时交割，待投资人依据本重整计划支付全部偿债资金后，管理人将协助投资人共同办理债务人全部股权的转让手续，将股权变更至投资人并办理相关资料的交接工作，交接的实物和资料以管理人实际持有为限。因股权变更而发生的全部税费均由投资人承担。</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jc w:val="center"/>
        <w:textAlignment w:val="baseline"/>
        <w:rPr>
          <w:rFonts w:hint="eastAsia" w:ascii="仿宋" w:hAnsi="仿宋" w:eastAsia="仿宋" w:cs="仿宋"/>
          <w:spacing w:val="28"/>
          <w:sz w:val="32"/>
          <w:szCs w:val="32"/>
          <w:lang w:val="en-US" w:eastAsia="zh-CN"/>
        </w:rPr>
      </w:pPr>
      <w:r>
        <w:rPr>
          <w:rFonts w:hint="eastAsia" w:ascii="仿宋" w:hAnsi="仿宋" w:eastAsia="仿宋" w:cs="仿宋"/>
          <w:b/>
          <w:bCs/>
          <w:spacing w:val="28"/>
          <w:sz w:val="32"/>
          <w:szCs w:val="32"/>
          <w:lang w:val="en-US" w:eastAsia="zh-CN"/>
        </w:rPr>
        <w:t>五、重整模式</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为了依法有效处置债务人资产，实现债权人利益最大化，同时又不妨碍重整后公司的经营活动，在不损害债权人、债务人利益的基础上，采取对破产企业的资产、债权债务整体出售的方式进行处理，并根据重整计划载明的清偿比例，依法有序公平清偿债务。具体路径如下：</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1.重整投资人受让债务人100%股权后，实际控制本重整计划所列重整范围资产。</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2.货币资金、对外追收所得资金均不属于重整范围。由管理人向人民法院提起诉讼、执行，实现待追收财产的清理、催收、分配等工作，追收所得等可分配现金在优先支付相关费用后向未获全额清偿的债权人补充分配。</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3.管理人将根据重整计划将重整投资人支付的重整对价向债权人分配。</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spacing w:val="28"/>
          <w:sz w:val="32"/>
          <w:szCs w:val="32"/>
          <w:lang w:val="en-US" w:eastAsia="zh-CN"/>
        </w:rPr>
        <w:t>4.在清理资产与负债过程中，对于未依照破产法规定申报债权的债权人，在重整计划执行期间不得行使权利，在重整计划执行完毕后，可以按照重整计划规定的同类债权的清偿条件在未分配财产范围内行使权利，不得以任何理由通过任何方式、途径向重整投资人主张权利。</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jc w:val="center"/>
        <w:textAlignment w:val="baseline"/>
        <w:rPr>
          <w:rFonts w:hint="eastAsia" w:ascii="仿宋" w:hAnsi="仿宋" w:eastAsia="仿宋" w:cs="仿宋"/>
          <w:b w:val="0"/>
          <w:bCs w:val="0"/>
          <w:spacing w:val="28"/>
          <w:sz w:val="32"/>
          <w:szCs w:val="32"/>
          <w:lang w:val="en-US" w:eastAsia="zh-CN"/>
        </w:rPr>
      </w:pPr>
      <w:r>
        <w:rPr>
          <w:rFonts w:hint="eastAsia" w:ascii="仿宋" w:hAnsi="仿宋" w:eastAsia="仿宋" w:cs="仿宋"/>
          <w:b/>
          <w:bCs/>
          <w:spacing w:val="28"/>
          <w:sz w:val="32"/>
          <w:szCs w:val="32"/>
          <w:lang w:val="en-US" w:eastAsia="zh-CN"/>
        </w:rPr>
        <w:t>六、债权调整及受偿方案</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b w:val="0"/>
          <w:bCs w:val="0"/>
          <w:spacing w:val="28"/>
          <w:sz w:val="32"/>
          <w:szCs w:val="32"/>
          <w:lang w:val="en-US" w:eastAsia="zh-CN"/>
        </w:rPr>
      </w:pPr>
      <w:r>
        <w:rPr>
          <w:rFonts w:hint="eastAsia" w:ascii="仿宋" w:hAnsi="仿宋" w:eastAsia="仿宋" w:cs="仿宋"/>
          <w:b w:val="0"/>
          <w:bCs w:val="0"/>
          <w:spacing w:val="28"/>
          <w:sz w:val="32"/>
          <w:szCs w:val="32"/>
          <w:lang w:val="en-US" w:eastAsia="zh-CN"/>
        </w:rPr>
        <w:t>有关费用和重整计划调整后的债权按下列顺序依次进行分配：</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1.破产费用</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根据《企业破产法》第四十一条的规定，破产费用包括破产案件的诉讼费用、管理、变价和分配债务人财产的费用、管理人执行职务的费用、聘请中介机构、报酬以及聘用工作人员的费用等。</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（1）案件的诉讼费用。案件的诉讼费用按《人民法院诉讼费用交纳办法》确定；</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（2）管理、变价和分配债务人财产的费用。管理、变价和分配债务人财产的费用主要为厂区安保服务费用及经人民法院许可由管理人聘请的审计、评估中介机构的费用；</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3）管理人执行职务的费用、报酬。管理人报酬按《最高人民法院关于审理企业破产案件确定管理人报酬的规定》上限以投资人支付的投资对价为基数，按照本次债权人会议人民法院确定的管理人报酬方案计算管理人报酬。</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（4）聘用工作人员的费用。经法院许可，管理人聘用工作人员的费用按实际发生额确定；</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（5）其他破产费用。其他根据法律法规或债权人会议决议的规定属于破产费用的费用，按实际发生额确定。</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default"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前述破产费用以现金方式由债务人财产随时清偿。最晚不超过法院裁定批准重整计划之日起1个月内全额清偿。</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2.共益债务</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根据《企业破产法》第四十二条的规定，本案共益债务主要为以下：</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1）聘用人员工资等。债务人进入破产程序后，基于债务人经营的特殊性，人民法院同意债务人继续营业，由此产生的4名聘用人员工资及其他合理必要支出，依法属于共益债务，按照实际发生数额，从债务人财产中随时支付，或者从重整投资款项中优先安排。</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（2）其他共益债务。其他根据法律法规或债权人会议决议的规定属于共益债务的债务，按实际发生额确定。</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共益债务以现金方式由债务人财产随时清偿。</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3.预留破产费用</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考虑到本案后续分配等工作仍会产生费用，管理人决定预留费用5万元，主要用于后续可能发生的公告费、分配费用、快递费等管理人执行职务所需费用。在重整计划执行完毕后，若该部分资金还有剩余，管理人将向债权未获清偿完毕的债权人进行补充分配。</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4.职工债权</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职工债权在依法确定范围内的不作调整，经管理人初步核查，职工债权共有3件，合计金额60216元。如后期职工债权金额有调整的，以最终确认的职工债权金额为准。职工债权按100%的比例，以现金方式全额清偿。自法院裁定批准重整计划之日起1个月内全额清偿。</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5.普通债权</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普通债权指《企业破产法》第八十二条第一款第四项规定的除有财产担保债权、税款债权、职工债权、共益债务之外的普通债权。投资人支付投资款在清偿完毕上述破产费用、共益债务以及其他优先债权后，剩余款项用于清偿普通债权。</w:t>
      </w:r>
    </w:p>
    <w:p>
      <w:pPr>
        <w:keepNext w:val="0"/>
        <w:keepLines w:val="0"/>
        <w:pageBreakBefore w:val="0"/>
        <w:widowControl w:val="0"/>
        <w:kinsoku/>
        <w:wordWrap/>
        <w:overflowPunct/>
        <w:topLinePunct w:val="0"/>
        <w:autoSpaceDE/>
        <w:autoSpaceDN/>
        <w:bidi w:val="0"/>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管理人共接收债权申报卷5件，申报债权总额1400543.48元。</w:t>
      </w:r>
    </w:p>
    <w:p>
      <w:pPr>
        <w:keepNext w:val="0"/>
        <w:keepLines w:val="0"/>
        <w:pageBreakBefore w:val="0"/>
        <w:widowControl w:val="0"/>
        <w:kinsoku/>
        <w:wordWrap/>
        <w:overflowPunct/>
        <w:topLinePunct w:val="0"/>
        <w:autoSpaceDE/>
        <w:autoSpaceDN/>
        <w:bidi w:val="0"/>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经管理人审查，拟确认债权4</w:t>
      </w:r>
      <w:r>
        <w:rPr>
          <w:rFonts w:hint="eastAsia" w:ascii="仿宋" w:hAnsi="仿宋" w:eastAsia="仿宋" w:cs="仿宋"/>
          <w:sz w:val="32"/>
          <w:szCs w:val="32"/>
          <w:lang w:val="en-US" w:eastAsia="zh-Hans"/>
        </w:rPr>
        <w:t>件</w:t>
      </w:r>
      <w:r>
        <w:rPr>
          <w:rFonts w:hint="default" w:ascii="仿宋" w:hAnsi="仿宋" w:eastAsia="仿宋" w:cs="仿宋"/>
          <w:sz w:val="32"/>
          <w:szCs w:val="32"/>
          <w:lang w:val="en-US" w:eastAsia="zh-Hans"/>
        </w:rPr>
        <w:t>，</w:t>
      </w:r>
      <w:r>
        <w:rPr>
          <w:rFonts w:hint="eastAsia" w:ascii="仿宋" w:hAnsi="仿宋" w:eastAsia="仿宋" w:cs="仿宋"/>
          <w:sz w:val="32"/>
          <w:szCs w:val="32"/>
          <w:lang w:val="en-US" w:eastAsia="zh-Hans"/>
        </w:rPr>
        <w:t>债权</w:t>
      </w:r>
      <w:r>
        <w:rPr>
          <w:rFonts w:hint="eastAsia" w:ascii="仿宋" w:hAnsi="仿宋" w:eastAsia="仿宋" w:cs="仿宋"/>
          <w:sz w:val="32"/>
          <w:szCs w:val="32"/>
          <w:lang w:val="en-US" w:eastAsia="zh-CN"/>
        </w:rPr>
        <w:t>金额1218466.21元，其中普通债权4件，债权金额1135505.56元；劣后债权1件，债权金额82961.05元。</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重整计划执行完毕后，债务人未予以清偿的债务将依法予以豁免，但不影响债权人根据相关法律关系向其他责任人追偿的权利。</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6.未申报的债权</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未依照《企业破产法》规定申报但仍受法律保护的债权，在重整计划执行期间不得行使权利；在重整计划执行完毕后，债权人可以按照重整计划草案规定的同类债权的清偿条件行使权利。</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7.预留清债资金</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为避免未申报债权及或有债权清偿影响重整后的债务人权益，管理人拟预留20万元清偿资金，用于清偿未申报债权或有可能出现的破产受理前的或有债权，根据债权性质参照本重整计划调整后清偿方式进行清偿。如重整计划执行完毕，剩余预留资金追加清偿给普通债权人。</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8.追加分配</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债务人的对外应收债权，债务人或管理人可通过诉讼、执行、破产申请、申报债权等方式进行追缴，对于追缴成本过高，难以追缴的以及应收债权金额过小，不足以覆盖追缴成本的，授权管理人决定不予追缴，但管理人提交相关说明报告颍州人民法院备案，并告知债权人会议主席。</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line="400" w:lineRule="exact"/>
        <w:ind w:right="0" w:rightChars="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偿债资金来源及分配</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right="0" w:rightChars="0" w:firstLine="752" w:firstLineChars="200"/>
        <w:jc w:val="both"/>
        <w:textAlignment w:val="baseline"/>
        <w:rPr>
          <w:rFonts w:hint="default"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本方案偿债资金来源于重整投资人招募成功后支付的资金。重整投资人支付重整投资款后，管理人根据本方案制定清偿明细表，报法院裁定后支付。</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jc w:val="center"/>
        <w:textAlignment w:val="baseline"/>
        <w:rPr>
          <w:rFonts w:hint="eastAsia" w:ascii="仿宋" w:hAnsi="仿宋" w:eastAsia="仿宋" w:cs="仿宋"/>
          <w:spacing w:val="28"/>
          <w:sz w:val="32"/>
          <w:szCs w:val="32"/>
          <w:lang w:val="en-US" w:eastAsia="zh-CN"/>
        </w:rPr>
      </w:pPr>
      <w:r>
        <w:rPr>
          <w:rFonts w:hint="eastAsia" w:ascii="仿宋" w:hAnsi="仿宋" w:eastAsia="仿宋" w:cs="仿宋"/>
          <w:b/>
          <w:bCs/>
          <w:spacing w:val="28"/>
          <w:sz w:val="32"/>
          <w:szCs w:val="32"/>
          <w:lang w:val="en-US" w:eastAsia="zh-CN"/>
        </w:rPr>
        <w:t>七、债务人的经营方案</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重整计划自裁定批准之日起生效，管理人将协助投资人办理债务人股权变更手续，向投资人交接债务人附随印章、营业资质证书、账簿、文书等相关资料，交接的实物和资料以管理人实际持有为限。管理人在重整计划执行期间仍有权对有关账簿、文书进行调取。</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spacing w:val="28"/>
          <w:sz w:val="32"/>
          <w:szCs w:val="32"/>
          <w:lang w:val="en-US" w:eastAsia="zh-CN"/>
        </w:rPr>
        <w:t>重整投资人将整合债务人现有资源，通过资金的再注入满足债务人的运营资金流动需求，实现公司的资产的再利用，从而实现债务人的重生。</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jc w:val="center"/>
        <w:textAlignment w:val="baseline"/>
        <w:rPr>
          <w:rFonts w:hint="eastAsia" w:ascii="仿宋" w:hAnsi="仿宋" w:eastAsia="仿宋" w:cs="仿宋"/>
          <w:spacing w:val="28"/>
          <w:sz w:val="32"/>
          <w:szCs w:val="32"/>
          <w:lang w:val="en-US" w:eastAsia="zh-CN"/>
        </w:rPr>
      </w:pPr>
      <w:r>
        <w:rPr>
          <w:rFonts w:hint="eastAsia" w:ascii="仿宋" w:hAnsi="仿宋" w:eastAsia="仿宋" w:cs="仿宋"/>
          <w:b/>
          <w:bCs/>
          <w:spacing w:val="28"/>
          <w:sz w:val="32"/>
          <w:szCs w:val="32"/>
          <w:lang w:val="en-US" w:eastAsia="zh-CN"/>
        </w:rPr>
        <w:t>八、重整计划的表决与批准</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根据规定，重整计划须经债权人会议依法表决通过，提请法院裁定批准方可生效。</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1.表决方式</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债权人会议是讨论并表决重整计划草案的法定机构，本次债权人会议可以通过现场会议、书面会议、网络会议等方式对重整计划草案进行表决。</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2.计算表决权的依据</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根据《企业破产法》第五十九条的规定，依法申报债权的债权人为债权人会议的成员，有权参加债权人会议，享有表决权。</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3.表决通过标准</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根据《企业破产法》第八十四条、第八十六条的规定，各表决组均通过重整计划草案时，重整计划即为通过。出席会议的同一表决组的债权人过半数同意重整计划草案，并且其所代表的债权额占该组债权总额的三分之二以上的，即为该组通过重整计划草案。</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但因出资额是股权而非债权，无法适用企业破产法规定的债权通过标准，故出资人组表决通过的标准依据公司章程及公司法第四十三条“股东会会议作出修改公司章程、增加或者减少注册资本的决议，以及公司合并、分立、解散或者变更公司形式的决议，必须经代表三分之二以上表决权的股东通过”确定。</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4.表决分组</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重整计划草案分组表决时，债权人和出资人分为以三个组别分别进行表决：</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(一)职工债权组</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(二)普通债权组</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(三)出资人组</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5.再次表决</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根据《企业破产法》第八十七条“部分表决组未通过重整计划草案的，债务人或者管理人可以同未通过重整计划草案的表决组协商。该表决组可以在协商后再表决一次”的规定，在首次表决不通过的情况下，可以依法进行二次表决，二次表决时间不晚于2024年3月20日下午17时。</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6.批准及生效</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经债权人会议通过的，或者符合强制批准条件的重整计划经法院裁定批准后立即生效。根据《企业破产法》第九十二条规定，经法院裁定批准的重整计划，对债务人和全体债权人均有约束力。</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7.强制批准</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未通过重整计划草案的表决组拒绝再次表决或再次表决仍未通过重整计划草案，但重整计划草案符合《企业破产法》规定条件的，债务人或管理人可申请法院强制批准重整计划草案。</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8.批准的效力</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重整计划经阜阳市颍州区人民法院裁定批准后生效。重整计划对债务人、债务人债权人、出资人和投资人以及重整计划中涉及的等相关各方均有约束力。重整计划规定的有关方权利和义务，其效力及于该方权利和义务的承继方或受让方。</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b/>
          <w:bCs/>
          <w:spacing w:val="28"/>
          <w:sz w:val="32"/>
          <w:szCs w:val="32"/>
          <w:lang w:val="en-US" w:eastAsia="zh-CN"/>
        </w:rPr>
        <w:t>9.未获批准的后果</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spacing w:val="28"/>
          <w:sz w:val="32"/>
          <w:szCs w:val="32"/>
          <w:lang w:val="en-US" w:eastAsia="zh-CN"/>
        </w:rPr>
        <w:t>如果本重整计划未获得通过且未依照《企业破产法》第八十七条之规定获得阜阳市颍州区人民法院批准，或者已通过的重整计划未获得阜阳市颍州区人民法院批准的，阜阳市颍州区人民法院将依法裁定终止重整程序，并宣告阜阳市志翔汽车运输有限公司破产，如进入破产清算程序。</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jc w:val="center"/>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九、重整计划的执行</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right="0" w:rightChars="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1.执行主体</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本重整计划由债务人负责执行。</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2.执行期限</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重整计划的执行期限为3个月，自法院裁定批准重整计划之日起计算。如因客观原因，致使债务人重整计划相关事项无法在上述期限内执行完毕，债务人应于执行期限届满前15日，向法院提交延长重整计划执行期限的申请，并根据法院批准的执行期限继续执行。</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法院如认为需要延长执行期限的，可以依职权决定延长重整计划的执行期限。</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重整计划提前执行完毕的，执行期限在法院裁定重整计划执行完毕之日到期。</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3.股权变更</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在本《重整计划》获法院批准且投资人支付完毕破产费用、共益债务及预留破产费用后，原出资人与投资人或指定主体、转股债权人办理让渡股权的变更登记手续，债务人原股东协助配合。在债务人进行股东的变更登记时，管理人或债务人有权申请相关工商行政部门协助办理工商变更登记，原股东必须予以配合。</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若工商行政部门在办理上述工商变更登记时，需要法院出具相关法律文书的，则管理人或债务人应提请法院根据重整计划出具相关法律文书，变更债务人的股东、持股比例及相关注册登记信息。</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4.执行措施</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(1)投资款的支付</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投资款的支付是执行重整计划的基础，投资人应当自重整计划批准之日起按重整计划要求向管理人银行账户支付破产费用、共益债务、预留破产费用以及偿债资金。</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(2)现金清偿</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本重整计划规定的现金清偿事项，清偿资金从债务人管理人账户转账给债权人。债权人应自重整计划获得法院裁定批准之日起30日内向债务人管理人提供领受偿债资金的银行账户信息。因债权人的原因导致偿债资金不能到账或领受偿债资金的银行账户被冻结、扣划的，后果由债权人自行承担。</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(3)偿债资金和偿债的提存及处理</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债权人未按照本重整计划的规定领受偿债资金和抵债的，应向其分配的资金将提存至管理人指定的银行账户，将登记至投资人名下予以代持，不得因其他原因进行处分。</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上述提存的偿债资金如属于因债权人未按规定领受而提存的，自法院裁定批准重整计划之日起满3年，债权人仍不领受的，视为放弃领受清偿资金。所提存资金将按照重整计划方案分配给其他债权人。</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(4)财产保全措施的解除</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本重整计划经法院裁定批准后，如债务人财产仍存在保全措施，有关债权人应当配合管理人和债务人在重整计划获得法院裁定批准之日起30日内解除保全措施，在保全措施未能解除前，暂不向相关债权人实施清偿。</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对于拒绝解除财产保全措施或者阻碍解除财产保全措施的债权人，暂缓依据本重整计划向其清偿债务，直至其对相应保全措施予以解除。</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债务人财产保全措施解除后，在本重整计划执行完毕之前，投资人因营业需要可使用债务人财产，但不得对债务人财产设置权利负担，包括但不限于抵押、质押、留置等；在本重整计划执行完毕之前，未经管理人同意，不得以债务人名义对外进行融资借款或提供保证担保等举债行为，投资人用其购置的财产为他人提供担保的除外。</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5.协助执行</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在本重整计划执行过程中，涉及资金划转、股权变更、资产过户和财产保全措施解除等本重整计划中载明的及法律规定的相关事项，需要相关部门协助执行，债务人、管理人或有关主体可向法院提出申请，请求法院向有关部门出具协助执行的相关法律文书。</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6.执行完毕的标准</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自下列条件全部满足之日起，本重整计划视为执行完毕：根据本重整计划规定应当支付的重整费用已经支付完毕；根据本重整计划规定应当现金分配的清偿款项已经分配完毕，包括职工债权、税务债权和普通债权等，债权人未受领的偿债资金已按照本重整计划的规定提存至管理人指定的银行账户。</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重整计划执行完毕，管理人向法院提交重整计划执行监督报告，债务人可向法院申请下达确认重整计划执行完毕的裁定。</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7.执行完毕的效力</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按照本重整计划减免的债务，自重整计划执行完毕时起，债务人不再承担任何清偿责任。债权人对债务人的保证人和其他连带债务人所享有的权利，不受重整计划的影响，但根据重整计划已经获得清偿的部分，债权人不得再向保证人和其他连带债务人主张权利。</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8.不能执行的后果</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spacing w:val="28"/>
          <w:sz w:val="32"/>
          <w:szCs w:val="32"/>
          <w:lang w:val="en-US" w:eastAsia="zh-CN"/>
        </w:rPr>
        <w:t>重整计划的执行可能面临来自宏观经济环境、国家政策、经营、法律等各方面的风险，从而导致本重整计划无法执行。重整执行期间，债务人不执行或不能执行重整计划，法院有权应管理人或者利害关系人的请求裁定终止重整计划的执行，并宣告债务人破产；人民法院裁定终止重整计划执行的，债权人在重整计划中作出的债权调整的承诺失去效力。债权人因执行重整计划所受的清偿仍然有效，债权未受清偿的部分作为破产债权。如进入破产清算程序，投资人在重整计划执行期间所投入的资金作为共益债务依法优先清偿。</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jc w:val="center"/>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十、重整计划的监督</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1.监督主体</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管理人负责监督债务人重整计划的执行。</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2.监督期限</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重整计划执行的监督期限与重整计划执行期限相同，自法院裁定批准重整计划之日起计算。</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监督期限的延长与提前如根据重整计划执行的实际情况，需要延长管理人监督重整计划执行的期限的，则管理人将向法院提交延长重整计划执行监督期限的申请，并根据法院批准的期限继续履行监督职责。</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法院依职权延长重整计划执行期限的，监督期限自动相应延长。</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重整计划执行期限提前到期的，执行监督期限相应提前到期。</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3.监督期内管理人及债务人的职责</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重整计划执行监督期内，债务人应当接受管理人的监督，及时向管理人报告重整计划的执行情况、公司财务状况、重大经营决策、重要资产处置等事项。监督期届满或者债务人提前执行完毕重整计划的，管理人将向法院提交监督报告。自监督报告提交之日起，管理人的监督职责终止。</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jc w:val="center"/>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十一、其他说明事项</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1.重整计划生效的条件</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本重整计划依据破产法第八十四条至第八十七条之相关规定，在债务人债权人会议表决通过并经法院裁定批准后生效，或债务人债权人会议表决虽未通过但经申请法院裁定批准后生效，对债务人、全体债权人和出资人具有法律约束力。</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2.重整计划的效力</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本重整计划一经法院裁定批准，即对债务人、全体债权人和全体出资人均具有法律约束力。本重整计划对相关方权利义务的规定，其效力及于该项权利义务的承继方或受让方。</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b/>
          <w:bCs/>
          <w:spacing w:val="28"/>
          <w:sz w:val="32"/>
          <w:szCs w:val="32"/>
          <w:lang w:val="en-US" w:eastAsia="zh-CN"/>
        </w:rPr>
        <w:t>3.</w:t>
      </w:r>
      <w:r>
        <w:rPr>
          <w:rFonts w:hint="eastAsia" w:ascii="仿宋" w:hAnsi="仿宋" w:eastAsia="仿宋" w:cs="仿宋"/>
          <w:spacing w:val="28"/>
          <w:sz w:val="32"/>
          <w:szCs w:val="32"/>
          <w:lang w:val="en-US" w:eastAsia="zh-CN"/>
        </w:rPr>
        <w:t>对案外保证人和其他连带债务人的权利主张按照重整计划减免的债务，重整计划执行完毕后，债务人不再承担清偿责任。债权人对债务人的保证人和其他连带债务人所享有的权利，不受重整计划的影响。债务人的保证人和其他连带债务人，在重整程序终结后，在债权人依照重整程序未受清偿的债权，依法继续承担清偿责任。保证人承担担保责任后，不得再向重整后的重整主体行使求偿权。</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4.重整计划的解释</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本重整计划执行过程中，如债权人或利益相关方对本重整计划部分内容存在不同理解，且该理解将导致利益相关方的权益受到影响时，则债权人或利益相关方可以向管理人申请对重整计划相关内容进行解释。管理人应基于公平公正原则在投资人提交的《重整投资计划》及《重整经营方案》的基础上进行对相关内容进行解释。</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5.重整计划的修正</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在本重整计划执行过程中，因出现国家政策调整、法律修改变化等特殊情况，导致重整计划部分内容无法执行的，则债务人或管理人可以向法院申请对重整计划中投资款支付期限进行修正一次。法院经审查许可后，债务人或管理人应当在法院许可的期限内提出重整计划修正案。该重整计划修正案应提交给因修正而受不利影响的债权人组及出资人组进行表决。表决、申请法院批准以及法院裁定批准重整计划修正案的程序与原重整计划的程序相同。</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重整计划仅涉及执行期限变更的，法院可以依债务人或债权人的申请直接作出裁定，延长的期限一般不超过六个月。</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6.重整失败下的破产清算计划</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（1）进入破产清算的法定原因</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重整计划未获得批准的，或投资人不能执行或者不执行重整计划的，人民法院有权裁定终止重整计划的执行。</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5" w:firstLineChars="200"/>
        <w:jc w:val="both"/>
        <w:textAlignment w:val="baseline"/>
        <w:rPr>
          <w:rFonts w:hint="eastAsia" w:ascii="仿宋" w:hAnsi="仿宋" w:eastAsia="仿宋" w:cs="仿宋"/>
          <w:b/>
          <w:bCs/>
          <w:spacing w:val="28"/>
          <w:sz w:val="32"/>
          <w:szCs w:val="32"/>
          <w:lang w:val="en-US" w:eastAsia="zh-CN"/>
        </w:rPr>
      </w:pPr>
      <w:r>
        <w:rPr>
          <w:rFonts w:hint="eastAsia" w:ascii="仿宋" w:hAnsi="仿宋" w:eastAsia="仿宋" w:cs="仿宋"/>
          <w:b/>
          <w:bCs/>
          <w:spacing w:val="28"/>
          <w:sz w:val="32"/>
          <w:szCs w:val="32"/>
          <w:lang w:val="en-US" w:eastAsia="zh-CN"/>
        </w:rPr>
        <w:t>7.未尽事宜</w:t>
      </w:r>
    </w:p>
    <w:p>
      <w:pPr>
        <w:keepNext w:val="0"/>
        <w:keepLines w:val="0"/>
        <w:pageBreakBefore w:val="0"/>
        <w:widowControl/>
        <w:kinsoku w:val="0"/>
        <w:wordWrap/>
        <w:overflowPunct/>
        <w:topLinePunct w:val="0"/>
        <w:autoSpaceDE w:val="0"/>
        <w:autoSpaceDN w:val="0"/>
        <w:bidi w:val="0"/>
        <w:adjustRightInd w:val="0"/>
        <w:snapToGrid w:val="0"/>
        <w:spacing w:line="400" w:lineRule="exact"/>
        <w:ind w:right="0" w:firstLine="752" w:firstLineChars="200"/>
        <w:jc w:val="both"/>
        <w:textAlignment w:val="baseline"/>
        <w:rPr>
          <w:rFonts w:hint="eastAsia" w:ascii="仿宋" w:hAnsi="仿宋" w:eastAsia="仿宋" w:cs="仿宋"/>
          <w:spacing w:val="28"/>
          <w:sz w:val="32"/>
          <w:szCs w:val="32"/>
          <w:lang w:val="en-US" w:eastAsia="zh-CN"/>
        </w:rPr>
      </w:pPr>
      <w:r>
        <w:rPr>
          <w:rFonts w:hint="eastAsia" w:ascii="仿宋" w:hAnsi="仿宋" w:eastAsia="仿宋" w:cs="仿宋"/>
          <w:spacing w:val="28"/>
          <w:sz w:val="32"/>
          <w:szCs w:val="32"/>
          <w:lang w:val="en-US" w:eastAsia="zh-CN"/>
        </w:rPr>
        <w:t>本重整计划其他未尽事宜，按投资人提交的《重整投资计划书》以及投资人与管理人签署的《重整投资协议》的规定执行，签署文件与法院裁定批准的《重整计划》不一致的，以本《重整计划》为准，其他事项按照《企业破产法》以及相关法律法规执行。</w:t>
      </w: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jc w:val="both"/>
        <w:textAlignment w:val="baseline"/>
        <w:rPr>
          <w:rFonts w:hint="eastAsia" w:ascii="仿宋" w:hAnsi="仿宋" w:eastAsia="仿宋" w:cs="仿宋"/>
          <w:b/>
          <w:bCs/>
          <w:spacing w:val="28"/>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jc w:val="both"/>
        <w:textAlignment w:val="baseline"/>
        <w:rPr>
          <w:rFonts w:hint="eastAsia" w:ascii="仿宋" w:hAnsi="仿宋" w:eastAsia="仿宋" w:cs="仿宋"/>
          <w:b/>
          <w:bCs/>
          <w:spacing w:val="28"/>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jc w:val="both"/>
        <w:textAlignment w:val="baseline"/>
        <w:rPr>
          <w:rFonts w:hint="eastAsia" w:ascii="仿宋" w:hAnsi="仿宋" w:eastAsia="仿宋" w:cs="仿宋"/>
          <w:b/>
          <w:bCs/>
          <w:spacing w:val="28"/>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jc w:val="both"/>
        <w:textAlignment w:val="baseline"/>
        <w:rPr>
          <w:rFonts w:hint="eastAsia" w:ascii="仿宋" w:hAnsi="仿宋" w:eastAsia="仿宋" w:cs="仿宋"/>
          <w:b/>
          <w:bCs/>
          <w:spacing w:val="28"/>
          <w:sz w:val="32"/>
          <w:szCs w:val="32"/>
          <w:lang w:val="en-US" w:eastAsia="zh-CN"/>
        </w:rPr>
      </w:pPr>
    </w:p>
    <w:p>
      <w:pPr>
        <w:keepNext w:val="0"/>
        <w:keepLines w:val="0"/>
        <w:pageBreakBefore w:val="0"/>
        <w:widowControl/>
        <w:kinsoku w:val="0"/>
        <w:wordWrap/>
        <w:overflowPunct/>
        <w:topLinePunct w:val="0"/>
        <w:autoSpaceDE w:val="0"/>
        <w:autoSpaceDN w:val="0"/>
        <w:bidi w:val="0"/>
        <w:adjustRightInd w:val="0"/>
        <w:snapToGrid w:val="0"/>
        <w:spacing w:line="420" w:lineRule="exact"/>
        <w:ind w:right="0"/>
        <w:jc w:val="both"/>
        <w:textAlignment w:val="baseline"/>
        <w:rPr>
          <w:rFonts w:hint="eastAsia" w:ascii="仿宋" w:hAnsi="仿宋" w:eastAsia="仿宋" w:cs="仿宋"/>
          <w:b/>
          <w:bCs/>
          <w:spacing w:val="28"/>
          <w:sz w:val="32"/>
          <w:szCs w:val="32"/>
          <w:lang w:val="en-US" w:eastAsia="zh-CN"/>
        </w:rPr>
      </w:pPr>
    </w:p>
    <w:p>
      <w:pPr>
        <w:spacing w:before="111" w:line="223" w:lineRule="auto"/>
        <w:jc w:val="center"/>
        <w:rPr>
          <w:rFonts w:hint="eastAsia" w:ascii="方正粗黑宋简体" w:hAnsi="方正粗黑宋简体" w:eastAsia="方正粗黑宋简体" w:cs="方正粗黑宋简体"/>
          <w:b/>
          <w:bCs/>
          <w:spacing w:val="-9"/>
          <w:sz w:val="36"/>
          <w:szCs w:val="36"/>
          <w:lang w:val="en-US" w:eastAsia="zh-CN"/>
        </w:rPr>
      </w:pPr>
    </w:p>
    <w:p>
      <w:pPr>
        <w:spacing w:before="111" w:line="223" w:lineRule="auto"/>
        <w:jc w:val="center"/>
        <w:rPr>
          <w:rFonts w:hint="eastAsia" w:ascii="方正粗黑宋简体" w:hAnsi="方正粗黑宋简体" w:eastAsia="方正粗黑宋简体" w:cs="方正粗黑宋简体"/>
          <w:b/>
          <w:bCs/>
          <w:spacing w:val="-9"/>
          <w:sz w:val="36"/>
          <w:szCs w:val="36"/>
          <w:lang w:val="en-US" w:eastAsia="zh-CN"/>
        </w:rPr>
      </w:pPr>
    </w:p>
    <w:p>
      <w:pPr>
        <w:spacing w:before="111" w:line="223" w:lineRule="auto"/>
        <w:jc w:val="both"/>
        <w:rPr>
          <w:rFonts w:hint="eastAsia" w:ascii="方正粗黑宋简体" w:hAnsi="方正粗黑宋简体" w:eastAsia="方正粗黑宋简体" w:cs="方正粗黑宋简体"/>
          <w:b/>
          <w:bCs/>
          <w:spacing w:val="-9"/>
          <w:sz w:val="36"/>
          <w:szCs w:val="36"/>
          <w:lang w:val="en-US" w:eastAsia="zh-CN"/>
        </w:rPr>
      </w:pPr>
    </w:p>
    <w:p>
      <w:pPr>
        <w:rPr>
          <w:rFonts w:hint="eastAsia" w:ascii="仿宋" w:hAnsi="仿宋" w:eastAsia="仿宋" w:cs="仿宋"/>
          <w:sz w:val="32"/>
          <w:szCs w:val="32"/>
          <w:lang w:eastAsia="zh-CN"/>
        </w:rPr>
      </w:pPr>
    </w:p>
    <w:sectPr>
      <w:footerReference r:id="rId5" w:type="default"/>
      <w:pgSz w:w="18369" w:h="12983" w:orient="landscape"/>
      <w:pgMar w:top="1800" w:right="1440" w:bottom="180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Kaiti SC">
    <w:altName w:val="宋体"/>
    <w:panose1 w:val="02010600040101010101"/>
    <w:charset w:val="86"/>
    <w:family w:val="auto"/>
    <w:pitch w:val="default"/>
    <w:sig w:usb0="00000000" w:usb1="00000000" w:usb2="00000000" w:usb3="00000000" w:csb0="00160000" w:csb1="00000000"/>
  </w:font>
  <w:font w:name="Arial Unicode MS">
    <w:altName w:val="宋体"/>
    <w:panose1 w:val="020B0604020202020204"/>
    <w:charset w:val="86"/>
    <w:family w:val="roman"/>
    <w:pitch w:val="default"/>
    <w:sig w:usb0="00000000" w:usb1="00000000" w:usb2="00000000" w:usb3="00000000" w:csb0="003E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方正大标宋简体">
    <w:altName w:val="微软雅黑"/>
    <w:panose1 w:val="02000000000000000000"/>
    <w:charset w:val="86"/>
    <w:family w:val="auto"/>
    <w:pitch w:val="default"/>
    <w:sig w:usb0="00000000" w:usb1="00000000" w:usb2="00000012" w:usb3="00000000" w:csb0="00040001" w:csb1="00000000"/>
  </w:font>
  <w:font w:name="方正楷体简体">
    <w:altName w:val="宋体"/>
    <w:panose1 w:val="02000000000000000000"/>
    <w:charset w:val="86"/>
    <w:family w:val="auto"/>
    <w:pitch w:val="default"/>
    <w:sig w:usb0="00000000" w:usb1="00000000" w:usb2="00000012" w:usb3="00000000" w:csb0="00040001" w:csb1="00000000"/>
  </w:font>
  <w:font w:name="方正粗黑宋简体">
    <w:panose1 w:val="02000000000000000000"/>
    <w:charset w:val="86"/>
    <w:family w:val="auto"/>
    <w:pitch w:val="default"/>
    <w:sig w:usb0="A00002BF" w:usb1="184F6CFA"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222" w:lineRule="auto"/>
      <w:ind w:left="3570"/>
      <w:rPr>
        <w:rFonts w:ascii="仿宋" w:hAnsi="仿宋" w:eastAsia="仿宋" w:cs="仿宋"/>
        <w:sz w:val="23"/>
        <w:szCs w:val="23"/>
      </w:rPr>
    </w:pPr>
    <w:r>
      <w:rPr>
        <w:sz w:val="23"/>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BCXA3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awQlwNwIAAHEEAAAOAAAAAAAAAAEAIAAAAB8BAABkcnMvZTJvRG9jLnht&#10;bFBLBQYAAAAABgAGAFkBAADIBQ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rPr>
        <w:rFonts w:hint="default"/>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E5C5FFA"/>
    <w:multiLevelType w:val="singleLevel"/>
    <w:tmpl w:val="9E5C5FFA"/>
    <w:lvl w:ilvl="0" w:tentative="0">
      <w:start w:val="9"/>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iMTFhYzUyMGMwMGZiODc5NzFjYzQyNmViMWIzNjYifQ=="/>
  </w:docVars>
  <w:rsids>
    <w:rsidRoot w:val="584F396D"/>
    <w:rsid w:val="005C6ADC"/>
    <w:rsid w:val="01331653"/>
    <w:rsid w:val="01995B0E"/>
    <w:rsid w:val="01DB1EFD"/>
    <w:rsid w:val="02E81CE7"/>
    <w:rsid w:val="02F96864"/>
    <w:rsid w:val="040D6B6F"/>
    <w:rsid w:val="04F814DA"/>
    <w:rsid w:val="0541140E"/>
    <w:rsid w:val="06053772"/>
    <w:rsid w:val="070D1263"/>
    <w:rsid w:val="071874D5"/>
    <w:rsid w:val="07B74F40"/>
    <w:rsid w:val="07C1191B"/>
    <w:rsid w:val="0843331C"/>
    <w:rsid w:val="08FD6983"/>
    <w:rsid w:val="09A3577C"/>
    <w:rsid w:val="0AF02CF9"/>
    <w:rsid w:val="0AF11FC3"/>
    <w:rsid w:val="0B20222C"/>
    <w:rsid w:val="0B4638CA"/>
    <w:rsid w:val="0B48754E"/>
    <w:rsid w:val="0BBC48D3"/>
    <w:rsid w:val="0C271719"/>
    <w:rsid w:val="0DAD6BC9"/>
    <w:rsid w:val="0DF16D4C"/>
    <w:rsid w:val="123C7A2D"/>
    <w:rsid w:val="133E02C4"/>
    <w:rsid w:val="134F26C3"/>
    <w:rsid w:val="143F2545"/>
    <w:rsid w:val="1565422D"/>
    <w:rsid w:val="17B661BA"/>
    <w:rsid w:val="18876269"/>
    <w:rsid w:val="19267830"/>
    <w:rsid w:val="1BEA723A"/>
    <w:rsid w:val="1BFC02D7"/>
    <w:rsid w:val="1C0A51E7"/>
    <w:rsid w:val="1D0F7A32"/>
    <w:rsid w:val="1E3D2EA7"/>
    <w:rsid w:val="201725C8"/>
    <w:rsid w:val="20CE56C6"/>
    <w:rsid w:val="214E67BA"/>
    <w:rsid w:val="21704DBD"/>
    <w:rsid w:val="21E14C3C"/>
    <w:rsid w:val="21F91F85"/>
    <w:rsid w:val="22813D29"/>
    <w:rsid w:val="228D0920"/>
    <w:rsid w:val="235C4E44"/>
    <w:rsid w:val="243E6375"/>
    <w:rsid w:val="246456B0"/>
    <w:rsid w:val="249045F5"/>
    <w:rsid w:val="26B67A63"/>
    <w:rsid w:val="2A1A0CEB"/>
    <w:rsid w:val="2C89209C"/>
    <w:rsid w:val="2F875074"/>
    <w:rsid w:val="303424AF"/>
    <w:rsid w:val="310444A3"/>
    <w:rsid w:val="328A47A0"/>
    <w:rsid w:val="328B7210"/>
    <w:rsid w:val="33CD5020"/>
    <w:rsid w:val="347A51A8"/>
    <w:rsid w:val="352625C6"/>
    <w:rsid w:val="35691E05"/>
    <w:rsid w:val="369342FF"/>
    <w:rsid w:val="369B31B3"/>
    <w:rsid w:val="36CC15BF"/>
    <w:rsid w:val="37FF59C4"/>
    <w:rsid w:val="38172D0E"/>
    <w:rsid w:val="387E7D18"/>
    <w:rsid w:val="38BF7BDF"/>
    <w:rsid w:val="38D936F0"/>
    <w:rsid w:val="3A5E4C24"/>
    <w:rsid w:val="3AF03860"/>
    <w:rsid w:val="3BA46A22"/>
    <w:rsid w:val="3C13510B"/>
    <w:rsid w:val="3D695DB9"/>
    <w:rsid w:val="3D791D75"/>
    <w:rsid w:val="3FE67B95"/>
    <w:rsid w:val="40314F68"/>
    <w:rsid w:val="42A67CE6"/>
    <w:rsid w:val="42BC2E2F"/>
    <w:rsid w:val="42E1261A"/>
    <w:rsid w:val="444C3D3F"/>
    <w:rsid w:val="454B735E"/>
    <w:rsid w:val="466F68A0"/>
    <w:rsid w:val="46B317AF"/>
    <w:rsid w:val="48741AB6"/>
    <w:rsid w:val="494C41EC"/>
    <w:rsid w:val="49B06B1E"/>
    <w:rsid w:val="4A82114B"/>
    <w:rsid w:val="4D5F403E"/>
    <w:rsid w:val="4D956B71"/>
    <w:rsid w:val="4EF908E6"/>
    <w:rsid w:val="4F351F9F"/>
    <w:rsid w:val="4F516018"/>
    <w:rsid w:val="50113DE0"/>
    <w:rsid w:val="53B223C2"/>
    <w:rsid w:val="54A159E1"/>
    <w:rsid w:val="54C82AEF"/>
    <w:rsid w:val="54FE2E33"/>
    <w:rsid w:val="560D0D8C"/>
    <w:rsid w:val="56666EE2"/>
    <w:rsid w:val="584F396D"/>
    <w:rsid w:val="59735C70"/>
    <w:rsid w:val="5A166E71"/>
    <w:rsid w:val="5A843DDB"/>
    <w:rsid w:val="5B9C5FC0"/>
    <w:rsid w:val="5BF55600"/>
    <w:rsid w:val="5C337866"/>
    <w:rsid w:val="5D4930BA"/>
    <w:rsid w:val="601D2D07"/>
    <w:rsid w:val="605B738C"/>
    <w:rsid w:val="60C018E5"/>
    <w:rsid w:val="60DC1D92"/>
    <w:rsid w:val="62336B22"/>
    <w:rsid w:val="62EF01F0"/>
    <w:rsid w:val="631E3BFB"/>
    <w:rsid w:val="64AF6771"/>
    <w:rsid w:val="655F4CE9"/>
    <w:rsid w:val="676C6322"/>
    <w:rsid w:val="692A3D9F"/>
    <w:rsid w:val="6A876FCF"/>
    <w:rsid w:val="6AEFED58"/>
    <w:rsid w:val="6B811C71"/>
    <w:rsid w:val="6CA3717D"/>
    <w:rsid w:val="6CF60D22"/>
    <w:rsid w:val="6E765CB1"/>
    <w:rsid w:val="6E895A0C"/>
    <w:rsid w:val="6FA60BD5"/>
    <w:rsid w:val="6FE23626"/>
    <w:rsid w:val="71285068"/>
    <w:rsid w:val="71793D8D"/>
    <w:rsid w:val="71972063"/>
    <w:rsid w:val="71BE59CD"/>
    <w:rsid w:val="723F4942"/>
    <w:rsid w:val="75132537"/>
    <w:rsid w:val="759129A9"/>
    <w:rsid w:val="77E77FA4"/>
    <w:rsid w:val="781E71C5"/>
    <w:rsid w:val="797F14BB"/>
    <w:rsid w:val="79D242F0"/>
    <w:rsid w:val="7CBA7139"/>
    <w:rsid w:val="7D910D10"/>
    <w:rsid w:val="7EBE700C"/>
    <w:rsid w:val="7FA57FCC"/>
    <w:rsid w:val="E2BFA261"/>
    <w:rsid w:val="EC3F90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autoRedefine/>
    <w:qFormat/>
    <w:uiPriority w:val="0"/>
    <w:pPr>
      <w:autoSpaceDE w:val="0"/>
      <w:autoSpaceDN w:val="0"/>
      <w:spacing w:before="33"/>
      <w:ind w:right="1818" w:hanging="964"/>
      <w:jc w:val="left"/>
      <w:outlineLvl w:val="0"/>
    </w:pPr>
    <w:rPr>
      <w:rFonts w:ascii="Kaiti SC" w:hAnsi="Kaiti SC" w:eastAsia="Kaiti SC" w:cs="Kaiti SC"/>
      <w:b/>
      <w:bCs/>
      <w:kern w:val="0"/>
      <w:sz w:val="32"/>
      <w:szCs w:val="32"/>
      <w:lang w:eastAsia="en-US"/>
    </w:rPr>
  </w:style>
  <w:style w:type="paragraph" w:styleId="3">
    <w:name w:val="heading 2"/>
    <w:basedOn w:val="1"/>
    <w:next w:val="1"/>
    <w:autoRedefine/>
    <w:semiHidden/>
    <w:unhideWhenUsed/>
    <w:qFormat/>
    <w:uiPriority w:val="0"/>
    <w:pPr>
      <w:keepNext/>
      <w:keepLines/>
      <w:spacing w:before="260" w:after="260" w:line="413" w:lineRule="auto"/>
      <w:outlineLvl w:val="1"/>
    </w:pPr>
    <w:rPr>
      <w:rFonts w:ascii="Arial" w:hAnsi="Arial" w:eastAsia="黑体"/>
      <w:b/>
      <w:sz w:val="32"/>
    </w:rPr>
  </w:style>
  <w:style w:type="character" w:default="1" w:styleId="10">
    <w:name w:val="Default Paragraph Font"/>
    <w:autoRedefine/>
    <w:semiHidden/>
    <w:qFormat/>
    <w:uiPriority w:val="0"/>
  </w:style>
  <w:style w:type="table" w:default="1" w:styleId="8">
    <w:name w:val="Normal Table"/>
    <w:autoRedefine/>
    <w:semiHidden/>
    <w:qFormat/>
    <w:uiPriority w:val="0"/>
    <w:tblPr>
      <w:tblCellMar>
        <w:top w:w="0" w:type="dxa"/>
        <w:left w:w="108" w:type="dxa"/>
        <w:bottom w:w="0" w:type="dxa"/>
        <w:right w:w="108" w:type="dxa"/>
      </w:tblCellMar>
    </w:tblPr>
  </w:style>
  <w:style w:type="paragraph" w:styleId="4">
    <w:name w:val="Body Text"/>
    <w:basedOn w:val="1"/>
    <w:autoRedefine/>
    <w:qFormat/>
    <w:uiPriority w:val="0"/>
    <w:pPr>
      <w:autoSpaceDE w:val="0"/>
      <w:autoSpaceDN w:val="0"/>
      <w:jc w:val="left"/>
    </w:pPr>
    <w:rPr>
      <w:rFonts w:ascii="Arial Unicode MS" w:hAnsi="Arial Unicode MS" w:eastAsia="Arial Unicode MS" w:cs="Arial Unicode MS"/>
      <w:kern w:val="0"/>
      <w:sz w:val="28"/>
      <w:szCs w:val="28"/>
      <w:lang w:eastAsia="en-US"/>
    </w:rPr>
  </w:style>
  <w:style w:type="paragraph" w:styleId="5">
    <w:name w:val="footer"/>
    <w:basedOn w:val="1"/>
    <w:autoRedefine/>
    <w:qFormat/>
    <w:uiPriority w:val="99"/>
    <w:pPr>
      <w:tabs>
        <w:tab w:val="center" w:pos="4153"/>
        <w:tab w:val="right" w:pos="8306"/>
      </w:tabs>
      <w:snapToGrid w:val="0"/>
      <w:jc w:val="left"/>
    </w:pPr>
    <w:rPr>
      <w:sz w:val="18"/>
    </w:rPr>
  </w:style>
  <w:style w:type="paragraph" w:styleId="6">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1">
    <w:name w:val="font01"/>
    <w:basedOn w:val="10"/>
    <w:autoRedefine/>
    <w:qFormat/>
    <w:uiPriority w:val="0"/>
    <w:rPr>
      <w:rFonts w:hint="eastAsia" w:ascii="宋体" w:hAnsi="宋体" w:eastAsia="宋体" w:cs="宋体"/>
      <w:color w:val="000000"/>
      <w:sz w:val="21"/>
      <w:szCs w:val="21"/>
      <w:u w:val="none"/>
    </w:rPr>
  </w:style>
  <w:style w:type="character" w:customStyle="1" w:styleId="12">
    <w:name w:val="font111"/>
    <w:basedOn w:val="10"/>
    <w:autoRedefine/>
    <w:qFormat/>
    <w:uiPriority w:val="0"/>
    <w:rPr>
      <w:rFonts w:hint="eastAsia" w:ascii="仿宋" w:hAnsi="仿宋" w:eastAsia="仿宋" w:cs="仿宋"/>
      <w:color w:val="FF0000"/>
      <w:sz w:val="22"/>
      <w:szCs w:val="22"/>
      <w:u w:val="none"/>
    </w:rPr>
  </w:style>
  <w:style w:type="paragraph" w:customStyle="1" w:styleId="13">
    <w:name w:val="Table Text"/>
    <w:basedOn w:val="1"/>
    <w:autoRedefine/>
    <w:semiHidden/>
    <w:qFormat/>
    <w:uiPriority w:val="0"/>
    <w:rPr>
      <w:rFonts w:ascii="仿宋" w:hAnsi="仿宋" w:eastAsia="仿宋" w:cs="仿宋"/>
      <w:sz w:val="31"/>
      <w:szCs w:val="31"/>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46</Pages>
  <Words>20279</Words>
  <Characters>21251</Characters>
  <Lines>0</Lines>
  <Paragraphs>0</Paragraphs>
  <TotalTime>21</TotalTime>
  <ScaleCrop>false</ScaleCrop>
  <LinksUpToDate>false</LinksUpToDate>
  <CharactersWithSpaces>21491</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2023-08-12T16:48:00Z</dcterms:created>
  <dc:creator>你好，雅</dc:creator>
  <cp:lastModifiedBy>小辉</cp:lastModifiedBy>
  <cp:lastPrinted>2023-08-14T17:03:00Z</cp:lastPrinted>
  <dcterms:modified xsi:type="dcterms:W3CDTF">2024-02-21T09:07:40Z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639BFB73E48B41E5AFC473D844C8A34E_13</vt:lpwstr>
  </property>
</Properties>
</file>