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ind w:firstLine="361" w:firstLineChars="100"/>
        <w:jc w:val="center"/>
        <w:rPr>
          <w:rFonts w:hint="eastAsia" w:ascii="宋体" w:hAnsi="宋体" w:eastAsia="宋体"/>
          <w:b/>
          <w:bCs w:val="0"/>
          <w:color w:val="000000" w:themeColor="text1"/>
          <w:sz w:val="36"/>
          <w:szCs w:val="36"/>
          <w:lang w:val="en-US" w:eastAsia="zh-CN"/>
          <w14:textFill>
            <w14:solidFill>
              <w14:schemeClr w14:val="tx1"/>
            </w14:solidFill>
          </w14:textFill>
        </w:rPr>
      </w:pPr>
      <w:r>
        <w:rPr>
          <w:rFonts w:hint="eastAsia" w:ascii="宋体" w:hAnsi="宋体" w:eastAsia="宋体"/>
          <w:b/>
          <w:bCs w:val="0"/>
          <w:color w:val="000000" w:themeColor="text1"/>
          <w:sz w:val="36"/>
          <w:szCs w:val="36"/>
          <w:lang w:val="en-US" w:eastAsia="zh-CN"/>
          <w14:textFill>
            <w14:solidFill>
              <w14:schemeClr w14:val="tx1"/>
            </w14:solidFill>
          </w14:textFill>
        </w:rPr>
        <w:t>关于自贡市青年实业发展总公司破产清案选任</w:t>
      </w:r>
    </w:p>
    <w:p>
      <w:pPr>
        <w:spacing w:before="156" w:after="156"/>
        <w:ind w:firstLine="361" w:firstLineChars="100"/>
        <w:jc w:val="center"/>
        <w:rPr>
          <w:rFonts w:hint="eastAsia" w:ascii="宋体" w:hAnsi="宋体" w:eastAsia="宋体"/>
          <w:b/>
          <w:bCs w:val="0"/>
          <w:color w:val="000000" w:themeColor="text1"/>
          <w:sz w:val="36"/>
          <w:szCs w:val="36"/>
          <w:lang w:val="en-US" w:eastAsia="zh-CN"/>
          <w14:textFill>
            <w14:solidFill>
              <w14:schemeClr w14:val="tx1"/>
            </w14:solidFill>
          </w14:textFill>
        </w:rPr>
      </w:pPr>
      <w:r>
        <w:rPr>
          <w:rFonts w:hint="eastAsia" w:ascii="宋体" w:hAnsi="宋体" w:eastAsia="宋体"/>
          <w:b/>
          <w:bCs w:val="0"/>
          <w:color w:val="000000" w:themeColor="text1"/>
          <w:sz w:val="36"/>
          <w:szCs w:val="36"/>
          <w:lang w:val="en-US" w:eastAsia="zh-CN"/>
          <w14:textFill>
            <w14:solidFill>
              <w14:schemeClr w14:val="tx1"/>
            </w14:solidFill>
          </w14:textFill>
        </w:rPr>
        <w:t>审计机构、评估机构</w:t>
      </w:r>
      <w:r>
        <w:rPr>
          <w:rFonts w:hint="eastAsia" w:ascii="宋体" w:hAnsi="宋体" w:eastAsia="宋体"/>
          <w:b/>
          <w:bCs w:val="0"/>
          <w:color w:val="000000" w:themeColor="text1"/>
          <w:sz w:val="36"/>
          <w:szCs w:val="36"/>
          <w:lang w:val="en-US" w:eastAsia="zh-Hans"/>
          <w14:textFill>
            <w14:solidFill>
              <w14:schemeClr w14:val="tx1"/>
            </w14:solidFill>
          </w14:textFill>
        </w:rPr>
        <w:t>结果的公示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560" w:firstLineChars="200"/>
        <w:textAlignment w:val="auto"/>
        <w:outlineLvl w:val="9"/>
        <w:rPr>
          <w:rFonts w:hint="eastAsia" w:ascii="仿宋" w:hAnsi="仿宋" w:eastAsia="仿宋" w:cs="仿宋"/>
          <w:color w:val="000000" w:themeColor="text1"/>
          <w:sz w:val="28"/>
          <w:szCs w:val="28"/>
          <w:lang w:val="en-US" w:eastAsia="zh-Hans"/>
          <w14:textFill>
            <w14:solidFill>
              <w14:schemeClr w14:val="tx1"/>
            </w14:solidFill>
          </w14:textFill>
        </w:rPr>
      </w:pPr>
      <w:r>
        <w:rPr>
          <w:rFonts w:hint="eastAsia" w:ascii="仿宋" w:hAnsi="仿宋" w:eastAsia="仿宋" w:cs="仿宋"/>
          <w:sz w:val="28"/>
          <w:szCs w:val="28"/>
          <w:lang w:val="en-US" w:eastAsia="zh-CN"/>
        </w:rPr>
        <w:t>自贡市中级人民法院</w:t>
      </w:r>
      <w:r>
        <w:rPr>
          <w:rFonts w:hint="eastAsia" w:ascii="仿宋" w:hAnsi="仿宋" w:eastAsia="仿宋" w:cs="仿宋"/>
          <w:sz w:val="28"/>
          <w:szCs w:val="28"/>
        </w:rPr>
        <w:t>于202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w:t>
      </w:r>
      <w:r>
        <w:rPr>
          <w:rFonts w:hint="eastAsia" w:ascii="仿宋" w:hAnsi="仿宋" w:eastAsia="仿宋" w:cs="仿宋"/>
          <w:sz w:val="28"/>
          <w:szCs w:val="28"/>
        </w:rPr>
        <w:t>日作出的（202</w:t>
      </w:r>
      <w:r>
        <w:rPr>
          <w:rFonts w:hint="eastAsia" w:ascii="仿宋" w:hAnsi="仿宋" w:eastAsia="仿宋" w:cs="仿宋"/>
          <w:sz w:val="28"/>
          <w:szCs w:val="28"/>
          <w:lang w:val="en-US" w:eastAsia="zh-CN"/>
        </w:rPr>
        <w:t>4</w:t>
      </w:r>
      <w:r>
        <w:rPr>
          <w:rFonts w:hint="eastAsia" w:ascii="仿宋" w:hAnsi="仿宋" w:eastAsia="仿宋" w:cs="仿宋"/>
          <w:sz w:val="28"/>
          <w:szCs w:val="28"/>
        </w:rPr>
        <w:t>）川03破申</w:t>
      </w:r>
      <w:r>
        <w:rPr>
          <w:rFonts w:hint="eastAsia" w:ascii="仿宋" w:hAnsi="仿宋" w:eastAsia="仿宋" w:cs="仿宋"/>
          <w:sz w:val="28"/>
          <w:szCs w:val="28"/>
          <w:lang w:val="en-US" w:eastAsia="zh-CN"/>
        </w:rPr>
        <w:t>1</w:t>
      </w:r>
      <w:r>
        <w:rPr>
          <w:rFonts w:hint="eastAsia" w:ascii="仿宋" w:hAnsi="仿宋" w:eastAsia="仿宋" w:cs="仿宋"/>
          <w:sz w:val="28"/>
          <w:szCs w:val="28"/>
        </w:rPr>
        <w:t>号民事裁定书，裁定受理</w:t>
      </w:r>
      <w:r>
        <w:rPr>
          <w:rFonts w:hint="eastAsia" w:ascii="仿宋" w:hAnsi="仿宋" w:eastAsia="仿宋" w:cs="仿宋"/>
          <w:sz w:val="28"/>
          <w:szCs w:val="28"/>
          <w:lang w:val="en-US" w:eastAsia="zh-CN"/>
        </w:rPr>
        <w:t>自贡市青年实业发展总公司</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以下简称“青年实业公司”</w:t>
      </w:r>
      <w:r>
        <w:rPr>
          <w:rFonts w:hint="eastAsia" w:ascii="仿宋" w:hAnsi="仿宋" w:eastAsia="仿宋" w:cs="仿宋"/>
          <w:sz w:val="28"/>
          <w:szCs w:val="28"/>
          <w:lang w:eastAsia="zh-CN"/>
        </w:rPr>
        <w:t>）</w:t>
      </w:r>
      <w:r>
        <w:rPr>
          <w:rFonts w:hint="eastAsia" w:ascii="仿宋" w:hAnsi="仿宋" w:eastAsia="仿宋" w:cs="仿宋"/>
          <w:sz w:val="28"/>
          <w:szCs w:val="28"/>
        </w:rPr>
        <w:t>的破产清算，并于202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月2</w:t>
      </w:r>
      <w:r>
        <w:rPr>
          <w:rFonts w:hint="eastAsia" w:ascii="仿宋" w:hAnsi="仿宋" w:eastAsia="仿宋" w:cs="仿宋"/>
          <w:sz w:val="28"/>
          <w:szCs w:val="28"/>
          <w:lang w:val="en-US" w:eastAsia="zh-CN"/>
        </w:rPr>
        <w:t>0</w:t>
      </w:r>
      <w:r>
        <w:rPr>
          <w:rFonts w:hint="eastAsia" w:ascii="仿宋" w:hAnsi="仿宋" w:eastAsia="仿宋" w:cs="仿宋"/>
          <w:sz w:val="28"/>
          <w:szCs w:val="28"/>
        </w:rPr>
        <w:t>日作出（202</w:t>
      </w:r>
      <w:r>
        <w:rPr>
          <w:rFonts w:hint="eastAsia" w:ascii="仿宋" w:hAnsi="仿宋" w:eastAsia="仿宋" w:cs="仿宋"/>
          <w:sz w:val="28"/>
          <w:szCs w:val="28"/>
          <w:lang w:val="en-US" w:eastAsia="zh-CN"/>
        </w:rPr>
        <w:t>4</w:t>
      </w:r>
      <w:r>
        <w:rPr>
          <w:rFonts w:hint="eastAsia" w:ascii="仿宋" w:hAnsi="仿宋" w:eastAsia="仿宋" w:cs="仿宋"/>
          <w:sz w:val="28"/>
          <w:szCs w:val="28"/>
        </w:rPr>
        <w:t>）川03破</w:t>
      </w:r>
      <w:r>
        <w:rPr>
          <w:rFonts w:hint="eastAsia" w:ascii="仿宋" w:hAnsi="仿宋" w:eastAsia="仿宋" w:cs="仿宋"/>
          <w:sz w:val="28"/>
          <w:szCs w:val="28"/>
          <w:lang w:val="en-US" w:eastAsia="zh-CN"/>
        </w:rPr>
        <w:t>5</w:t>
      </w:r>
      <w:r>
        <w:rPr>
          <w:rFonts w:hint="eastAsia" w:ascii="仿宋" w:hAnsi="仿宋" w:eastAsia="仿宋" w:cs="仿宋"/>
          <w:sz w:val="28"/>
          <w:szCs w:val="28"/>
        </w:rPr>
        <w:t>号决定书指定四川四通破产清算事务有限责任公司自贡分公司作为管理人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以下简称“管理人”</w:t>
      </w:r>
      <w:r>
        <w:rPr>
          <w:rFonts w:hint="eastAsia" w:ascii="仿宋" w:hAnsi="仿宋" w:eastAsia="仿宋" w:cs="仿宋"/>
          <w:sz w:val="28"/>
          <w:szCs w:val="28"/>
          <w:lang w:eastAsia="zh-CN"/>
        </w:rPr>
        <w:t>）</w:t>
      </w:r>
      <w:r>
        <w:rPr>
          <w:rFonts w:hint="eastAsia" w:ascii="仿宋" w:hAnsi="仿宋" w:eastAsia="仿宋" w:cs="仿宋"/>
          <w:sz w:val="28"/>
          <w:szCs w:val="28"/>
        </w:rPr>
        <w:t>开展本案破产清算工作</w:t>
      </w:r>
      <w:r>
        <w:rPr>
          <w:rFonts w:hint="eastAsia" w:ascii="仿宋" w:hAnsi="仿宋" w:eastAsia="仿宋" w:cs="仿宋"/>
          <w:sz w:val="28"/>
          <w:szCs w:val="28"/>
          <w:lang w:val="en-US" w:eastAsia="zh-CN"/>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560" w:firstLineChars="200"/>
        <w:textAlignment w:val="auto"/>
        <w:outlineLvl w:val="9"/>
        <w:rPr>
          <w:rFonts w:hint="default" w:ascii="仿宋" w:hAnsi="仿宋" w:eastAsia="仿宋" w:cs="仿宋"/>
          <w:color w:val="000000" w:themeColor="text1"/>
          <w:sz w:val="28"/>
          <w:szCs w:val="28"/>
          <w:lang w:eastAsia="zh-Hans"/>
          <w14:textFill>
            <w14:solidFill>
              <w14:schemeClr w14:val="tx1"/>
            </w14:solidFill>
          </w14:textFill>
        </w:rPr>
      </w:pPr>
      <w:r>
        <w:rPr>
          <w:rFonts w:hint="eastAsia" w:ascii="仿宋" w:hAnsi="仿宋" w:eastAsia="仿宋" w:cs="仿宋"/>
          <w:color w:val="000000" w:themeColor="text1"/>
          <w:sz w:val="28"/>
          <w:szCs w:val="28"/>
          <w:lang w:val="en-US" w:eastAsia="zh-Hans"/>
          <w14:textFill>
            <w14:solidFill>
              <w14:schemeClr w14:val="tx1"/>
            </w14:solidFill>
          </w14:textFill>
        </w:rPr>
        <w:t>管理人于</w:t>
      </w:r>
      <w:r>
        <w:rPr>
          <w:rFonts w:hint="default" w:ascii="仿宋" w:hAnsi="仿宋" w:eastAsia="仿宋" w:cs="仿宋"/>
          <w:color w:val="000000" w:themeColor="text1"/>
          <w:sz w:val="28"/>
          <w:szCs w:val="28"/>
          <w:lang w:eastAsia="zh-Hans"/>
          <w14:textFill>
            <w14:solidFill>
              <w14:schemeClr w14:val="tx1"/>
            </w14:solidFill>
          </w14:textFill>
        </w:rPr>
        <w:t>202</w:t>
      </w: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lang w:val="en-US" w:eastAsia="zh-Hans"/>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val="en-US" w:eastAsia="zh-Hans"/>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28</w:t>
      </w:r>
      <w:r>
        <w:rPr>
          <w:rFonts w:hint="eastAsia" w:ascii="仿宋" w:hAnsi="仿宋" w:eastAsia="仿宋" w:cs="仿宋"/>
          <w:color w:val="000000" w:themeColor="text1"/>
          <w:sz w:val="28"/>
          <w:szCs w:val="28"/>
          <w:lang w:val="en-US" w:eastAsia="zh-Hans"/>
          <w14:textFill>
            <w14:solidFill>
              <w14:schemeClr w14:val="tx1"/>
            </w14:solidFill>
          </w14:textFill>
        </w:rPr>
        <w:t>日在全国企业破产重整案件信息网发布了</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关于自贡市青年实业发展总公司破产清案选任审计机构、评估机构选聘公告</w:t>
      </w:r>
      <w:r>
        <w:rPr>
          <w:rFonts w:hint="default"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以下简称</w:t>
      </w:r>
      <w:r>
        <w:rPr>
          <w:rFonts w:hint="eastAsia" w:ascii="仿宋" w:hAnsi="仿宋" w:eastAsia="仿宋" w:cs="仿宋"/>
          <w:color w:val="000000" w:themeColor="text1"/>
          <w:sz w:val="28"/>
          <w:szCs w:val="28"/>
          <w:lang w:val="en-US" w:eastAsia="zh-CN"/>
          <w14:textFill>
            <w14:solidFill>
              <w14:schemeClr w14:val="tx1"/>
            </w14:solidFill>
          </w14:textFill>
        </w:rPr>
        <w:t>选聘</w:t>
      </w:r>
      <w:r>
        <w:rPr>
          <w:rFonts w:hint="eastAsia" w:ascii="仿宋" w:hAnsi="仿宋" w:eastAsia="仿宋" w:cs="仿宋"/>
          <w:color w:val="000000" w:themeColor="text1"/>
          <w:sz w:val="28"/>
          <w:szCs w:val="28"/>
          <w:lang w:val="en-US" w:eastAsia="zh-Hans"/>
          <w14:textFill>
            <w14:solidFill>
              <w14:schemeClr w14:val="tx1"/>
            </w14:solidFill>
          </w14:textFill>
        </w:rPr>
        <w:t>公告</w:t>
      </w:r>
      <w:r>
        <w:rPr>
          <w:rFonts w:hint="default"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截止</w:t>
      </w:r>
      <w:r>
        <w:rPr>
          <w:rFonts w:hint="eastAsia" w:ascii="仿宋" w:hAnsi="仿宋" w:eastAsia="仿宋" w:cs="仿宋"/>
          <w:color w:val="000000" w:themeColor="text1"/>
          <w:sz w:val="28"/>
          <w:szCs w:val="28"/>
          <w:lang w:val="en-US" w:eastAsia="zh-CN"/>
          <w14:textFill>
            <w14:solidFill>
              <w14:schemeClr w14:val="tx1"/>
            </w14:solidFill>
          </w14:textFill>
        </w:rPr>
        <w:t>2024年3月6日下午17:00</w:t>
      </w:r>
      <w:r>
        <w:rPr>
          <w:rFonts w:hint="default"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报名截止时间</w:t>
      </w:r>
      <w:r>
        <w:rPr>
          <w:rFonts w:hint="default"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共计</w:t>
      </w:r>
      <w:r>
        <w:rPr>
          <w:rFonts w:hint="eastAsia" w:ascii="仿宋" w:hAnsi="仿宋" w:eastAsia="仿宋" w:cs="仿宋"/>
          <w:color w:val="000000" w:themeColor="text1"/>
          <w:sz w:val="28"/>
          <w:szCs w:val="28"/>
          <w:lang w:val="en-US" w:eastAsia="zh-CN"/>
          <w14:textFill>
            <w14:solidFill>
              <w14:schemeClr w14:val="tx1"/>
            </w14:solidFill>
          </w14:textFill>
        </w:rPr>
        <w:t>16</w:t>
      </w:r>
      <w:r>
        <w:rPr>
          <w:rFonts w:hint="eastAsia" w:ascii="仿宋" w:hAnsi="仿宋" w:eastAsia="仿宋" w:cs="仿宋"/>
          <w:color w:val="000000" w:themeColor="text1"/>
          <w:sz w:val="28"/>
          <w:szCs w:val="28"/>
          <w:lang w:val="en-US" w:eastAsia="zh-Hans"/>
          <w14:textFill>
            <w14:solidFill>
              <w14:schemeClr w14:val="tx1"/>
            </w14:solidFill>
          </w14:textFill>
        </w:rPr>
        <w:t>家机构向管理人提交了申报资料</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其中</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lang w:val="en-US" w:eastAsia="zh-Hans"/>
          <w14:textFill>
            <w14:solidFill>
              <w14:schemeClr w14:val="tx1"/>
            </w14:solidFill>
          </w14:textFill>
        </w:rPr>
        <w:t>家为审计机构</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10</w:t>
      </w:r>
      <w:r>
        <w:rPr>
          <w:rFonts w:hint="eastAsia" w:ascii="仿宋" w:hAnsi="仿宋" w:eastAsia="仿宋" w:cs="仿宋"/>
          <w:color w:val="000000" w:themeColor="text1"/>
          <w:sz w:val="28"/>
          <w:szCs w:val="28"/>
          <w:lang w:val="en-US" w:eastAsia="zh-Hans"/>
          <w14:textFill>
            <w14:solidFill>
              <w14:schemeClr w14:val="tx1"/>
            </w14:solidFill>
          </w14:textFill>
        </w:rPr>
        <w:t>家为评估机构</w:t>
      </w:r>
      <w:r>
        <w:rPr>
          <w:rFonts w:hint="default" w:ascii="仿宋" w:hAnsi="仿宋" w:eastAsia="仿宋" w:cs="仿宋"/>
          <w:color w:val="000000" w:themeColor="text1"/>
          <w:sz w:val="28"/>
          <w:szCs w:val="28"/>
          <w:lang w:eastAsia="zh-Hans"/>
          <w14:textFill>
            <w14:solidFill>
              <w14:schemeClr w14:val="tx1"/>
            </w14:solidFill>
          </w14:textFill>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560" w:firstLineChars="200"/>
        <w:textAlignment w:val="auto"/>
        <w:outlineLvl w:val="9"/>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Hans"/>
          <w14:textFill>
            <w14:solidFill>
              <w14:schemeClr w14:val="tx1"/>
            </w14:solidFill>
          </w14:textFill>
        </w:rPr>
        <w:t>经</w:t>
      </w:r>
      <w:r>
        <w:rPr>
          <w:rFonts w:hint="eastAsia" w:ascii="仿宋" w:hAnsi="仿宋" w:eastAsia="仿宋" w:cs="仿宋"/>
          <w:color w:val="000000" w:themeColor="text1"/>
          <w:sz w:val="28"/>
          <w:szCs w:val="28"/>
          <w:lang w:val="en-US" w:eastAsia="zh-CN"/>
          <w14:textFill>
            <w14:solidFill>
              <w14:schemeClr w14:val="tx1"/>
            </w14:solidFill>
          </w14:textFill>
        </w:rPr>
        <w:t>管理人</w:t>
      </w:r>
      <w:r>
        <w:rPr>
          <w:rFonts w:hint="eastAsia" w:ascii="仿宋" w:hAnsi="仿宋" w:eastAsia="仿宋" w:cs="仿宋"/>
          <w:color w:val="000000" w:themeColor="text1"/>
          <w:sz w:val="28"/>
          <w:szCs w:val="28"/>
          <w:lang w:val="en-US" w:eastAsia="zh-Hans"/>
          <w14:textFill>
            <w14:solidFill>
              <w14:schemeClr w14:val="tx1"/>
            </w14:solidFill>
          </w14:textFill>
        </w:rPr>
        <w:t>按照</w:t>
      </w:r>
      <w:r>
        <w:rPr>
          <w:rFonts w:hint="eastAsia" w:ascii="仿宋" w:hAnsi="仿宋" w:eastAsia="仿宋" w:cs="仿宋"/>
          <w:color w:val="000000" w:themeColor="text1"/>
          <w:sz w:val="28"/>
          <w:szCs w:val="28"/>
          <w:lang w:val="en-US" w:eastAsia="zh-CN"/>
          <w14:textFill>
            <w14:solidFill>
              <w14:schemeClr w14:val="tx1"/>
            </w14:solidFill>
          </w14:textFill>
        </w:rPr>
        <w:t>选聘公告对各申报机构进行公开摇号，</w:t>
      </w:r>
      <w:r>
        <w:rPr>
          <w:rFonts w:hint="eastAsia" w:ascii="仿宋" w:hAnsi="仿宋" w:eastAsia="仿宋" w:cs="仿宋"/>
          <w:color w:val="000000" w:themeColor="text1"/>
          <w:sz w:val="28"/>
          <w:szCs w:val="28"/>
          <w:lang w:val="en-US" w:eastAsia="zh-Hans"/>
          <w14:textFill>
            <w14:solidFill>
              <w14:schemeClr w14:val="tx1"/>
            </w14:solidFill>
          </w14:textFill>
        </w:rPr>
        <w:t>确定</w:t>
      </w:r>
      <w:r>
        <w:rPr>
          <w:rFonts w:hint="eastAsia" w:ascii="仿宋" w:hAnsi="仿宋" w:eastAsia="仿宋" w:cs="仿宋"/>
          <w:color w:val="000000" w:themeColor="text1"/>
          <w:sz w:val="28"/>
          <w:szCs w:val="28"/>
          <w:lang w:val="en-US" w:eastAsia="zh-CN"/>
          <w14:textFill>
            <w14:solidFill>
              <w14:schemeClr w14:val="tx1"/>
            </w14:solidFill>
          </w14:textFill>
        </w:rPr>
        <w:t>四川中信同益会计师事务所有限公司</w:t>
      </w:r>
      <w:r>
        <w:rPr>
          <w:rFonts w:hint="eastAsia" w:ascii="仿宋" w:hAnsi="仿宋" w:eastAsia="仿宋" w:cs="仿宋"/>
          <w:color w:val="000000" w:themeColor="text1"/>
          <w:sz w:val="28"/>
          <w:szCs w:val="28"/>
          <w:lang w:val="en-US" w:eastAsia="zh-Hans"/>
          <w14:textFill>
            <w14:solidFill>
              <w14:schemeClr w14:val="tx1"/>
            </w14:solidFill>
          </w14:textFill>
        </w:rPr>
        <w:t>中选</w:t>
      </w:r>
      <w:r>
        <w:rPr>
          <w:rFonts w:hint="eastAsia" w:ascii="仿宋" w:hAnsi="仿宋" w:eastAsia="仿宋" w:cs="仿宋"/>
          <w:color w:val="000000" w:themeColor="text1"/>
          <w:sz w:val="28"/>
          <w:szCs w:val="28"/>
          <w:lang w:val="en-US" w:eastAsia="zh-CN"/>
          <w14:textFill>
            <w14:solidFill>
              <w14:schemeClr w14:val="tx1"/>
            </w14:solidFill>
          </w14:textFill>
        </w:rPr>
        <w:t>自贡市青年实业发展总公司</w:t>
      </w:r>
      <w:r>
        <w:rPr>
          <w:rFonts w:hint="eastAsia" w:ascii="仿宋" w:hAnsi="仿宋" w:eastAsia="仿宋" w:cs="仿宋"/>
          <w:color w:val="000000" w:themeColor="text1"/>
          <w:sz w:val="28"/>
          <w:szCs w:val="28"/>
          <w:lang w:val="en-US" w:eastAsia="zh-Hans"/>
          <w14:textFill>
            <w14:solidFill>
              <w14:schemeClr w14:val="tx1"/>
            </w14:solidFill>
          </w14:textFill>
        </w:rPr>
        <w:t>破产清算案的审计机构</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四川兴中平资产评估房地产土地估价有限公司</w:t>
      </w:r>
      <w:r>
        <w:rPr>
          <w:rFonts w:hint="eastAsia" w:ascii="仿宋" w:hAnsi="仿宋" w:eastAsia="仿宋" w:cs="仿宋"/>
          <w:color w:val="000000" w:themeColor="text1"/>
          <w:sz w:val="28"/>
          <w:szCs w:val="28"/>
          <w:lang w:val="en-US" w:eastAsia="zh-Hans"/>
          <w14:textFill>
            <w14:solidFill>
              <w14:schemeClr w14:val="tx1"/>
            </w14:solidFill>
          </w14:textFill>
        </w:rPr>
        <w:t>中选</w:t>
      </w:r>
      <w:r>
        <w:rPr>
          <w:rFonts w:hint="eastAsia" w:ascii="仿宋" w:hAnsi="仿宋" w:eastAsia="仿宋" w:cs="仿宋"/>
          <w:color w:val="000000" w:themeColor="text1"/>
          <w:sz w:val="28"/>
          <w:szCs w:val="28"/>
          <w:lang w:val="en-US" w:eastAsia="zh-CN"/>
          <w14:textFill>
            <w14:solidFill>
              <w14:schemeClr w14:val="tx1"/>
            </w14:solidFill>
          </w14:textFill>
        </w:rPr>
        <w:t>自贡市青年实业发展总公司</w:t>
      </w:r>
      <w:r>
        <w:rPr>
          <w:rFonts w:hint="eastAsia" w:ascii="仿宋" w:hAnsi="仿宋" w:eastAsia="仿宋" w:cs="仿宋"/>
          <w:color w:val="000000" w:themeColor="text1"/>
          <w:sz w:val="28"/>
          <w:szCs w:val="28"/>
          <w:lang w:val="en-US" w:eastAsia="zh-Hans"/>
          <w14:textFill>
            <w14:solidFill>
              <w14:schemeClr w14:val="tx1"/>
            </w14:solidFill>
          </w14:textFill>
        </w:rPr>
        <w:t>破产清算案的评估机构</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此外</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根据</w:t>
      </w:r>
      <w:r>
        <w:rPr>
          <w:rFonts w:hint="eastAsia" w:ascii="仿宋" w:hAnsi="仿宋" w:eastAsia="仿宋" w:cs="仿宋"/>
          <w:color w:val="000000" w:themeColor="text1"/>
          <w:sz w:val="28"/>
          <w:szCs w:val="28"/>
          <w:lang w:val="en-US" w:eastAsia="zh-CN"/>
          <w14:textFill>
            <w14:solidFill>
              <w14:schemeClr w14:val="tx1"/>
            </w14:solidFill>
          </w14:textFill>
        </w:rPr>
        <w:t>选聘</w:t>
      </w:r>
      <w:r>
        <w:rPr>
          <w:rFonts w:hint="eastAsia" w:ascii="仿宋" w:hAnsi="仿宋" w:eastAsia="仿宋" w:cs="仿宋"/>
          <w:color w:val="000000" w:themeColor="text1"/>
          <w:sz w:val="28"/>
          <w:szCs w:val="28"/>
          <w:lang w:val="en-US" w:eastAsia="zh-Hans"/>
          <w14:textFill>
            <w14:solidFill>
              <w14:schemeClr w14:val="tx1"/>
            </w14:solidFill>
          </w14:textFill>
        </w:rPr>
        <w:t>公告第六条</w:t>
      </w:r>
      <w:r>
        <w:rPr>
          <w:rFonts w:hint="default"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val="en-US" w:eastAsia="zh-Hans"/>
          <w14:textFill>
            <w14:solidFill>
              <w14:schemeClr w14:val="tx1"/>
            </w14:solidFill>
          </w14:textFill>
        </w:rPr>
        <w:t>管理人</w:t>
      </w:r>
      <w:r>
        <w:rPr>
          <w:rFonts w:hint="eastAsia" w:ascii="仿宋" w:hAnsi="仿宋" w:eastAsia="仿宋" w:cs="仿宋"/>
          <w:color w:val="000000" w:themeColor="text1"/>
          <w:sz w:val="28"/>
          <w:szCs w:val="28"/>
          <w:lang w:val="en-US" w:eastAsia="zh-CN"/>
          <w14:textFill>
            <w14:solidFill>
              <w14:schemeClr w14:val="tx1"/>
            </w14:solidFill>
          </w14:textFill>
        </w:rPr>
        <w:t>不再另行通知未选中机构。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560" w:firstLineChars="200"/>
        <w:textAlignment w:val="auto"/>
        <w:outlineLvl w:val="9"/>
        <w:rPr>
          <w:rFonts w:hint="eastAsia" w:ascii="仿宋" w:hAnsi="仿宋" w:eastAsia="仿宋" w:cs="仿宋"/>
          <w:color w:val="000000" w:themeColor="text1"/>
          <w:sz w:val="28"/>
          <w:szCs w:val="28"/>
          <w:lang w:val="en-US" w:eastAsia="zh-Hans"/>
          <w14:textFill>
            <w14:solidFill>
              <w14:schemeClr w14:val="tx1"/>
            </w14:solidFill>
          </w14:textFill>
        </w:rPr>
      </w:pPr>
      <w:r>
        <w:rPr>
          <w:rFonts w:hint="eastAsia" w:ascii="仿宋" w:hAnsi="仿宋" w:eastAsia="仿宋" w:cs="仿宋"/>
          <w:color w:val="000000" w:themeColor="text1"/>
          <w:sz w:val="28"/>
          <w:szCs w:val="28"/>
          <w:lang w:val="en-US" w:eastAsia="zh-Hans"/>
          <w14:textFill>
            <w14:solidFill>
              <w14:schemeClr w14:val="tx1"/>
            </w14:solidFill>
          </w14:textFill>
        </w:rPr>
        <w:t>特此公示</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560" w:firstLineChars="200"/>
        <w:jc w:val="right"/>
        <w:textAlignment w:val="auto"/>
        <w:outlineLvl w:val="9"/>
        <w:rPr>
          <w:rFonts w:hint="eastAsia" w:ascii="仿宋" w:hAnsi="仿宋" w:eastAsia="仿宋" w:cs="仿宋"/>
          <w:color w:val="000000" w:themeColor="text1"/>
          <w:sz w:val="28"/>
          <w:szCs w:val="28"/>
          <w:lang w:val="en-US" w:eastAsia="zh-CN"/>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560" w:firstLineChars="200"/>
        <w:jc w:val="right"/>
        <w:textAlignment w:val="auto"/>
        <w:outlineLvl w:val="9"/>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自贡市青年实业发展总公司</w:t>
      </w:r>
      <w:r>
        <w:rPr>
          <w:rFonts w:hint="eastAsia" w:ascii="仿宋" w:hAnsi="仿宋" w:eastAsia="仿宋" w:cs="仿宋"/>
          <w:color w:val="000000" w:themeColor="text1"/>
          <w:sz w:val="28"/>
          <w:szCs w:val="28"/>
          <w:lang w:val="en-US" w:eastAsia="zh-Hans"/>
          <w14:textFill>
            <w14:solidFill>
              <w14:schemeClr w14:val="tx1"/>
            </w14:solidFill>
          </w14:textFill>
        </w:rPr>
        <w:t>管理人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560" w:firstLineChars="200"/>
        <w:jc w:val="right"/>
        <w:textAlignment w:val="auto"/>
        <w:outlineLvl w:val="9"/>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二〇二四年三月十一日</w:t>
      </w:r>
    </w:p>
    <w:p>
      <w:pPr>
        <w:rPr>
          <w:rFonts w:hint="eastAsia" w:eastAsiaTheme="minor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Helvetica Neue">
    <w:altName w:val="Times New Roman"/>
    <w:panose1 w:val="02000503000000020004"/>
    <w:charset w:val="00"/>
    <w:family w:val="auto"/>
    <w:pitch w:val="default"/>
    <w:sig w:usb0="00000000" w:usb1="00000000" w:usb2="0000001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3ZjI0M2ZmZDcyOTI3NWRhN2IyMzQ0NWE5M2Q4NjMifQ=="/>
  </w:docVars>
  <w:rsids>
    <w:rsidRoot w:val="3DEFC96D"/>
    <w:rsid w:val="036D4053"/>
    <w:rsid w:val="35C062C8"/>
    <w:rsid w:val="3DEFC96D"/>
    <w:rsid w:val="464165D6"/>
    <w:rsid w:val="67CCA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autoRedefine/>
    <w:qFormat/>
    <w:uiPriority w:val="0"/>
    <w:pPr>
      <w:autoSpaceDE w:val="0"/>
      <w:autoSpaceDN w:val="0"/>
      <w:adjustRightInd w:val="0"/>
    </w:pPr>
    <w:rPr>
      <w:rFonts w:hAnsi="Tms Rmn" w:cs="宋体"/>
      <w:szCs w:val="21"/>
    </w:rPr>
  </w:style>
  <w:style w:type="paragraph" w:styleId="3">
    <w:name w:val="Normal (Web)"/>
    <w:basedOn w:val="1"/>
    <w:autoRedefine/>
    <w:qFormat/>
    <w:uiPriority w:val="0"/>
    <w:rPr>
      <w:sz w:val="24"/>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p1"/>
    <w:basedOn w:val="1"/>
    <w:autoRedefine/>
    <w:qFormat/>
    <w:uiPriority w:val="0"/>
    <w:pPr>
      <w:spacing w:before="0" w:beforeAutospacing="0" w:after="0" w:afterAutospacing="0" w:line="380" w:lineRule="atLeast"/>
      <w:ind w:left="0" w:right="0"/>
      <w:jc w:val="left"/>
    </w:pPr>
    <w:rPr>
      <w:rFonts w:ascii="Helvetica Neue" w:hAnsi="Helvetica Neue" w:eastAsia="Helvetica Neue" w:cs="Helvetica Neue"/>
      <w:color w:val="000000"/>
      <w:kern w:val="0"/>
      <w:sz w:val="26"/>
      <w:szCs w:val="26"/>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2022-11-30T17:36:00Z</dcterms:created>
  <dc:creator>spruce</dc:creator>
  <cp:lastModifiedBy>Lucis－Ferrer</cp:lastModifiedBy>
  <dcterms:modified xsi:type="dcterms:W3CDTF">2024-03-11T07:25:16Z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B4D41798FE13DA1A8BADEE6529FFB6CD_43</vt:lpwstr>
  </property>
</Properties>
</file>