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Bdr>
          <w:bottom w:val="none" w:color="auto" w:sz="0" w:space="13"/>
        </w:pBdr>
        <w:jc w:val="left"/>
        <w:rPr>
          <w:rFonts w:hint="eastAsia" w:ascii="宋体" w:hAnsi="宋体" w:eastAsia="宋体" w:cs="宋体"/>
          <w:b/>
          <w:spacing w:val="-20"/>
          <w:sz w:val="36"/>
          <w:szCs w:val="36"/>
          <w:lang w:eastAsia="zh-CN"/>
        </w:rPr>
      </w:pPr>
    </w:p>
    <w:p>
      <w:pPr>
        <w:pStyle w:val="3"/>
        <w:pBdr>
          <w:bottom w:val="none" w:color="auto" w:sz="0" w:space="13"/>
        </w:pBdr>
        <w:jc w:val="left"/>
        <w:rPr>
          <w:rFonts w:hint="eastAsia" w:ascii="宋体" w:hAnsi="宋体" w:eastAsia="宋体" w:cs="宋体"/>
          <w:b/>
          <w:spacing w:val="-20"/>
          <w:sz w:val="36"/>
          <w:szCs w:val="36"/>
          <w:lang w:eastAsia="zh-CN"/>
        </w:rPr>
      </w:pPr>
    </w:p>
    <w:p>
      <w:pPr>
        <w:pStyle w:val="3"/>
        <w:pBdr>
          <w:bottom w:val="none" w:color="auto" w:sz="0" w:space="13"/>
        </w:pBdr>
        <w:jc w:val="left"/>
        <w:rPr>
          <w:rFonts w:hint="eastAsia" w:ascii="宋体" w:hAnsi="宋体" w:eastAsia="宋体" w:cs="宋体"/>
          <w:sz w:val="21"/>
          <w:szCs w:val="21"/>
          <w:lang w:eastAsia="zh-CN"/>
        </w:rPr>
      </w:pPr>
      <w:r>
        <w:rPr>
          <w:rFonts w:hint="eastAsia" w:ascii="宋体" w:hAnsi="宋体" w:eastAsia="宋体" w:cs="宋体"/>
          <w:sz w:val="21"/>
          <w:szCs w:val="21"/>
          <w:lang w:eastAsia="zh-CN"/>
        </w:rPr>
        <w:drawing>
          <wp:anchor distT="0" distB="0" distL="114300" distR="114300" simplePos="0" relativeHeight="251659264" behindDoc="1" locked="0" layoutInCell="1" allowOverlap="1">
            <wp:simplePos x="0" y="0"/>
            <wp:positionH relativeFrom="column">
              <wp:posOffset>5397500</wp:posOffset>
            </wp:positionH>
            <wp:positionV relativeFrom="paragraph">
              <wp:posOffset>-57150</wp:posOffset>
            </wp:positionV>
            <wp:extent cx="655955" cy="655955"/>
            <wp:effectExtent l="0" t="0" r="4445" b="4445"/>
            <wp:wrapTight wrapText="bothSides">
              <wp:wrapPolygon>
                <wp:start x="0" y="0"/>
                <wp:lineTo x="0" y="21328"/>
                <wp:lineTo x="21328" y="21328"/>
                <wp:lineTo x="21328" y="0"/>
                <wp:lineTo x="0" y="0"/>
              </wp:wrapPolygon>
            </wp:wrapTight>
            <wp:docPr id="1" name="图片 1" descr="微信图片_2022041911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419113209"/>
                    <pic:cNvPicPr>
                      <a:picLocks noChangeAspect="1"/>
                    </pic:cNvPicPr>
                  </pic:nvPicPr>
                  <pic:blipFill>
                    <a:blip r:embed="rId6"/>
                    <a:stretch>
                      <a:fillRect/>
                    </a:stretch>
                  </pic:blipFill>
                  <pic:spPr>
                    <a:xfrm>
                      <a:off x="0" y="0"/>
                      <a:ext cx="655955" cy="655955"/>
                    </a:xfrm>
                    <a:prstGeom prst="rect">
                      <a:avLst/>
                    </a:prstGeom>
                  </pic:spPr>
                </pic:pic>
              </a:graphicData>
            </a:graphic>
          </wp:anchor>
        </w:drawing>
      </w:r>
      <w:r>
        <w:rPr>
          <w:rFonts w:hint="eastAsia" w:ascii="宋体" w:hAnsi="宋体" w:eastAsia="宋体" w:cs="宋体"/>
          <w:b/>
          <w:spacing w:val="-20"/>
          <w:sz w:val="36"/>
          <w:szCs w:val="36"/>
          <w:lang w:eastAsia="zh-CN"/>
        </w:rPr>
        <w:t>海南君言破产清算服务有限公司</w:t>
      </w:r>
      <w:r>
        <w:rPr>
          <w:rFonts w:hint="eastAsia" w:ascii="宋体" w:hAnsi="宋体" w:eastAsia="宋体" w:cs="宋体"/>
          <w:b/>
          <w:sz w:val="36"/>
          <w:szCs w:val="36"/>
        </w:rPr>
        <w:t xml:space="preserve"> </w:t>
      </w:r>
      <w:r>
        <w:rPr>
          <w:rFonts w:hint="eastAsia" w:ascii="宋体" w:hAnsi="宋体" w:eastAsia="宋体" w:cs="宋体"/>
          <w:sz w:val="21"/>
          <w:szCs w:val="21"/>
        </w:rPr>
        <w:t xml:space="preserve">                                    </w:t>
      </w:r>
    </w:p>
    <w:p>
      <w:pPr>
        <w:pStyle w:val="3"/>
        <w:pBdr>
          <w:bottom w:val="none" w:color="auto" w:sz="0" w:space="13"/>
        </w:pBdr>
        <w:ind w:left="3570" w:hanging="3144" w:hangingChars="1700"/>
        <w:jc w:val="left"/>
        <w:rPr>
          <w:rFonts w:ascii="Times New Roman"/>
          <w:b w:val="0"/>
          <w:sz w:val="19"/>
        </w:rPr>
      </w:pPr>
      <w:r>
        <w:rPr>
          <w:rFonts w:hint="eastAsia" w:ascii="宋体" w:hAnsi="宋体" w:eastAsia="宋体" w:cs="宋体"/>
          <w:b/>
          <w:spacing w:val="-28"/>
          <w:sz w:val="24"/>
          <w:szCs w:val="24"/>
          <w:lang w:eastAsia="zh-CN"/>
        </w:rPr>
        <w:t>HAINAN JUNYANG BANKRUPTCY LIQUIDATION SERVICE CO. LTD</w:t>
      </w:r>
      <w:r>
        <w:rPr>
          <w:rFonts w:hint="eastAsia" w:ascii="宋体" w:hAnsi="宋体" w:eastAsia="宋体" w:cs="宋体"/>
          <w:b/>
          <w:spacing w:val="-28"/>
          <w:sz w:val="24"/>
          <w:szCs w:val="24"/>
        </w:rPr>
        <w:t xml:space="preserve"> </w:t>
      </w:r>
    </w:p>
    <w:p>
      <w:pPr>
        <w:spacing w:before="53"/>
        <w:ind w:right="1910"/>
        <w:jc w:val="both"/>
        <w:rPr>
          <w:rFonts w:hint="eastAsia" w:ascii="仿宋" w:hAnsi="仿宋" w:eastAsia="仿宋" w:cs="仿宋"/>
          <w:b/>
          <w:color w:val="000007"/>
          <w:sz w:val="36"/>
        </w:rPr>
      </w:pPr>
    </w:p>
    <w:p>
      <w:pPr>
        <w:keepNext w:val="0"/>
        <w:keepLines w:val="0"/>
        <w:pageBreakBefore w:val="0"/>
        <w:widowControl w:val="0"/>
        <w:kinsoku/>
        <w:wordWrap/>
        <w:overflowPunct/>
        <w:topLinePunct w:val="0"/>
        <w:autoSpaceDE w:val="0"/>
        <w:autoSpaceDN w:val="0"/>
        <w:bidi w:val="0"/>
        <w:adjustRightInd/>
        <w:snapToGrid/>
        <w:spacing w:before="0" w:line="500" w:lineRule="exact"/>
        <w:ind w:right="0"/>
        <w:jc w:val="center"/>
        <w:textAlignment w:val="auto"/>
        <w:rPr>
          <w:rFonts w:hint="eastAsia" w:ascii="仿宋" w:hAnsi="仿宋" w:eastAsia="仿宋" w:cs="仿宋"/>
          <w:b/>
          <w:color w:val="000007"/>
          <w:sz w:val="36"/>
          <w:szCs w:val="36"/>
        </w:rPr>
      </w:pPr>
      <w:bookmarkStart w:id="0" w:name="_GoBack"/>
      <w:bookmarkEnd w:id="0"/>
      <w:r>
        <w:rPr>
          <w:rFonts w:hint="eastAsia" w:ascii="仿宋" w:hAnsi="仿宋" w:eastAsia="仿宋" w:cs="仿宋"/>
          <w:b/>
          <w:color w:val="000007"/>
          <w:sz w:val="36"/>
          <w:szCs w:val="36"/>
          <w:lang w:eastAsia="zh-CN"/>
        </w:rPr>
        <w:t>海南</w:t>
      </w:r>
      <w:r>
        <w:rPr>
          <w:rFonts w:hint="eastAsia" w:ascii="仿宋" w:hAnsi="仿宋" w:eastAsia="仿宋" w:cs="仿宋"/>
          <w:b/>
          <w:color w:val="000007"/>
          <w:sz w:val="36"/>
          <w:szCs w:val="36"/>
          <w:lang w:val="en-US" w:eastAsia="zh-CN"/>
        </w:rPr>
        <w:t>臻达装饰工程</w:t>
      </w:r>
      <w:r>
        <w:rPr>
          <w:rFonts w:hint="eastAsia" w:ascii="仿宋" w:hAnsi="仿宋" w:eastAsia="仿宋" w:cs="仿宋"/>
          <w:b/>
          <w:color w:val="000007"/>
          <w:sz w:val="36"/>
          <w:szCs w:val="36"/>
          <w:lang w:eastAsia="zh-CN"/>
        </w:rPr>
        <w:t>有限公司</w:t>
      </w:r>
      <w:r>
        <w:rPr>
          <w:rFonts w:hint="eastAsia" w:ascii="仿宋" w:hAnsi="仿宋" w:eastAsia="仿宋" w:cs="仿宋"/>
          <w:b/>
          <w:color w:val="000007"/>
          <w:sz w:val="36"/>
          <w:szCs w:val="36"/>
        </w:rPr>
        <w:t>破产</w:t>
      </w:r>
      <w:r>
        <w:rPr>
          <w:rFonts w:hint="eastAsia" w:ascii="仿宋" w:hAnsi="仿宋" w:eastAsia="仿宋" w:cs="仿宋"/>
          <w:b/>
          <w:color w:val="000007"/>
          <w:sz w:val="36"/>
          <w:szCs w:val="36"/>
          <w:lang w:val="en-US" w:eastAsia="zh-CN"/>
        </w:rPr>
        <w:t>清算</w:t>
      </w:r>
      <w:r>
        <w:rPr>
          <w:rFonts w:hint="eastAsia" w:ascii="仿宋" w:hAnsi="仿宋" w:eastAsia="仿宋" w:cs="仿宋"/>
          <w:b/>
          <w:color w:val="000007"/>
          <w:sz w:val="36"/>
          <w:szCs w:val="36"/>
        </w:rPr>
        <w:t>案</w:t>
      </w:r>
    </w:p>
    <w:p>
      <w:pPr>
        <w:keepNext w:val="0"/>
        <w:keepLines w:val="0"/>
        <w:pageBreakBefore w:val="0"/>
        <w:widowControl w:val="0"/>
        <w:kinsoku/>
        <w:wordWrap/>
        <w:overflowPunct/>
        <w:topLinePunct w:val="0"/>
        <w:autoSpaceDE w:val="0"/>
        <w:autoSpaceDN w:val="0"/>
        <w:bidi w:val="0"/>
        <w:adjustRightInd/>
        <w:snapToGrid/>
        <w:spacing w:before="0" w:line="500" w:lineRule="exact"/>
        <w:ind w:left="1655" w:right="1910" w:firstLine="0"/>
        <w:jc w:val="center"/>
        <w:textAlignment w:val="auto"/>
        <w:rPr>
          <w:rFonts w:hint="eastAsia" w:ascii="仿宋" w:hAnsi="仿宋" w:eastAsia="仿宋" w:cs="仿宋"/>
          <w:b/>
          <w:color w:val="000007"/>
          <w:sz w:val="36"/>
          <w:szCs w:val="36"/>
        </w:rPr>
      </w:pPr>
      <w:r>
        <w:rPr>
          <w:rFonts w:hint="eastAsia" w:ascii="仿宋" w:hAnsi="仿宋" w:eastAsia="仿宋" w:cs="仿宋"/>
          <w:b/>
          <w:color w:val="000007"/>
          <w:sz w:val="36"/>
          <w:szCs w:val="36"/>
        </w:rPr>
        <w:t>债权人送达地址及银行账户确认书</w:t>
      </w:r>
    </w:p>
    <w:p>
      <w:pPr>
        <w:pStyle w:val="2"/>
        <w:spacing w:before="3"/>
        <w:rPr>
          <w:rFonts w:hint="eastAsia" w:ascii="仿宋" w:hAnsi="仿宋" w:eastAsia="仿宋" w:cs="仿宋"/>
          <w:sz w:val="5"/>
        </w:rPr>
      </w:pPr>
    </w:p>
    <w:tbl>
      <w:tblPr>
        <w:tblStyle w:val="4"/>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9"/>
        <w:gridCol w:w="1255"/>
        <w:gridCol w:w="1512"/>
        <w:gridCol w:w="1260"/>
        <w:gridCol w:w="42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624" w:type="dxa"/>
            <w:gridSpan w:val="2"/>
            <w:vAlign w:val="center"/>
          </w:tcPr>
          <w:p>
            <w:pPr>
              <w:pStyle w:val="8"/>
              <w:keepNext w:val="0"/>
              <w:keepLines w:val="0"/>
              <w:pageBreakBefore w:val="0"/>
              <w:widowControl w:val="0"/>
              <w:kinsoku/>
              <w:wordWrap/>
              <w:overflowPunct/>
              <w:topLinePunct w:val="0"/>
              <w:autoSpaceDE w:val="0"/>
              <w:autoSpaceDN w:val="0"/>
              <w:bidi w:val="0"/>
              <w:adjustRightInd/>
              <w:snapToGrid/>
              <w:spacing w:before="102" w:line="360" w:lineRule="exact"/>
              <w:jc w:val="center"/>
              <w:textAlignment w:val="auto"/>
              <w:rPr>
                <w:rFonts w:hint="eastAsia" w:ascii="仿宋" w:hAnsi="仿宋" w:eastAsia="仿宋" w:cs="仿宋"/>
                <w:b/>
                <w:sz w:val="21"/>
              </w:rPr>
            </w:pPr>
            <w:r>
              <w:rPr>
                <w:rFonts w:hint="eastAsia" w:ascii="仿宋" w:hAnsi="仿宋" w:eastAsia="仿宋" w:cs="仿宋"/>
                <w:b/>
                <w:color w:val="000007"/>
                <w:sz w:val="21"/>
              </w:rPr>
              <w:t>债权申报人名称或姓名</w:t>
            </w:r>
          </w:p>
        </w:tc>
        <w:tc>
          <w:tcPr>
            <w:tcW w:w="6998" w:type="dxa"/>
            <w:gridSpan w:val="3"/>
          </w:tcPr>
          <w:p>
            <w:pPr>
              <w:pStyle w:val="8"/>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0" w:hRule="atLeast"/>
        </w:trPr>
        <w:tc>
          <w:tcPr>
            <w:tcW w:w="1369" w:type="dxa"/>
          </w:tcPr>
          <w:p>
            <w:pPr>
              <w:pStyle w:val="8"/>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仿宋" w:hAnsi="仿宋" w:eastAsia="仿宋" w:cs="仿宋"/>
                <w:b/>
                <w:sz w:val="22"/>
              </w:rPr>
            </w:pPr>
          </w:p>
          <w:p>
            <w:pPr>
              <w:pStyle w:val="8"/>
              <w:keepNext w:val="0"/>
              <w:keepLines w:val="0"/>
              <w:pageBreakBefore w:val="0"/>
              <w:widowControl w:val="0"/>
              <w:kinsoku/>
              <w:wordWrap/>
              <w:overflowPunct/>
              <w:topLinePunct w:val="0"/>
              <w:autoSpaceDE w:val="0"/>
              <w:autoSpaceDN w:val="0"/>
              <w:bidi w:val="0"/>
              <w:adjustRightInd/>
              <w:snapToGrid/>
              <w:spacing w:before="11" w:line="360" w:lineRule="exact"/>
              <w:textAlignment w:val="auto"/>
              <w:rPr>
                <w:rFonts w:hint="eastAsia" w:ascii="仿宋" w:hAnsi="仿宋" w:eastAsia="仿宋" w:cs="仿宋"/>
                <w:b/>
                <w:sz w:val="18"/>
              </w:rPr>
            </w:pPr>
          </w:p>
          <w:p>
            <w:pPr>
              <w:pStyle w:val="8"/>
              <w:keepNext w:val="0"/>
              <w:keepLines w:val="0"/>
              <w:pageBreakBefore w:val="0"/>
              <w:widowControl w:val="0"/>
              <w:kinsoku/>
              <w:wordWrap/>
              <w:overflowPunct/>
              <w:topLinePunct w:val="0"/>
              <w:autoSpaceDE w:val="0"/>
              <w:autoSpaceDN w:val="0"/>
              <w:bidi w:val="0"/>
              <w:adjustRightInd/>
              <w:snapToGrid/>
              <w:spacing w:line="360" w:lineRule="exact"/>
              <w:ind w:left="157" w:right="145"/>
              <w:jc w:val="both"/>
              <w:textAlignment w:val="auto"/>
              <w:rPr>
                <w:rFonts w:hint="eastAsia" w:ascii="仿宋" w:hAnsi="仿宋" w:eastAsia="仿宋" w:cs="仿宋"/>
                <w:b/>
                <w:sz w:val="21"/>
              </w:rPr>
            </w:pPr>
            <w:r>
              <w:rPr>
                <w:rFonts w:hint="eastAsia" w:ascii="仿宋" w:hAnsi="仿宋" w:eastAsia="仿宋" w:cs="仿宋"/>
                <w:b/>
                <w:color w:val="000007"/>
                <w:sz w:val="21"/>
              </w:rPr>
              <w:t>破产</w:t>
            </w:r>
            <w:r>
              <w:rPr>
                <w:rFonts w:hint="eastAsia" w:ascii="仿宋" w:hAnsi="仿宋" w:eastAsia="仿宋" w:cs="仿宋"/>
                <w:b/>
                <w:color w:val="000007"/>
                <w:sz w:val="21"/>
                <w:lang w:val="en-US" w:eastAsia="zh-CN"/>
              </w:rPr>
              <w:t>清算</w:t>
            </w:r>
            <w:r>
              <w:rPr>
                <w:rFonts w:hint="eastAsia" w:ascii="仿宋" w:hAnsi="仿宋" w:eastAsia="仿宋" w:cs="仿宋"/>
                <w:b/>
                <w:color w:val="000007"/>
                <w:sz w:val="21"/>
              </w:rPr>
              <w:t>案对债权申报人填写送达地址及银行账户确认书的告知事项</w:t>
            </w:r>
          </w:p>
        </w:tc>
        <w:tc>
          <w:tcPr>
            <w:tcW w:w="8253" w:type="dxa"/>
            <w:gridSpan w:val="4"/>
            <w:vAlign w:val="center"/>
          </w:tcPr>
          <w:p>
            <w:pPr>
              <w:pStyle w:val="8"/>
              <w:keepNext w:val="0"/>
              <w:keepLines w:val="0"/>
              <w:pageBreakBefore w:val="0"/>
              <w:widowControl w:val="0"/>
              <w:numPr>
                <w:ilvl w:val="0"/>
                <w:numId w:val="1"/>
              </w:numPr>
              <w:tabs>
                <w:tab w:val="left" w:pos="420"/>
              </w:tabs>
              <w:kinsoku/>
              <w:wordWrap/>
              <w:overflowPunct/>
              <w:topLinePunct w:val="0"/>
              <w:autoSpaceDE w:val="0"/>
              <w:autoSpaceDN w:val="0"/>
              <w:bidi w:val="0"/>
              <w:adjustRightInd/>
              <w:snapToGrid/>
              <w:spacing w:before="20" w:after="0" w:line="320" w:lineRule="exact"/>
              <w:ind w:left="106" w:right="68" w:firstLine="0"/>
              <w:jc w:val="both"/>
              <w:textAlignment w:val="auto"/>
              <w:rPr>
                <w:rFonts w:hint="eastAsia" w:ascii="仿宋" w:hAnsi="仿宋" w:eastAsia="仿宋" w:cs="仿宋"/>
                <w:b/>
                <w:sz w:val="21"/>
                <w:u w:val="none" w:color="auto"/>
              </w:rPr>
            </w:pPr>
            <w:r>
              <w:rPr>
                <w:rFonts w:hint="eastAsia" w:ascii="仿宋" w:hAnsi="仿宋" w:eastAsia="仿宋" w:cs="仿宋"/>
                <w:b/>
                <w:color w:val="000007"/>
                <w:spacing w:val="-3"/>
                <w:sz w:val="21"/>
              </w:rPr>
              <w:t>为便于申报人</w:t>
            </w:r>
            <w:r>
              <w:rPr>
                <w:rFonts w:hint="eastAsia" w:ascii="仿宋" w:hAnsi="仿宋" w:eastAsia="仿宋" w:cs="仿宋"/>
                <w:b/>
                <w:color w:val="000007"/>
                <w:spacing w:val="-3"/>
                <w:sz w:val="21"/>
                <w:u w:val="none" w:color="auto"/>
              </w:rPr>
              <w:t>及时收到管理人各项文书，保证破产程序顺利进行，申报人应当如实提</w:t>
            </w:r>
            <w:r>
              <w:rPr>
                <w:rFonts w:hint="eastAsia" w:ascii="仿宋" w:hAnsi="仿宋" w:eastAsia="仿宋" w:cs="仿宋"/>
                <w:b/>
                <w:color w:val="000007"/>
                <w:w w:val="99"/>
                <w:sz w:val="21"/>
                <w:u w:val="none" w:color="auto"/>
              </w:rPr>
              <w:t>供</w:t>
            </w:r>
            <w:r>
              <w:rPr>
                <w:rFonts w:hint="eastAsia" w:ascii="仿宋" w:hAnsi="仿宋" w:eastAsia="仿宋" w:cs="仿宋"/>
                <w:b/>
                <w:color w:val="000007"/>
                <w:spacing w:val="1"/>
                <w:w w:val="99"/>
                <w:sz w:val="21"/>
                <w:u w:val="none" w:color="auto"/>
              </w:rPr>
              <w:t>确切的送达地址</w:t>
            </w:r>
            <w:r>
              <w:rPr>
                <w:rFonts w:hint="eastAsia" w:ascii="仿宋" w:hAnsi="仿宋" w:eastAsia="仿宋" w:cs="仿宋"/>
                <w:b/>
                <w:color w:val="000007"/>
                <w:spacing w:val="2"/>
                <w:w w:val="99"/>
                <w:sz w:val="21"/>
                <w:u w:val="none" w:color="auto"/>
              </w:rPr>
              <w:t>（</w:t>
            </w:r>
            <w:r>
              <w:rPr>
                <w:rFonts w:hint="eastAsia" w:ascii="仿宋" w:hAnsi="仿宋" w:eastAsia="仿宋" w:cs="仿宋"/>
                <w:b/>
                <w:color w:val="000007"/>
                <w:spacing w:val="-1"/>
                <w:w w:val="99"/>
                <w:sz w:val="21"/>
                <w:u w:val="none" w:color="auto"/>
              </w:rPr>
              <w:t>送达地址包括邮寄地址、手机号码、电子邮箱地址</w:t>
            </w:r>
            <w:r>
              <w:rPr>
                <w:rFonts w:hint="eastAsia" w:ascii="仿宋" w:hAnsi="仿宋" w:eastAsia="仿宋" w:cs="仿宋"/>
                <w:b/>
                <w:color w:val="000007"/>
                <w:spacing w:val="-101"/>
                <w:w w:val="99"/>
                <w:sz w:val="21"/>
                <w:u w:val="none" w:color="auto"/>
              </w:rPr>
              <w:t>）</w:t>
            </w:r>
            <w:r>
              <w:rPr>
                <w:rFonts w:hint="eastAsia" w:ascii="仿宋" w:hAnsi="仿宋" w:eastAsia="仿宋" w:cs="仿宋"/>
                <w:b/>
                <w:color w:val="000007"/>
                <w:w w:val="99"/>
                <w:sz w:val="21"/>
                <w:u w:val="none" w:color="auto"/>
              </w:rPr>
              <w:t>；</w:t>
            </w:r>
          </w:p>
          <w:p>
            <w:pPr>
              <w:pStyle w:val="8"/>
              <w:keepNext w:val="0"/>
              <w:keepLines w:val="0"/>
              <w:pageBreakBefore w:val="0"/>
              <w:widowControl w:val="0"/>
              <w:numPr>
                <w:ilvl w:val="0"/>
                <w:numId w:val="1"/>
              </w:numPr>
              <w:tabs>
                <w:tab w:val="left" w:pos="424"/>
              </w:tabs>
              <w:kinsoku/>
              <w:wordWrap/>
              <w:overflowPunct/>
              <w:topLinePunct w:val="0"/>
              <w:autoSpaceDE w:val="0"/>
              <w:autoSpaceDN w:val="0"/>
              <w:bidi w:val="0"/>
              <w:adjustRightInd/>
              <w:snapToGrid/>
              <w:spacing w:before="0" w:after="0" w:line="320" w:lineRule="exact"/>
              <w:ind w:left="423" w:right="0" w:hanging="318"/>
              <w:jc w:val="both"/>
              <w:textAlignment w:val="auto"/>
              <w:rPr>
                <w:rFonts w:hint="eastAsia" w:ascii="仿宋" w:hAnsi="仿宋" w:eastAsia="仿宋" w:cs="仿宋"/>
                <w:b/>
                <w:sz w:val="21"/>
                <w:u w:val="none" w:color="auto"/>
              </w:rPr>
            </w:pPr>
            <w:r>
              <w:rPr>
                <w:rFonts w:hint="eastAsia" w:ascii="仿宋" w:hAnsi="仿宋" w:eastAsia="仿宋" w:cs="仿宋"/>
                <w:b/>
                <w:color w:val="000007"/>
                <w:sz w:val="21"/>
                <w:u w:val="none" w:color="auto"/>
              </w:rPr>
              <w:t>确认的送达地址适用于整个破产程序；</w:t>
            </w:r>
          </w:p>
          <w:p>
            <w:pPr>
              <w:pStyle w:val="8"/>
              <w:keepNext w:val="0"/>
              <w:keepLines w:val="0"/>
              <w:pageBreakBefore w:val="0"/>
              <w:widowControl w:val="0"/>
              <w:numPr>
                <w:ilvl w:val="0"/>
                <w:numId w:val="1"/>
              </w:numPr>
              <w:tabs>
                <w:tab w:val="left" w:pos="425"/>
              </w:tabs>
              <w:kinsoku/>
              <w:wordWrap/>
              <w:overflowPunct/>
              <w:topLinePunct w:val="0"/>
              <w:autoSpaceDE w:val="0"/>
              <w:autoSpaceDN w:val="0"/>
              <w:bidi w:val="0"/>
              <w:adjustRightInd/>
              <w:snapToGrid/>
              <w:spacing w:before="19" w:after="0" w:line="320" w:lineRule="exact"/>
              <w:ind w:left="106" w:right="-44" w:firstLine="0"/>
              <w:jc w:val="both"/>
              <w:textAlignment w:val="auto"/>
              <w:rPr>
                <w:rFonts w:hint="eastAsia" w:ascii="仿宋" w:hAnsi="仿宋" w:eastAsia="仿宋" w:cs="仿宋"/>
                <w:b/>
                <w:sz w:val="21"/>
                <w:u w:val="none" w:color="auto"/>
              </w:rPr>
            </w:pPr>
            <w:r>
              <w:rPr>
                <w:rFonts w:hint="eastAsia" w:ascii="仿宋" w:hAnsi="仿宋" w:eastAsia="仿宋" w:cs="仿宋"/>
                <w:b/>
                <w:color w:val="000007"/>
                <w:spacing w:val="-11"/>
                <w:sz w:val="21"/>
                <w:u w:val="none" w:color="auto"/>
              </w:rPr>
              <w:t>申报人同意，管理人可以通过短信、微信、电子邮件等方式告知债权人会议的开会方式</w:t>
            </w:r>
            <w:r>
              <w:rPr>
                <w:rFonts w:hint="eastAsia" w:ascii="仿宋" w:hAnsi="仿宋" w:eastAsia="仿宋" w:cs="仿宋"/>
                <w:b/>
                <w:color w:val="000007"/>
                <w:spacing w:val="-21"/>
                <w:sz w:val="21"/>
                <w:u w:val="none" w:color="auto"/>
              </w:rPr>
              <w:t>、通知与破产事务相关的其他事项、送达相关文件等，相关通知及文件到达受送达人特定系统即视为送达，申报人应注意提供准确的手机号码、微信及电子邮箱地址；</w:t>
            </w:r>
          </w:p>
          <w:p>
            <w:pPr>
              <w:pStyle w:val="8"/>
              <w:keepNext w:val="0"/>
              <w:keepLines w:val="0"/>
              <w:pageBreakBefore w:val="0"/>
              <w:widowControl w:val="0"/>
              <w:numPr>
                <w:ilvl w:val="0"/>
                <w:numId w:val="1"/>
              </w:numPr>
              <w:tabs>
                <w:tab w:val="left" w:pos="432"/>
              </w:tabs>
              <w:kinsoku/>
              <w:wordWrap/>
              <w:overflowPunct/>
              <w:topLinePunct w:val="0"/>
              <w:autoSpaceDE w:val="0"/>
              <w:autoSpaceDN w:val="0"/>
              <w:bidi w:val="0"/>
              <w:adjustRightInd/>
              <w:snapToGrid/>
              <w:spacing w:before="0" w:after="0" w:line="320" w:lineRule="exact"/>
              <w:ind w:left="431" w:right="0" w:hanging="326"/>
              <w:jc w:val="both"/>
              <w:textAlignment w:val="auto"/>
              <w:rPr>
                <w:rFonts w:hint="eastAsia" w:ascii="仿宋" w:hAnsi="仿宋" w:eastAsia="仿宋" w:cs="仿宋"/>
                <w:b/>
                <w:sz w:val="21"/>
                <w:u w:val="none" w:color="auto"/>
              </w:rPr>
            </w:pPr>
            <w:r>
              <w:rPr>
                <w:rFonts w:hint="eastAsia" w:ascii="仿宋" w:hAnsi="仿宋" w:eastAsia="仿宋" w:cs="仿宋"/>
                <w:b/>
                <w:color w:val="000007"/>
                <w:sz w:val="21"/>
                <w:u w:val="none" w:color="auto"/>
              </w:rPr>
              <w:t>破产期间如果送达地址有变更，应当书面告知管理人变更后的送达地址；</w:t>
            </w:r>
          </w:p>
          <w:p>
            <w:pPr>
              <w:pStyle w:val="8"/>
              <w:keepNext w:val="0"/>
              <w:keepLines w:val="0"/>
              <w:pageBreakBefore w:val="0"/>
              <w:widowControl w:val="0"/>
              <w:numPr>
                <w:ilvl w:val="0"/>
                <w:numId w:val="1"/>
              </w:numPr>
              <w:tabs>
                <w:tab w:val="left" w:pos="420"/>
              </w:tabs>
              <w:kinsoku/>
              <w:wordWrap/>
              <w:overflowPunct/>
              <w:topLinePunct w:val="0"/>
              <w:autoSpaceDE w:val="0"/>
              <w:autoSpaceDN w:val="0"/>
              <w:bidi w:val="0"/>
              <w:adjustRightInd/>
              <w:snapToGrid/>
              <w:spacing w:before="18" w:after="0" w:line="320" w:lineRule="exact"/>
              <w:ind w:left="106" w:right="66" w:firstLine="0"/>
              <w:jc w:val="both"/>
              <w:textAlignment w:val="auto"/>
              <w:rPr>
                <w:rFonts w:hint="eastAsia" w:ascii="仿宋" w:hAnsi="仿宋" w:eastAsia="仿宋" w:cs="仿宋"/>
                <w:b/>
                <w:sz w:val="21"/>
                <w:u w:val="none" w:color="auto"/>
              </w:rPr>
            </w:pPr>
            <w:r>
              <w:rPr>
                <w:rFonts w:hint="eastAsia" w:ascii="仿宋" w:hAnsi="仿宋" w:eastAsia="仿宋" w:cs="仿宋"/>
                <w:b/>
                <w:color w:val="000007"/>
                <w:spacing w:val="-3"/>
                <w:sz w:val="21"/>
                <w:u w:val="none" w:color="auto"/>
              </w:rPr>
              <w:t xml:space="preserve">如果提供的送达地址不准确，或不及时告知变更后的送达地址，使与破产事务相关的 </w:t>
            </w:r>
            <w:r>
              <w:rPr>
                <w:rFonts w:hint="eastAsia" w:ascii="仿宋" w:hAnsi="仿宋" w:eastAsia="仿宋" w:cs="仿宋"/>
                <w:b/>
                <w:color w:val="000007"/>
                <w:spacing w:val="-20"/>
                <w:sz w:val="21"/>
                <w:u w:val="none" w:color="auto"/>
              </w:rPr>
              <w:t>通知、文书无法送达或未及时送达的，自文书、材料等邮寄退回或管理人按照申报人提供的手</w:t>
            </w:r>
            <w:r>
              <w:rPr>
                <w:rFonts w:hint="eastAsia" w:ascii="仿宋" w:hAnsi="仿宋" w:eastAsia="仿宋" w:cs="仿宋"/>
                <w:b/>
                <w:color w:val="000007"/>
                <w:sz w:val="21"/>
                <w:u w:val="none" w:color="auto"/>
              </w:rPr>
              <w:t>机号码、电子邮箱进行发送但发送失败之日视为送达之日，申报人应承担由此引起的一切法律后果。</w:t>
            </w:r>
          </w:p>
          <w:p>
            <w:pPr>
              <w:pStyle w:val="8"/>
              <w:keepNext w:val="0"/>
              <w:keepLines w:val="0"/>
              <w:pageBreakBefore w:val="0"/>
              <w:widowControl w:val="0"/>
              <w:numPr>
                <w:ilvl w:val="0"/>
                <w:numId w:val="1"/>
              </w:numPr>
              <w:tabs>
                <w:tab w:val="left" w:pos="421"/>
              </w:tabs>
              <w:kinsoku/>
              <w:wordWrap/>
              <w:overflowPunct/>
              <w:topLinePunct w:val="0"/>
              <w:autoSpaceDE w:val="0"/>
              <w:autoSpaceDN w:val="0"/>
              <w:bidi w:val="0"/>
              <w:adjustRightInd/>
              <w:snapToGrid/>
              <w:spacing w:before="0" w:after="0" w:line="320" w:lineRule="exact"/>
              <w:ind w:left="420" w:right="0" w:hanging="315"/>
              <w:jc w:val="both"/>
              <w:textAlignment w:val="auto"/>
              <w:rPr>
                <w:rFonts w:hint="eastAsia" w:ascii="仿宋" w:hAnsi="仿宋" w:eastAsia="仿宋" w:cs="仿宋"/>
                <w:b/>
                <w:sz w:val="21"/>
              </w:rPr>
            </w:pPr>
            <w:r>
              <w:rPr>
                <w:rFonts w:hint="eastAsia" w:ascii="仿宋" w:hAnsi="仿宋" w:eastAsia="仿宋" w:cs="仿宋"/>
                <w:b/>
                <w:color w:val="000007"/>
                <w:sz w:val="21"/>
              </w:rPr>
              <w:t>为便于申报人受领债权款，申报人应当如实向管理人提供准确的银行账户。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369" w:type="dxa"/>
            <w:vMerge w:val="restart"/>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ind w:right="147"/>
              <w:jc w:val="center"/>
              <w:textAlignment w:val="auto"/>
              <w:rPr>
                <w:rFonts w:hint="eastAsia" w:ascii="仿宋" w:hAnsi="仿宋" w:eastAsia="仿宋" w:cs="仿宋"/>
                <w:b/>
                <w:sz w:val="21"/>
              </w:rPr>
            </w:pPr>
            <w:r>
              <w:rPr>
                <w:rFonts w:hint="eastAsia" w:ascii="仿宋" w:hAnsi="仿宋" w:eastAsia="仿宋" w:cs="仿宋"/>
                <w:b/>
                <w:color w:val="000007"/>
                <w:sz w:val="21"/>
              </w:rPr>
              <w:t>债权申报人送达地址</w:t>
            </w:r>
          </w:p>
        </w:tc>
        <w:tc>
          <w:tcPr>
            <w:tcW w:w="8253" w:type="dxa"/>
            <w:gridSpan w:val="4"/>
            <w:vAlign w:val="center"/>
          </w:tcPr>
          <w:p>
            <w:pPr>
              <w:pStyle w:val="8"/>
              <w:keepNext w:val="0"/>
              <w:keepLines w:val="0"/>
              <w:pageBreakBefore w:val="0"/>
              <w:widowControl w:val="0"/>
              <w:kinsoku/>
              <w:wordWrap/>
              <w:overflowPunct/>
              <w:topLinePunct w:val="0"/>
              <w:autoSpaceDE w:val="0"/>
              <w:autoSpaceDN w:val="0"/>
              <w:bidi w:val="0"/>
              <w:adjustRightInd/>
              <w:snapToGrid/>
              <w:spacing w:before="66" w:line="360" w:lineRule="exact"/>
              <w:ind w:right="2727" w:firstLine="2108" w:firstLineChars="1000"/>
              <w:jc w:val="both"/>
              <w:textAlignment w:val="auto"/>
              <w:rPr>
                <w:rFonts w:hint="eastAsia" w:ascii="仿宋" w:hAnsi="仿宋" w:eastAsia="仿宋" w:cs="仿宋"/>
                <w:b/>
                <w:sz w:val="21"/>
              </w:rPr>
            </w:pPr>
            <w:r>
              <w:rPr>
                <w:rFonts w:hint="eastAsia" w:ascii="仿宋" w:hAnsi="仿宋" w:eastAsia="仿宋" w:cs="仿宋"/>
                <w:b/>
                <w:color w:val="000007"/>
                <w:sz w:val="21"/>
              </w:rPr>
              <w:t>申报人确认下列地址为送达地址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136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
                <w:szCs w:val="2"/>
              </w:rPr>
            </w:pPr>
          </w:p>
        </w:tc>
        <w:tc>
          <w:tcPr>
            <w:tcW w:w="1255"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110" w:line="360" w:lineRule="exact"/>
              <w:jc w:val="center"/>
              <w:textAlignment w:val="auto"/>
              <w:rPr>
                <w:rFonts w:hint="eastAsia" w:ascii="仿宋" w:hAnsi="仿宋" w:eastAsia="仿宋" w:cs="仿宋"/>
                <w:b/>
                <w:sz w:val="22"/>
              </w:rPr>
            </w:pPr>
            <w:r>
              <w:rPr>
                <w:rFonts w:hint="eastAsia" w:ascii="仿宋" w:hAnsi="仿宋" w:eastAsia="仿宋" w:cs="仿宋"/>
                <w:b/>
                <w:color w:val="000007"/>
                <w:sz w:val="22"/>
              </w:rPr>
              <w:t>收件人</w:t>
            </w:r>
          </w:p>
        </w:tc>
        <w:tc>
          <w:tcPr>
            <w:tcW w:w="1512"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c>
          <w:tcPr>
            <w:tcW w:w="1260"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110" w:line="360" w:lineRule="exact"/>
              <w:ind w:left="168" w:right="158"/>
              <w:jc w:val="center"/>
              <w:textAlignment w:val="auto"/>
              <w:rPr>
                <w:rFonts w:hint="eastAsia" w:ascii="仿宋" w:hAnsi="仿宋" w:eastAsia="仿宋" w:cs="仿宋"/>
                <w:b/>
                <w:sz w:val="22"/>
              </w:rPr>
            </w:pPr>
            <w:r>
              <w:rPr>
                <w:rFonts w:hint="eastAsia" w:ascii="仿宋" w:hAnsi="仿宋" w:eastAsia="仿宋" w:cs="仿宋"/>
                <w:b/>
                <w:color w:val="000007"/>
                <w:sz w:val="22"/>
              </w:rPr>
              <w:t>地址</w:t>
            </w:r>
          </w:p>
        </w:tc>
        <w:tc>
          <w:tcPr>
            <w:tcW w:w="4226"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36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
                <w:szCs w:val="2"/>
              </w:rPr>
            </w:pPr>
          </w:p>
        </w:tc>
        <w:tc>
          <w:tcPr>
            <w:tcW w:w="1255"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109" w:line="360" w:lineRule="exact"/>
              <w:jc w:val="center"/>
              <w:textAlignment w:val="auto"/>
              <w:rPr>
                <w:rFonts w:hint="eastAsia" w:ascii="仿宋" w:hAnsi="仿宋" w:eastAsia="仿宋" w:cs="仿宋"/>
                <w:b/>
                <w:sz w:val="22"/>
              </w:rPr>
            </w:pPr>
            <w:r>
              <w:rPr>
                <w:rFonts w:hint="eastAsia" w:ascii="仿宋" w:hAnsi="仿宋" w:eastAsia="仿宋" w:cs="仿宋"/>
                <w:b/>
                <w:color w:val="000007"/>
                <w:sz w:val="22"/>
              </w:rPr>
              <w:t>邮编</w:t>
            </w:r>
          </w:p>
        </w:tc>
        <w:tc>
          <w:tcPr>
            <w:tcW w:w="1512"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c>
          <w:tcPr>
            <w:tcW w:w="1260"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109" w:line="360" w:lineRule="exact"/>
              <w:ind w:left="168" w:right="158"/>
              <w:jc w:val="center"/>
              <w:textAlignment w:val="auto"/>
              <w:rPr>
                <w:rFonts w:hint="eastAsia" w:ascii="仿宋" w:hAnsi="仿宋" w:eastAsia="仿宋" w:cs="仿宋"/>
                <w:b/>
                <w:sz w:val="22"/>
              </w:rPr>
            </w:pPr>
            <w:r>
              <w:rPr>
                <w:rFonts w:hint="eastAsia" w:ascii="仿宋" w:hAnsi="仿宋" w:eastAsia="仿宋" w:cs="仿宋"/>
                <w:b/>
                <w:color w:val="000007"/>
                <w:sz w:val="22"/>
              </w:rPr>
              <w:t>电话</w:t>
            </w:r>
          </w:p>
        </w:tc>
        <w:tc>
          <w:tcPr>
            <w:tcW w:w="4226"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36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
                <w:szCs w:val="2"/>
              </w:rPr>
            </w:pPr>
          </w:p>
        </w:tc>
        <w:tc>
          <w:tcPr>
            <w:tcW w:w="1255"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109" w:line="360" w:lineRule="exact"/>
              <w:jc w:val="center"/>
              <w:textAlignment w:val="auto"/>
              <w:rPr>
                <w:rFonts w:hint="eastAsia" w:ascii="仿宋" w:hAnsi="仿宋" w:eastAsia="仿宋" w:cs="仿宋"/>
                <w:b/>
                <w:sz w:val="22"/>
              </w:rPr>
            </w:pPr>
            <w:r>
              <w:rPr>
                <w:rFonts w:hint="eastAsia" w:ascii="仿宋" w:hAnsi="仿宋" w:eastAsia="仿宋" w:cs="仿宋"/>
                <w:b/>
                <w:color w:val="000007"/>
                <w:sz w:val="22"/>
              </w:rPr>
              <w:t>微信号</w:t>
            </w:r>
          </w:p>
        </w:tc>
        <w:tc>
          <w:tcPr>
            <w:tcW w:w="1512"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c>
          <w:tcPr>
            <w:tcW w:w="1260"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109" w:line="360" w:lineRule="exact"/>
              <w:ind w:left="172" w:right="158"/>
              <w:jc w:val="center"/>
              <w:textAlignment w:val="auto"/>
              <w:rPr>
                <w:rFonts w:hint="eastAsia" w:ascii="仿宋" w:hAnsi="仿宋" w:eastAsia="仿宋" w:cs="仿宋"/>
                <w:b/>
                <w:sz w:val="22"/>
              </w:rPr>
            </w:pPr>
            <w:r>
              <w:rPr>
                <w:rFonts w:hint="eastAsia" w:ascii="仿宋" w:hAnsi="仿宋" w:eastAsia="仿宋" w:cs="仿宋"/>
                <w:b/>
                <w:color w:val="000007"/>
                <w:sz w:val="22"/>
              </w:rPr>
              <w:t>电子邮箱</w:t>
            </w:r>
          </w:p>
        </w:tc>
        <w:tc>
          <w:tcPr>
            <w:tcW w:w="4226"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69" w:type="dxa"/>
            <w:vMerge w:val="restart"/>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ind w:right="147"/>
              <w:jc w:val="center"/>
              <w:textAlignment w:val="auto"/>
              <w:rPr>
                <w:rFonts w:hint="eastAsia" w:ascii="仿宋" w:hAnsi="仿宋" w:eastAsia="仿宋" w:cs="仿宋"/>
                <w:b/>
                <w:sz w:val="21"/>
              </w:rPr>
            </w:pPr>
            <w:r>
              <w:rPr>
                <w:rFonts w:hint="eastAsia" w:ascii="仿宋" w:hAnsi="仿宋" w:eastAsia="仿宋" w:cs="仿宋"/>
                <w:b/>
                <w:color w:val="000007"/>
                <w:sz w:val="21"/>
              </w:rPr>
              <w:t>债权申报人银行账户</w:t>
            </w:r>
          </w:p>
        </w:tc>
        <w:tc>
          <w:tcPr>
            <w:tcW w:w="8253" w:type="dxa"/>
            <w:gridSpan w:val="4"/>
            <w:vAlign w:val="center"/>
          </w:tcPr>
          <w:p>
            <w:pPr>
              <w:pStyle w:val="8"/>
              <w:keepNext w:val="0"/>
              <w:keepLines w:val="0"/>
              <w:pageBreakBefore w:val="0"/>
              <w:widowControl w:val="0"/>
              <w:kinsoku/>
              <w:wordWrap/>
              <w:overflowPunct/>
              <w:topLinePunct w:val="0"/>
              <w:autoSpaceDE w:val="0"/>
              <w:autoSpaceDN w:val="0"/>
              <w:bidi w:val="0"/>
              <w:adjustRightInd/>
              <w:snapToGrid/>
              <w:spacing w:before="62" w:line="360" w:lineRule="exact"/>
              <w:ind w:right="2727" w:firstLine="2108" w:firstLineChars="1000"/>
              <w:jc w:val="both"/>
              <w:textAlignment w:val="auto"/>
              <w:rPr>
                <w:rFonts w:hint="eastAsia" w:ascii="仿宋" w:hAnsi="仿宋" w:eastAsia="仿宋" w:cs="仿宋"/>
                <w:b/>
                <w:sz w:val="21"/>
              </w:rPr>
            </w:pPr>
            <w:r>
              <w:rPr>
                <w:rFonts w:hint="eastAsia" w:ascii="仿宋" w:hAnsi="仿宋" w:eastAsia="仿宋" w:cs="仿宋"/>
                <w:b/>
                <w:color w:val="000007"/>
                <w:sz w:val="21"/>
              </w:rPr>
              <w:t>申报人确认下列账户为准确账户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6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
                <w:szCs w:val="2"/>
              </w:rPr>
            </w:pPr>
          </w:p>
        </w:tc>
        <w:tc>
          <w:tcPr>
            <w:tcW w:w="1255"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82" w:line="360" w:lineRule="exact"/>
              <w:ind w:left="406"/>
              <w:jc w:val="both"/>
              <w:textAlignment w:val="auto"/>
              <w:rPr>
                <w:rFonts w:hint="eastAsia" w:ascii="仿宋" w:hAnsi="仿宋" w:eastAsia="仿宋" w:cs="仿宋"/>
                <w:b/>
                <w:sz w:val="22"/>
              </w:rPr>
            </w:pPr>
            <w:r>
              <w:rPr>
                <w:rFonts w:hint="eastAsia" w:ascii="仿宋" w:hAnsi="仿宋" w:eastAsia="仿宋" w:cs="仿宋"/>
                <w:b/>
                <w:color w:val="000007"/>
                <w:sz w:val="22"/>
              </w:rPr>
              <w:t>户名</w:t>
            </w:r>
          </w:p>
        </w:tc>
        <w:tc>
          <w:tcPr>
            <w:tcW w:w="6998" w:type="dxa"/>
            <w:gridSpan w:val="3"/>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6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
                <w:szCs w:val="2"/>
              </w:rPr>
            </w:pPr>
          </w:p>
        </w:tc>
        <w:tc>
          <w:tcPr>
            <w:tcW w:w="1255"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81" w:line="360" w:lineRule="exact"/>
              <w:ind w:left="108"/>
              <w:jc w:val="center"/>
              <w:textAlignment w:val="auto"/>
              <w:rPr>
                <w:rFonts w:hint="eastAsia" w:ascii="仿宋" w:hAnsi="仿宋" w:eastAsia="仿宋" w:cs="仿宋"/>
                <w:b/>
                <w:sz w:val="22"/>
              </w:rPr>
            </w:pPr>
            <w:r>
              <w:rPr>
                <w:rFonts w:hint="eastAsia" w:ascii="仿宋" w:hAnsi="仿宋" w:eastAsia="仿宋" w:cs="仿宋"/>
                <w:b/>
                <w:color w:val="000007"/>
                <w:sz w:val="22"/>
              </w:rPr>
              <w:t>账（卡）号</w:t>
            </w:r>
          </w:p>
        </w:tc>
        <w:tc>
          <w:tcPr>
            <w:tcW w:w="6998" w:type="dxa"/>
            <w:gridSpan w:val="3"/>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69"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
                <w:szCs w:val="2"/>
              </w:rPr>
            </w:pPr>
          </w:p>
        </w:tc>
        <w:tc>
          <w:tcPr>
            <w:tcW w:w="1255"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82" w:line="360" w:lineRule="exact"/>
              <w:ind w:left="296"/>
              <w:jc w:val="both"/>
              <w:textAlignment w:val="auto"/>
              <w:rPr>
                <w:rFonts w:hint="eastAsia" w:ascii="仿宋" w:hAnsi="仿宋" w:eastAsia="仿宋" w:cs="仿宋"/>
                <w:b/>
                <w:sz w:val="22"/>
              </w:rPr>
            </w:pPr>
            <w:r>
              <w:rPr>
                <w:rFonts w:hint="eastAsia" w:ascii="仿宋" w:hAnsi="仿宋" w:eastAsia="仿宋" w:cs="仿宋"/>
                <w:b/>
                <w:color w:val="000007"/>
                <w:sz w:val="22"/>
              </w:rPr>
              <w:t>开户行</w:t>
            </w:r>
          </w:p>
        </w:tc>
        <w:tc>
          <w:tcPr>
            <w:tcW w:w="6998" w:type="dxa"/>
            <w:gridSpan w:val="3"/>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4" w:hRule="atLeast"/>
        </w:trPr>
        <w:tc>
          <w:tcPr>
            <w:tcW w:w="1369" w:type="dxa"/>
            <w:vAlign w:val="center"/>
          </w:tcPr>
          <w:p>
            <w:pPr>
              <w:pStyle w:val="8"/>
              <w:keepNext w:val="0"/>
              <w:keepLines w:val="0"/>
              <w:pageBreakBefore w:val="0"/>
              <w:widowControl w:val="0"/>
              <w:kinsoku/>
              <w:wordWrap/>
              <w:overflowPunct/>
              <w:topLinePunct w:val="0"/>
              <w:autoSpaceDE w:val="0"/>
              <w:autoSpaceDN w:val="0"/>
              <w:bidi w:val="0"/>
              <w:adjustRightInd/>
              <w:snapToGrid/>
              <w:spacing w:line="360" w:lineRule="exact"/>
              <w:ind w:right="147"/>
              <w:jc w:val="center"/>
              <w:textAlignment w:val="auto"/>
              <w:rPr>
                <w:rFonts w:hint="eastAsia" w:ascii="仿宋" w:hAnsi="仿宋" w:eastAsia="仿宋" w:cs="仿宋"/>
                <w:b/>
                <w:sz w:val="21"/>
              </w:rPr>
            </w:pPr>
            <w:r>
              <w:rPr>
                <w:rFonts w:hint="eastAsia" w:ascii="仿宋" w:hAnsi="仿宋" w:eastAsia="仿宋" w:cs="仿宋"/>
                <w:b/>
                <w:color w:val="000007"/>
                <w:sz w:val="21"/>
              </w:rPr>
              <w:t>债权申报人对送达地址的确认</w:t>
            </w:r>
          </w:p>
        </w:tc>
        <w:tc>
          <w:tcPr>
            <w:tcW w:w="8253" w:type="dxa"/>
            <w:gridSpan w:val="4"/>
          </w:tcPr>
          <w:p>
            <w:pPr>
              <w:pStyle w:val="8"/>
              <w:keepNext w:val="0"/>
              <w:keepLines w:val="0"/>
              <w:pageBreakBefore w:val="0"/>
              <w:widowControl w:val="0"/>
              <w:kinsoku/>
              <w:wordWrap/>
              <w:overflowPunct/>
              <w:topLinePunct w:val="0"/>
              <w:autoSpaceDE w:val="0"/>
              <w:autoSpaceDN w:val="0"/>
              <w:bidi w:val="0"/>
              <w:adjustRightInd/>
              <w:snapToGrid/>
              <w:spacing w:line="320" w:lineRule="exact"/>
              <w:ind w:left="106" w:right="68" w:firstLine="412"/>
              <w:jc w:val="both"/>
              <w:textAlignment w:val="auto"/>
              <w:rPr>
                <w:rFonts w:hint="eastAsia" w:ascii="仿宋" w:hAnsi="仿宋" w:eastAsia="仿宋" w:cs="仿宋"/>
                <w:b/>
                <w:sz w:val="14"/>
              </w:rPr>
            </w:pPr>
            <w:r>
              <w:rPr>
                <w:rFonts w:hint="eastAsia" w:ascii="仿宋" w:hAnsi="仿宋" w:eastAsia="仿宋" w:cs="仿宋"/>
                <w:b/>
                <w:color w:val="000007"/>
                <w:sz w:val="21"/>
              </w:rPr>
              <w:t>我已经阅读（听明白）并同意管理人对债权申报人填写送达地址及银行账户确认书的告知事项，并保证上述送达地址和银行账户是准确、有效的，如有不实或错误自行承担一切法律后果。</w:t>
            </w:r>
          </w:p>
          <w:p>
            <w:pPr>
              <w:pStyle w:val="8"/>
              <w:keepNext w:val="0"/>
              <w:keepLines w:val="0"/>
              <w:pageBreakBefore w:val="0"/>
              <w:widowControl w:val="0"/>
              <w:kinsoku/>
              <w:wordWrap/>
              <w:overflowPunct/>
              <w:topLinePunct w:val="0"/>
              <w:autoSpaceDE w:val="0"/>
              <w:autoSpaceDN w:val="0"/>
              <w:bidi w:val="0"/>
              <w:adjustRightInd/>
              <w:snapToGrid/>
              <w:spacing w:line="320" w:lineRule="exact"/>
              <w:ind w:left="2334" w:right="2727"/>
              <w:jc w:val="center"/>
              <w:textAlignment w:val="auto"/>
              <w:rPr>
                <w:rFonts w:hint="eastAsia" w:ascii="仿宋" w:hAnsi="仿宋" w:eastAsia="仿宋" w:cs="仿宋"/>
                <w:b/>
                <w:sz w:val="21"/>
              </w:rPr>
            </w:pPr>
            <w:r>
              <w:rPr>
                <w:rFonts w:hint="eastAsia" w:ascii="仿宋" w:hAnsi="仿宋" w:eastAsia="仿宋" w:cs="仿宋"/>
                <w:b/>
                <w:color w:val="000007"/>
                <w:sz w:val="21"/>
                <w:lang w:val="en-US" w:eastAsia="zh-CN"/>
              </w:rPr>
              <w:t xml:space="preserve">         </w:t>
            </w:r>
            <w:r>
              <w:rPr>
                <w:rFonts w:hint="eastAsia" w:ascii="仿宋" w:hAnsi="仿宋" w:eastAsia="仿宋" w:cs="仿宋"/>
                <w:b/>
                <w:color w:val="000007"/>
                <w:sz w:val="21"/>
              </w:rPr>
              <w:t>申报人</w:t>
            </w:r>
            <w:r>
              <w:rPr>
                <w:rFonts w:hint="eastAsia" w:ascii="仿宋" w:hAnsi="仿宋" w:eastAsia="仿宋" w:cs="仿宋"/>
                <w:b/>
                <w:color w:val="000007"/>
                <w:sz w:val="21"/>
                <w:lang w:eastAsia="zh-CN"/>
              </w:rPr>
              <w:t>（</w:t>
            </w:r>
            <w:r>
              <w:rPr>
                <w:rFonts w:hint="eastAsia" w:ascii="仿宋" w:hAnsi="仿宋" w:eastAsia="仿宋" w:cs="仿宋"/>
                <w:b/>
                <w:color w:val="000007"/>
                <w:sz w:val="21"/>
              </w:rPr>
              <w:t>盖章</w:t>
            </w:r>
            <w:r>
              <w:rPr>
                <w:rFonts w:hint="eastAsia" w:ascii="仿宋" w:hAnsi="仿宋" w:eastAsia="仿宋" w:cs="仿宋"/>
                <w:b/>
                <w:color w:val="000007"/>
                <w:w w:val="95"/>
                <w:sz w:val="21"/>
              </w:rPr>
              <w:t>/</w:t>
            </w:r>
            <w:r>
              <w:rPr>
                <w:rFonts w:hint="eastAsia" w:ascii="仿宋" w:hAnsi="仿宋" w:eastAsia="仿宋" w:cs="仿宋"/>
                <w:b/>
                <w:color w:val="000007"/>
                <w:sz w:val="21"/>
                <w:lang w:val="en-US" w:eastAsia="zh-CN"/>
              </w:rPr>
              <w:t>签名）</w:t>
            </w:r>
            <w:r>
              <w:rPr>
                <w:rFonts w:hint="eastAsia" w:ascii="仿宋" w:hAnsi="仿宋" w:eastAsia="仿宋" w:cs="仿宋"/>
                <w:b/>
                <w:color w:val="000007"/>
                <w:sz w:val="21"/>
              </w:rPr>
              <w:t>：</w:t>
            </w:r>
          </w:p>
          <w:p>
            <w:pPr>
              <w:pStyle w:val="8"/>
              <w:keepNext w:val="0"/>
              <w:keepLines w:val="0"/>
              <w:pageBreakBefore w:val="0"/>
              <w:widowControl w:val="0"/>
              <w:tabs>
                <w:tab w:val="left" w:pos="631"/>
                <w:tab w:val="left" w:pos="1367"/>
              </w:tabs>
              <w:kinsoku/>
              <w:wordWrap/>
              <w:overflowPunct/>
              <w:topLinePunct w:val="0"/>
              <w:autoSpaceDE w:val="0"/>
              <w:autoSpaceDN w:val="0"/>
              <w:bidi w:val="0"/>
              <w:adjustRightInd/>
              <w:snapToGrid/>
              <w:spacing w:line="320" w:lineRule="exact"/>
              <w:ind w:right="73"/>
              <w:jc w:val="right"/>
              <w:textAlignment w:val="auto"/>
              <w:rPr>
                <w:rFonts w:hint="eastAsia" w:ascii="仿宋" w:hAnsi="仿宋" w:eastAsia="仿宋" w:cs="仿宋"/>
                <w:b/>
                <w:sz w:val="21"/>
              </w:rPr>
            </w:pPr>
            <w:r>
              <w:rPr>
                <w:rFonts w:hint="eastAsia" w:ascii="仿宋" w:hAnsi="仿宋" w:eastAsia="仿宋" w:cs="仿宋"/>
                <w:b/>
                <w:color w:val="000007"/>
                <w:sz w:val="21"/>
              </w:rPr>
              <w:t>年</w:t>
            </w:r>
            <w:r>
              <w:rPr>
                <w:rFonts w:hint="eastAsia" w:ascii="仿宋" w:hAnsi="仿宋" w:eastAsia="仿宋" w:cs="仿宋"/>
                <w:b/>
                <w:color w:val="000007"/>
                <w:sz w:val="21"/>
              </w:rPr>
              <w:tab/>
            </w:r>
            <w:r>
              <w:rPr>
                <w:rFonts w:hint="eastAsia" w:ascii="仿宋" w:hAnsi="仿宋" w:eastAsia="仿宋" w:cs="仿宋"/>
                <w:b/>
                <w:color w:val="000007"/>
                <w:sz w:val="21"/>
              </w:rPr>
              <w:t>月</w:t>
            </w:r>
            <w:r>
              <w:rPr>
                <w:rFonts w:hint="eastAsia" w:ascii="仿宋" w:hAnsi="仿宋" w:eastAsia="仿宋" w:cs="仿宋"/>
                <w:b/>
                <w:color w:val="000007"/>
                <w:sz w:val="21"/>
              </w:rPr>
              <w:tab/>
            </w:r>
            <w:r>
              <w:rPr>
                <w:rFonts w:hint="eastAsia" w:ascii="仿宋" w:hAnsi="仿宋" w:eastAsia="仿宋" w:cs="仿宋"/>
                <w:b/>
                <w:color w:val="000007"/>
                <w:w w:val="95"/>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1369" w:type="dxa"/>
          </w:tcPr>
          <w:p>
            <w:pPr>
              <w:pStyle w:val="8"/>
              <w:keepNext w:val="0"/>
              <w:keepLines w:val="0"/>
              <w:pageBreakBefore w:val="0"/>
              <w:widowControl w:val="0"/>
              <w:tabs>
                <w:tab w:val="left" w:pos="789"/>
              </w:tabs>
              <w:kinsoku/>
              <w:wordWrap/>
              <w:overflowPunct/>
              <w:topLinePunct w:val="0"/>
              <w:autoSpaceDE w:val="0"/>
              <w:autoSpaceDN w:val="0"/>
              <w:bidi w:val="0"/>
              <w:adjustRightInd/>
              <w:snapToGrid/>
              <w:spacing w:before="137" w:line="360" w:lineRule="exact"/>
              <w:ind w:left="369"/>
              <w:textAlignment w:val="auto"/>
              <w:rPr>
                <w:rFonts w:hint="eastAsia" w:ascii="仿宋" w:hAnsi="仿宋" w:eastAsia="仿宋" w:cs="仿宋"/>
                <w:b/>
                <w:sz w:val="21"/>
              </w:rPr>
            </w:pPr>
            <w:r>
              <w:rPr>
                <w:rFonts w:hint="eastAsia" w:ascii="仿宋" w:hAnsi="仿宋" w:eastAsia="仿宋" w:cs="仿宋"/>
                <w:b/>
                <w:color w:val="000007"/>
                <w:sz w:val="21"/>
              </w:rPr>
              <w:t>备</w:t>
            </w:r>
            <w:r>
              <w:rPr>
                <w:rFonts w:hint="eastAsia" w:ascii="仿宋" w:hAnsi="仿宋" w:eastAsia="仿宋" w:cs="仿宋"/>
                <w:b/>
                <w:color w:val="000007"/>
                <w:sz w:val="21"/>
              </w:rPr>
              <w:tab/>
            </w:r>
            <w:r>
              <w:rPr>
                <w:rFonts w:hint="eastAsia" w:ascii="仿宋" w:hAnsi="仿宋" w:eastAsia="仿宋" w:cs="仿宋"/>
                <w:b/>
                <w:color w:val="000007"/>
                <w:sz w:val="21"/>
              </w:rPr>
              <w:t>注</w:t>
            </w:r>
          </w:p>
        </w:tc>
        <w:tc>
          <w:tcPr>
            <w:tcW w:w="8253" w:type="dxa"/>
            <w:gridSpan w:val="4"/>
          </w:tcPr>
          <w:p>
            <w:pPr>
              <w:pStyle w:val="8"/>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仿宋" w:hAnsi="仿宋" w:eastAsia="仿宋" w:cs="仿宋"/>
                <w:sz w:val="20"/>
              </w:rPr>
            </w:pPr>
          </w:p>
        </w:tc>
      </w:tr>
    </w:tbl>
    <w:p>
      <w:pPr>
        <w:pStyle w:val="2"/>
        <w:keepNext w:val="0"/>
        <w:keepLines w:val="0"/>
        <w:pageBreakBefore w:val="0"/>
        <w:widowControl w:val="0"/>
        <w:kinsoku/>
        <w:wordWrap/>
        <w:overflowPunct/>
        <w:topLinePunct w:val="0"/>
        <w:autoSpaceDE w:val="0"/>
        <w:autoSpaceDN w:val="0"/>
        <w:bidi w:val="0"/>
        <w:adjustRightInd/>
        <w:snapToGrid/>
        <w:spacing w:before="20" w:line="360" w:lineRule="exact"/>
        <w:ind w:left="580" w:right="396" w:hanging="420"/>
        <w:textAlignment w:val="auto"/>
        <w:rPr>
          <w:rFonts w:hint="eastAsia" w:ascii="仿宋" w:hAnsi="仿宋" w:eastAsia="仿宋" w:cs="仿宋"/>
        </w:rPr>
      </w:pPr>
      <w:r>
        <w:rPr>
          <w:rFonts w:hint="eastAsia" w:ascii="仿宋" w:hAnsi="仿宋" w:eastAsia="仿宋" w:cs="仿宋"/>
          <w:color w:val="000007"/>
        </w:rPr>
        <w:t>注：1.债权申报人填写本表前，应当仔细阅读表中告知栏内管理人对申报人填写送达地址及银行账户确认书的告知事项。</w:t>
      </w:r>
    </w:p>
    <w:p>
      <w:pPr>
        <w:pStyle w:val="2"/>
        <w:keepNext w:val="0"/>
        <w:keepLines w:val="0"/>
        <w:pageBreakBefore w:val="0"/>
        <w:widowControl w:val="0"/>
        <w:kinsoku/>
        <w:wordWrap/>
        <w:overflowPunct/>
        <w:topLinePunct w:val="0"/>
        <w:autoSpaceDE w:val="0"/>
        <w:autoSpaceDN w:val="0"/>
        <w:bidi w:val="0"/>
        <w:adjustRightInd/>
        <w:snapToGrid/>
        <w:spacing w:line="360" w:lineRule="exact"/>
        <w:ind w:left="582"/>
        <w:textAlignment w:val="auto"/>
        <w:rPr>
          <w:rFonts w:hint="eastAsia" w:ascii="仿宋" w:hAnsi="仿宋" w:eastAsia="仿宋" w:cs="仿宋"/>
        </w:rPr>
      </w:pPr>
      <w:r>
        <w:rPr>
          <w:rFonts w:hint="eastAsia" w:ascii="仿宋" w:hAnsi="仿宋" w:eastAsia="仿宋" w:cs="仿宋"/>
          <w:color w:val="000007"/>
        </w:rPr>
        <w:t>2.债权申报人拒绝提供自己的送达地址及银行账户的，应当在备注栏中注明。</w:t>
      </w:r>
    </w:p>
    <w:sectPr>
      <w:type w:val="continuous"/>
      <w:pgSz w:w="11910" w:h="16840"/>
      <w:pgMar w:top="300" w:right="720" w:bottom="280" w:left="9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方正仿宋_GB18030">
    <w:panose1 w:val="02000000000000000000"/>
    <w:charset w:val="86"/>
    <w:family w:val="auto"/>
    <w:pitch w:val="default"/>
    <w:sig w:usb0="00000001" w:usb1="08000000" w:usb2="00000000" w:usb3="00000000" w:csb0="0004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106" w:hanging="314"/>
        <w:jc w:val="left"/>
      </w:pPr>
      <w:rPr>
        <w:rFonts w:hint="default" w:ascii="Microsoft JhengHei" w:hAnsi="Microsoft JhengHei" w:eastAsia="Microsoft JhengHei" w:cs="Microsoft JhengHei"/>
        <w:b/>
        <w:bCs/>
        <w:color w:val="000007"/>
        <w:spacing w:val="-25"/>
        <w:w w:val="80"/>
        <w:sz w:val="19"/>
        <w:szCs w:val="19"/>
        <w:lang w:val="zh-CN" w:eastAsia="zh-CN" w:bidi="zh-CN"/>
      </w:rPr>
    </w:lvl>
    <w:lvl w:ilvl="1" w:tentative="0">
      <w:start w:val="0"/>
      <w:numFmt w:val="bullet"/>
      <w:lvlText w:val="•"/>
      <w:lvlJc w:val="left"/>
      <w:pPr>
        <w:ind w:left="935" w:hanging="314"/>
      </w:pPr>
      <w:rPr>
        <w:rFonts w:hint="default"/>
        <w:lang w:val="zh-CN" w:eastAsia="zh-CN" w:bidi="zh-CN"/>
      </w:rPr>
    </w:lvl>
    <w:lvl w:ilvl="2" w:tentative="0">
      <w:start w:val="0"/>
      <w:numFmt w:val="bullet"/>
      <w:lvlText w:val="•"/>
      <w:lvlJc w:val="left"/>
      <w:pPr>
        <w:ind w:left="1770" w:hanging="314"/>
      </w:pPr>
      <w:rPr>
        <w:rFonts w:hint="default"/>
        <w:lang w:val="zh-CN" w:eastAsia="zh-CN" w:bidi="zh-CN"/>
      </w:rPr>
    </w:lvl>
    <w:lvl w:ilvl="3" w:tentative="0">
      <w:start w:val="0"/>
      <w:numFmt w:val="bullet"/>
      <w:lvlText w:val="•"/>
      <w:lvlJc w:val="left"/>
      <w:pPr>
        <w:ind w:left="2605" w:hanging="314"/>
      </w:pPr>
      <w:rPr>
        <w:rFonts w:hint="default"/>
        <w:lang w:val="zh-CN" w:eastAsia="zh-CN" w:bidi="zh-CN"/>
      </w:rPr>
    </w:lvl>
    <w:lvl w:ilvl="4" w:tentative="0">
      <w:start w:val="0"/>
      <w:numFmt w:val="bullet"/>
      <w:lvlText w:val="•"/>
      <w:lvlJc w:val="left"/>
      <w:pPr>
        <w:ind w:left="3440" w:hanging="314"/>
      </w:pPr>
      <w:rPr>
        <w:rFonts w:hint="default"/>
        <w:lang w:val="zh-CN" w:eastAsia="zh-CN" w:bidi="zh-CN"/>
      </w:rPr>
    </w:lvl>
    <w:lvl w:ilvl="5" w:tentative="0">
      <w:start w:val="0"/>
      <w:numFmt w:val="bullet"/>
      <w:lvlText w:val="•"/>
      <w:lvlJc w:val="left"/>
      <w:pPr>
        <w:ind w:left="4275" w:hanging="314"/>
      </w:pPr>
      <w:rPr>
        <w:rFonts w:hint="default"/>
        <w:lang w:val="zh-CN" w:eastAsia="zh-CN" w:bidi="zh-CN"/>
      </w:rPr>
    </w:lvl>
    <w:lvl w:ilvl="6" w:tentative="0">
      <w:start w:val="0"/>
      <w:numFmt w:val="bullet"/>
      <w:lvlText w:val="•"/>
      <w:lvlJc w:val="left"/>
      <w:pPr>
        <w:ind w:left="5110" w:hanging="314"/>
      </w:pPr>
      <w:rPr>
        <w:rFonts w:hint="default"/>
        <w:lang w:val="zh-CN" w:eastAsia="zh-CN" w:bidi="zh-CN"/>
      </w:rPr>
    </w:lvl>
    <w:lvl w:ilvl="7" w:tentative="0">
      <w:start w:val="0"/>
      <w:numFmt w:val="bullet"/>
      <w:lvlText w:val="•"/>
      <w:lvlJc w:val="left"/>
      <w:pPr>
        <w:ind w:left="5945" w:hanging="314"/>
      </w:pPr>
      <w:rPr>
        <w:rFonts w:hint="default"/>
        <w:lang w:val="zh-CN" w:eastAsia="zh-CN" w:bidi="zh-CN"/>
      </w:rPr>
    </w:lvl>
    <w:lvl w:ilvl="8" w:tentative="0">
      <w:start w:val="0"/>
      <w:numFmt w:val="bullet"/>
      <w:lvlText w:val="•"/>
      <w:lvlJc w:val="left"/>
      <w:pPr>
        <w:ind w:left="6780" w:hanging="314"/>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YTc2ZGZiNzZiNDVlOGViOWVmM2JhOTY0NGJkNjUyYzgifQ=="/>
  </w:docVars>
  <w:rsids>
    <w:rsidRoot w:val="00000000"/>
    <w:rsid w:val="0325742E"/>
    <w:rsid w:val="2D4226E6"/>
    <w:rsid w:val="308227A9"/>
    <w:rsid w:val="41373585"/>
    <w:rsid w:val="58C96895"/>
    <w:rsid w:val="6A382B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Microsoft JhengHei" w:hAnsi="Microsoft JhengHei" w:eastAsia="Microsoft JhengHei" w:cs="Microsoft JhengHei"/>
      <w:sz w:val="22"/>
      <w:szCs w:val="22"/>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Microsoft JhengHei" w:hAnsi="Microsoft JhengHei" w:eastAsia="Microsoft JhengHei" w:cs="Microsoft JhengHei"/>
      <w:b/>
      <w:bCs/>
      <w:sz w:val="21"/>
      <w:szCs w:val="21"/>
      <w:lang w:val="zh-CN" w:eastAsia="zh-CN" w:bidi="zh-CN"/>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rFonts w:ascii="Microsoft JhengHei" w:hAnsi="Microsoft JhengHei" w:eastAsia="Microsoft JhengHei" w:cs="Microsoft JhengHei"/>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745</Words>
  <Characters>776</Characters>
  <TotalTime>24</TotalTime>
  <ScaleCrop>false</ScaleCrop>
  <LinksUpToDate>false</LinksUpToDate>
  <CharactersWithSpaces>825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2022-04-19T02:25:00Z</dcterms:created>
  <dc:creator>yhyin</dc:creator>
  <cp:lastModifiedBy>lisheng</cp:lastModifiedBy>
  <dcterms:modified xsi:type="dcterms:W3CDTF">2024-03-01T06:16:58Z</dcterms:modified>
  <dc:title>user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2021-09-29T00:00:00Z</vt:filetime>
  </property>
  <property fmtid="{D5CDD505-2E9C-101B-9397-08002B2CF9AE}" pid="3" name="Creator">
    <vt:lpwstr>WPS 文字</vt:lpwstr>
  </property>
  <property fmtid="{D5CDD505-2E9C-101B-9397-08002B2CF9AE}" pid="4" name="LastSaved">
    <vt:filetime>2022-04-19T00:00:00Z</vt:filetime>
  </property>
  <property fmtid="{D5CDD505-2E9C-101B-9397-08002B2CF9AE}" pid="5" name="KSOProductBuildVer">
    <vt:lpwstr>2052-12.1.0.16388</vt:lpwstr>
  </property>
  <property fmtid="{D5CDD505-2E9C-101B-9397-08002B2CF9AE}" pid="6" name="ICV">
    <vt:lpwstr>329B899EE92345529B50BEBF194EABE5</vt:lpwstr>
  </property>
</Properties>
</file>