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snapToGrid/>
        <w:spacing w:line="600" w:lineRule="exact"/>
        <w:jc w:val="center"/>
        <w:textAlignment w:val="auto"/>
        <w:rPr>
          <w:rFonts w:hint="eastAsia" w:ascii="方正小标宋简体" w:hAnsi="方正小标宋简体" w:eastAsia="方正小标宋简体"/>
          <w:color w:val="auto"/>
          <w:sz w:val="44"/>
          <w:szCs w:val="44"/>
          <w:lang w:val="en-US" w:eastAsia="zh-Hans"/>
        </w:rPr>
      </w:pPr>
      <w:r>
        <w:rPr>
          <w:rFonts w:hint="eastAsia" w:ascii="方正小标宋简体" w:hAnsi="方正小标宋简体" w:eastAsia="方正小标宋简体"/>
          <w:color w:val="auto"/>
          <w:sz w:val="44"/>
          <w:szCs w:val="44"/>
          <w:lang w:val="en-US" w:eastAsia="zh-CN"/>
        </w:rPr>
        <w:t>四川省佳宇建设集团有限公司破产重整案</w:t>
      </w:r>
      <w:r>
        <w:rPr>
          <w:rFonts w:hint="eastAsia" w:ascii="方正小标宋简体" w:hAnsi="方正小标宋简体" w:eastAsia="方正小标宋简体"/>
          <w:color w:val="auto"/>
          <w:sz w:val="44"/>
          <w:szCs w:val="44"/>
          <w:lang w:val="en-US" w:eastAsia="zh-Hans"/>
        </w:rPr>
        <w:t>资产评估机构</w:t>
      </w:r>
      <w:r>
        <w:rPr>
          <w:rFonts w:hint="eastAsia" w:ascii="方正小标宋简体" w:hAnsi="方正小标宋简体" w:eastAsia="方正小标宋简体"/>
          <w:color w:val="auto"/>
          <w:sz w:val="44"/>
          <w:szCs w:val="44"/>
          <w:lang w:val="en-US" w:eastAsia="zh-CN"/>
        </w:rPr>
        <w:t>比选</w:t>
      </w:r>
      <w:r>
        <w:rPr>
          <w:rFonts w:hint="eastAsia" w:ascii="方正小标宋简体" w:hAnsi="方正小标宋简体" w:eastAsia="方正小标宋简体"/>
          <w:color w:val="auto"/>
          <w:sz w:val="44"/>
          <w:szCs w:val="44"/>
          <w:lang w:val="en-US" w:eastAsia="zh-Hans"/>
        </w:rPr>
        <w:t>公告</w:t>
      </w:r>
    </w:p>
    <w:p>
      <w:pPr>
        <w:keepNext w:val="0"/>
        <w:keepLines w:val="0"/>
        <w:pageBreakBefore w:val="0"/>
        <w:widowControl w:val="0"/>
        <w:kinsoku/>
        <w:overflowPunct/>
        <w:topLinePunct w:val="0"/>
        <w:autoSpaceDE/>
        <w:autoSpaceDN/>
        <w:bidi w:val="0"/>
        <w:snapToGrid/>
        <w:spacing w:line="600" w:lineRule="exact"/>
        <w:ind w:firstLine="220" w:firstLineChars="200"/>
        <w:textAlignment w:val="auto"/>
        <w:rPr>
          <w:rFonts w:hint="eastAsia" w:ascii="仿宋_GB2312" w:hAnsi="仿宋_GB2312" w:eastAsia="仿宋_GB2312" w:cs="仿宋_GB2312"/>
          <w:b w:val="0"/>
          <w:bCs/>
          <w:sz w:val="11"/>
          <w:szCs w:val="11"/>
          <w:lang w:val="en-US" w:eastAsia="zh-CN"/>
        </w:rPr>
      </w:pPr>
    </w:p>
    <w:p>
      <w:pPr>
        <w:keepNext w:val="0"/>
        <w:keepLines w:val="0"/>
        <w:pageBreakBefore w:val="0"/>
        <w:widowControl w:val="0"/>
        <w:kinsoku/>
        <w:overflowPunct/>
        <w:topLinePunct w:val="0"/>
        <w:autoSpaceDE/>
        <w:autoSpaceDN/>
        <w:bidi w:val="0"/>
        <w:snapToGrid/>
        <w:spacing w:line="600" w:lineRule="exact"/>
        <w:ind w:firstLine="560" w:firstLineChars="200"/>
        <w:textAlignment w:val="auto"/>
        <w:rPr>
          <w:rFonts w:hint="eastAsia" w:ascii="仿宋" w:hAnsi="仿宋" w:eastAsia="仿宋" w:cs="仿宋"/>
          <w:sz w:val="28"/>
          <w:szCs w:val="28"/>
          <w:u w:val="none"/>
          <w:lang w:val="en-US" w:eastAsia="zh-CN"/>
        </w:rPr>
      </w:pPr>
      <w:r>
        <w:rPr>
          <w:rFonts w:hint="eastAsia" w:ascii="仿宋" w:hAnsi="仿宋" w:eastAsia="仿宋" w:cs="仿宋"/>
          <w:b w:val="0"/>
          <w:bCs/>
          <w:sz w:val="28"/>
          <w:szCs w:val="28"/>
          <w:lang w:val="en-US" w:eastAsia="zh-CN"/>
        </w:rPr>
        <w:t>四川省成都市武侯区人民法院于2023年7月5日作出（2023）川0107破申15号民事裁定书受理了四川省佳宇建设集团有限公司破产清算案，并于2023年7月18日作出（2023）川0107破21号决定书指定四川英特信律师事务所、四川衡立泰会计师事务所有限公司担任四川省佳宇建设集团有限公司管理人。</w:t>
      </w:r>
      <w:r>
        <w:rPr>
          <w:rFonts w:hint="eastAsia" w:ascii="仿宋" w:hAnsi="仿宋" w:eastAsia="仿宋" w:cs="仿宋"/>
          <w:sz w:val="28"/>
          <w:szCs w:val="28"/>
          <w:u w:val="none"/>
          <w:lang w:eastAsia="zh-Hans"/>
        </w:rPr>
        <w:t>2023年7月26日，武侯区人民法院裁定自2023年7月26日起对佳宇公司进行重整</w:t>
      </w:r>
      <w:r>
        <w:rPr>
          <w:rFonts w:hint="eastAsia" w:ascii="仿宋" w:hAnsi="仿宋" w:eastAsia="仿宋" w:cs="仿宋"/>
          <w:sz w:val="28"/>
          <w:szCs w:val="28"/>
          <w:u w:val="none"/>
          <w:lang w:val="en-US" w:eastAsia="zh-CN"/>
        </w:rPr>
        <w:t>。</w:t>
      </w:r>
    </w:p>
    <w:p>
      <w:pPr>
        <w:keepNext w:val="0"/>
        <w:keepLines w:val="0"/>
        <w:pageBreakBefore w:val="0"/>
        <w:widowControl w:val="0"/>
        <w:kinsoku/>
        <w:overflowPunct/>
        <w:topLinePunct w:val="0"/>
        <w:autoSpaceDE/>
        <w:autoSpaceDN/>
        <w:bidi w:val="0"/>
        <w:snapToGrid/>
        <w:spacing w:line="600" w:lineRule="exact"/>
        <w:ind w:firstLine="560"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为查明债务人资产价值，确保重整程序的顺利、高效、有序开展，经成都市武侯区人民法院同意，四川省佳宇建设集团有限公司管理人决定以公开比选的方式选聘资产评估机构，有关事项公告如下:</w:t>
      </w:r>
    </w:p>
    <w:p>
      <w:pPr>
        <w:keepNext w:val="0"/>
        <w:keepLines w:val="0"/>
        <w:pageBreakBefore w:val="0"/>
        <w:widowControl w:val="0"/>
        <w:kinsoku/>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一、基本情况</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四川省佳宇建筑安装工程有限公司（佳宇公司曾用名）成立于1999年12月28日，2019年4月30日更名为四川省佳宇建设集团有限公司。工商登记现任法定代表人为邹霄，登记机关为武侯区市场监督管理局。公司经营范围为：许可项目：各类工程建设活动；房屋建筑和市政基础设施项目工程总承包；建筑智能化工程施工；消防设施工程施工；文物保护工程施工；建设工程设计；施工专业作业；建筑劳务分包；房地产开发经营（依法须经批准的项目，经相关部门批准后方可开展经营活动，具体经营项目以相关部门批准文件或许可证件为准）一般项目：普通机械设备安装服务；装卸搬运；园林绿化工程施工；建筑材料销售；水泥制品销售；建筑用钢筋产品销售；建筑装饰材料销售；土石方工程施工；劳务服务（不含劳务派遣）；企业管理；工程管理服务（除依法须经批准的项目外，凭营业执照依法自主开展经营活动）。</w:t>
      </w:r>
    </w:p>
    <w:p>
      <w:pPr>
        <w:keepNext w:val="0"/>
        <w:keepLines w:val="0"/>
        <w:widowControl/>
        <w:suppressLineNumbers w:val="0"/>
        <w:ind w:firstLine="560" w:firstLineChars="200"/>
        <w:jc w:val="left"/>
        <w:rPr>
          <w:rFonts w:hint="eastAsia" w:ascii="仿宋" w:hAnsi="仿宋" w:eastAsia="仿宋" w:cs="仿宋"/>
          <w:sz w:val="28"/>
          <w:szCs w:val="28"/>
          <w:lang w:val="en-US"/>
        </w:rPr>
      </w:pPr>
      <w:r>
        <w:rPr>
          <w:rFonts w:hint="eastAsia" w:ascii="仿宋" w:hAnsi="仿宋" w:eastAsia="仿宋" w:cs="仿宋"/>
          <w:color w:val="000000"/>
          <w:kern w:val="0"/>
          <w:sz w:val="28"/>
          <w:szCs w:val="28"/>
          <w:lang w:val="en-US" w:eastAsia="zh-CN" w:bidi="ar"/>
        </w:rPr>
        <w:t>佳宇公司为建筑企业，拥有多项建筑资质、应收账款等财产权益。</w:t>
      </w:r>
    </w:p>
    <w:p>
      <w:pPr>
        <w:keepNext w:val="0"/>
        <w:keepLines w:val="0"/>
        <w:pageBreakBefore w:val="0"/>
        <w:widowControl w:val="0"/>
        <w:kinsoku/>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比选程序</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（一）意向机构提交比选文件</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本次比选由意向机构根据比选文件的要求向管理人提交比选申请文件。</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（二）组织书面评选</w:t>
      </w:r>
    </w:p>
    <w:p>
      <w:pPr>
        <w:keepNext w:val="0"/>
        <w:keepLines w:val="0"/>
        <w:widowControl/>
        <w:suppressLineNumbers w:val="0"/>
        <w:ind w:firstLine="560" w:firstLineChars="200"/>
        <w:jc w:val="left"/>
        <w:rPr>
          <w:rFonts w:hint="eastAsia" w:ascii="仿宋" w:hAnsi="仿宋" w:eastAsia="仿宋" w:cs="仿宋"/>
          <w:color w:val="auto"/>
          <w:sz w:val="28"/>
          <w:szCs w:val="28"/>
        </w:rPr>
      </w:pPr>
      <w:r>
        <w:rPr>
          <w:rFonts w:hint="eastAsia" w:ascii="仿宋" w:hAnsi="仿宋" w:eastAsia="仿宋" w:cs="仿宋"/>
          <w:color w:val="000000"/>
          <w:kern w:val="0"/>
          <w:sz w:val="28"/>
          <w:szCs w:val="28"/>
          <w:lang w:val="en-US" w:eastAsia="zh-CN" w:bidi="ar"/>
        </w:rPr>
        <w:t>管理人按照比选文件确定的评审标准对参选机构进行书面评审、比选，择优确定一家中选机构和一家备选机构。</w:t>
      </w:r>
    </w:p>
    <w:p>
      <w:pPr>
        <w:keepNext w:val="0"/>
        <w:keepLines w:val="0"/>
        <w:pageBreakBefore w:val="0"/>
        <w:widowControl w:val="0"/>
        <w:kinsoku/>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二、参选条件</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（一）截至2024年2月29日，资产评估机构已列入四川法院对外委托专业机构电子信息平台库（现行有效）的四川省高级人民法院或者成都市中级人民法院名单中。</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（二）资产评估机构需具备建筑行业</w:t>
      </w:r>
      <w:r>
        <w:rPr>
          <w:rFonts w:hint="eastAsia" w:ascii="仿宋" w:hAnsi="仿宋" w:eastAsia="仿宋" w:cs="仿宋"/>
          <w:color w:val="000000"/>
          <w:kern w:val="0"/>
          <w:sz w:val="28"/>
          <w:szCs w:val="28"/>
          <w:lang w:val="en-US" w:eastAsia="zh-Hans" w:bidi="ar"/>
        </w:rPr>
        <w:t>、固定资产、股权、知识产权评估</w:t>
      </w:r>
      <w:r>
        <w:rPr>
          <w:rFonts w:hint="eastAsia" w:ascii="仿宋" w:hAnsi="仿宋" w:eastAsia="仿宋" w:cs="仿宋"/>
          <w:color w:val="000000"/>
          <w:kern w:val="0"/>
          <w:sz w:val="28"/>
          <w:szCs w:val="28"/>
          <w:lang w:val="en-US" w:eastAsia="zh-CN" w:bidi="ar"/>
        </w:rPr>
        <w:t>相关的评估资质。</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（三）参选机构与本案债务人、债权人、管理人及人员无利益关系或其他影响独立公正评估的利害关系，无其他依规定应当予以回避的情形。</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（四）参选机构及其从业人员在三年内未因执业、经营中断或重大过失等受到行政机关、监管机构、人民法院或行业自律组织的处罚或处分，且不得进入国家信用信息公示的失信人名单。</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（五）能够根据管理人的要求及时开展评估工作，按时出具评估报告。</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（六）有破产案件评估经验者优先考虑。</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（七）中小微企业优先考虑。</w:t>
      </w:r>
    </w:p>
    <w:p>
      <w:pPr>
        <w:keepNext w:val="0"/>
        <w:keepLines w:val="0"/>
        <w:pageBreakBefore w:val="0"/>
        <w:widowControl w:val="0"/>
        <w:kinsoku/>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三、服务范围</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对佳宇公司名下全部资产进行评估，并出具评估报告，具体如下：</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（一）对佳宇公司拥有多项建筑资质的价值进行评估；</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（二）对佳宇公司名下不动产、车辆的价值进行评估；</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（三）对佳宇公司对外债权，包括应收工程款等的价值进行评估；</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（四）对其他资产的价值进行评估。</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（五）管理人根据案件需要安排的其他专项资产评估工作。</w:t>
      </w:r>
    </w:p>
    <w:p>
      <w:pPr>
        <w:keepNext w:val="0"/>
        <w:keepLines w:val="0"/>
        <w:pageBreakBefore w:val="0"/>
        <w:widowControl w:val="0"/>
        <w:kinsoku/>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四、特别说明</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本项目的委托人为四川省佳宇建设集团有限公司管理人，费用支付责任主体为四川省佳宇建设集团有限公司。费用将作为破产费用，根据破产程序进展情况由管理人报法院后安排支付时间。</w:t>
      </w:r>
    </w:p>
    <w:p>
      <w:pPr>
        <w:pStyle w:val="2"/>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color w:val="000000"/>
          <w:kern w:val="0"/>
          <w:sz w:val="28"/>
          <w:szCs w:val="28"/>
          <w:lang w:val="en-US" w:eastAsia="zh-CN" w:bidi="ar"/>
        </w:rPr>
      </w:pPr>
      <w:bookmarkStart w:id="0" w:name="_GoBack"/>
      <w:r>
        <w:rPr>
          <w:rFonts w:hint="eastAsia" w:ascii="仿宋" w:hAnsi="仿宋" w:eastAsia="仿宋" w:cs="仿宋"/>
          <w:b/>
          <w:bCs/>
          <w:color w:val="000000"/>
          <w:kern w:val="0"/>
          <w:sz w:val="28"/>
          <w:szCs w:val="28"/>
          <w:lang w:val="en-US" w:eastAsia="zh-CN" w:bidi="ar"/>
        </w:rPr>
        <w:t>五、比选申请文件提交</w:t>
      </w:r>
    </w:p>
    <w:bookmarkEnd w:id="0"/>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（一）比选申请文件的提交方式：意向机构应通过邮件将比选申请文件提交至管理人指定的邮箱地址：yingtexin@vip.163.com，并提交书面比选申请文件（正本一份、副本一份）。</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（二）比选申请文件提交截止时间为：2024年4月8日；</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（三）参选文件邮件命名方式：“参选机构名称—比选申请文件—日期”。</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（四）联系地址：成都市武侯区锦城大道666号万达广场A座6楼，四川英特信律师事务所。</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联系人：饶律师，电话：13228148336。</w:t>
      </w:r>
    </w:p>
    <w:p>
      <w:pPr>
        <w:keepNext w:val="0"/>
        <w:keepLines w:val="0"/>
        <w:pageBreakBefore w:val="0"/>
        <w:widowControl w:val="0"/>
        <w:kinsoku/>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、比选</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（一）比选时间：</w:t>
      </w:r>
      <w:r>
        <w:rPr>
          <w:rFonts w:hint="eastAsia" w:ascii="仿宋" w:hAnsi="仿宋" w:eastAsia="仿宋" w:cs="仿宋"/>
          <w:color w:val="000000"/>
          <w:kern w:val="0"/>
          <w:sz w:val="28"/>
          <w:szCs w:val="28"/>
          <w:lang w:val="en-US" w:eastAsia="zh-Hans" w:bidi="ar"/>
        </w:rPr>
        <w:t>202</w:t>
      </w:r>
      <w:r>
        <w:rPr>
          <w:rFonts w:hint="eastAsia" w:ascii="仿宋" w:hAnsi="仿宋" w:eastAsia="仿宋" w:cs="仿宋"/>
          <w:color w:val="000000"/>
          <w:kern w:val="0"/>
          <w:sz w:val="28"/>
          <w:szCs w:val="28"/>
          <w:lang w:val="en-US" w:eastAsia="zh-CN" w:bidi="ar"/>
        </w:rPr>
        <w:t>4</w:t>
      </w:r>
      <w:r>
        <w:rPr>
          <w:rFonts w:hint="eastAsia" w:ascii="仿宋" w:hAnsi="仿宋" w:eastAsia="仿宋" w:cs="仿宋"/>
          <w:color w:val="000000"/>
          <w:kern w:val="0"/>
          <w:sz w:val="28"/>
          <w:szCs w:val="28"/>
          <w:lang w:val="en-US" w:eastAsia="zh-Hans" w:bidi="ar"/>
        </w:rPr>
        <w:t>年</w:t>
      </w:r>
      <w:r>
        <w:rPr>
          <w:rFonts w:hint="eastAsia" w:ascii="仿宋" w:hAnsi="仿宋" w:eastAsia="仿宋" w:cs="仿宋"/>
          <w:color w:val="000000"/>
          <w:kern w:val="0"/>
          <w:sz w:val="28"/>
          <w:szCs w:val="28"/>
          <w:lang w:val="en-US" w:eastAsia="zh-CN" w:bidi="ar"/>
        </w:rPr>
        <w:t>4</w:t>
      </w:r>
      <w:r>
        <w:rPr>
          <w:rFonts w:hint="eastAsia" w:ascii="仿宋" w:hAnsi="仿宋" w:eastAsia="仿宋" w:cs="仿宋"/>
          <w:color w:val="000000"/>
          <w:kern w:val="0"/>
          <w:sz w:val="28"/>
          <w:szCs w:val="28"/>
          <w:lang w:val="en-US" w:eastAsia="zh-Hans" w:bidi="ar"/>
        </w:rPr>
        <w:t>月</w:t>
      </w:r>
      <w:r>
        <w:rPr>
          <w:rFonts w:hint="eastAsia" w:ascii="仿宋" w:hAnsi="仿宋" w:cs="仿宋"/>
          <w:color w:val="000000"/>
          <w:kern w:val="0"/>
          <w:sz w:val="28"/>
          <w:szCs w:val="28"/>
          <w:lang w:val="en-US" w:eastAsia="zh-CN" w:bidi="ar"/>
        </w:rPr>
        <w:t>10</w:t>
      </w:r>
      <w:r>
        <w:rPr>
          <w:rFonts w:hint="eastAsia" w:ascii="仿宋" w:hAnsi="仿宋" w:eastAsia="仿宋" w:cs="仿宋"/>
          <w:color w:val="000000"/>
          <w:kern w:val="0"/>
          <w:sz w:val="28"/>
          <w:szCs w:val="28"/>
          <w:lang w:val="en-US" w:eastAsia="zh-Hans" w:bidi="ar"/>
        </w:rPr>
        <w:t>日</w:t>
      </w:r>
      <w:r>
        <w:rPr>
          <w:rFonts w:hint="eastAsia" w:ascii="仿宋" w:hAnsi="仿宋" w:eastAsia="仿宋" w:cs="仿宋"/>
          <w:color w:val="000000"/>
          <w:kern w:val="0"/>
          <w:sz w:val="28"/>
          <w:szCs w:val="28"/>
          <w:lang w:val="en-US" w:eastAsia="zh-CN" w:bidi="ar"/>
        </w:rPr>
        <w:t>。</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（二）比选地点：四川英特信律师事务所</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（三）比选方式：管理人组织人员进行书面评选。</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注：本次比选程序不收取费用，</w:t>
      </w:r>
      <w:r>
        <w:rPr>
          <w:rFonts w:hint="eastAsia" w:ascii="仿宋" w:hAnsi="仿宋" w:eastAsia="仿宋" w:cs="仿宋"/>
          <w:color w:val="000000"/>
          <w:kern w:val="0"/>
          <w:sz w:val="28"/>
          <w:szCs w:val="28"/>
          <w:lang w:val="en-US" w:eastAsia="zh-Hans" w:bidi="ar"/>
        </w:rPr>
        <w:t>相应</w:t>
      </w:r>
      <w:r>
        <w:rPr>
          <w:rFonts w:hint="eastAsia" w:ascii="仿宋" w:hAnsi="仿宋" w:eastAsia="仿宋" w:cs="仿宋"/>
          <w:color w:val="000000"/>
          <w:kern w:val="0"/>
          <w:sz w:val="28"/>
          <w:szCs w:val="28"/>
          <w:lang w:val="en-US" w:eastAsia="zh-CN" w:bidi="ar"/>
        </w:rPr>
        <w:t>附件</w:t>
      </w:r>
      <w:r>
        <w:rPr>
          <w:rFonts w:hint="eastAsia" w:ascii="仿宋" w:hAnsi="仿宋" w:eastAsia="仿宋" w:cs="仿宋"/>
          <w:color w:val="000000"/>
          <w:kern w:val="0"/>
          <w:sz w:val="28"/>
          <w:szCs w:val="28"/>
          <w:lang w:val="en-US" w:eastAsia="zh-Hans" w:bidi="ar"/>
        </w:rPr>
        <w:t>请联系管理人领取</w:t>
      </w:r>
      <w:r>
        <w:rPr>
          <w:rFonts w:hint="eastAsia" w:ascii="仿宋" w:hAnsi="仿宋" w:eastAsia="仿宋" w:cs="仿宋"/>
          <w:color w:val="000000"/>
          <w:kern w:val="0"/>
          <w:sz w:val="28"/>
          <w:szCs w:val="28"/>
          <w:lang w:val="en-US" w:eastAsia="zh-CN" w:bidi="ar"/>
        </w:rPr>
        <w:t>。</w:t>
      </w:r>
    </w:p>
    <w:p>
      <w:pPr>
        <w:pStyle w:val="2"/>
        <w:rPr>
          <w:rFonts w:hint="eastAsia" w:ascii="仿宋" w:hAnsi="仿宋" w:eastAsia="仿宋" w:cs="仿宋"/>
          <w:sz w:val="28"/>
          <w:szCs w:val="28"/>
          <w:lang w:val="en-US" w:eastAsia="zh-CN"/>
        </w:rPr>
      </w:pPr>
    </w:p>
    <w:p>
      <w:pPr>
        <w:keepNext w:val="0"/>
        <w:keepLines w:val="0"/>
        <w:pageBreakBefore w:val="0"/>
        <w:widowControl w:val="0"/>
        <w:kinsoku/>
        <w:overflowPunct/>
        <w:topLinePunct w:val="0"/>
        <w:autoSpaceDE/>
        <w:autoSpaceDN/>
        <w:bidi w:val="0"/>
        <w:snapToGrid/>
        <w:spacing w:line="600" w:lineRule="exact"/>
        <w:ind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四川省佳宇建设集团有限公司</w:t>
      </w:r>
      <w:r>
        <w:rPr>
          <w:rFonts w:hint="eastAsia" w:ascii="仿宋" w:hAnsi="仿宋" w:eastAsia="仿宋" w:cs="仿宋"/>
          <w:color w:val="auto"/>
          <w:sz w:val="28"/>
          <w:szCs w:val="28"/>
        </w:rPr>
        <w:t>管理人</w:t>
      </w:r>
    </w:p>
    <w:p>
      <w:pPr>
        <w:keepNext w:val="0"/>
        <w:keepLines w:val="0"/>
        <w:widowControl/>
        <w:suppressLineNumbers w:val="0"/>
        <w:jc w:val="right"/>
        <w:rPr>
          <w:rFonts w:hint="eastAsia" w:ascii="仿宋" w:hAnsi="仿宋" w:eastAsia="仿宋" w:cs="仿宋"/>
          <w:sz w:val="28"/>
          <w:szCs w:val="28"/>
        </w:rPr>
      </w:pP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月</w:t>
      </w:r>
      <w:r>
        <w:rPr>
          <w:rFonts w:hint="eastAsia" w:ascii="仿宋" w:hAnsi="仿宋" w:cs="仿宋"/>
          <w:color w:val="auto"/>
          <w:sz w:val="28"/>
          <w:szCs w:val="28"/>
          <w:lang w:val="en-US" w:eastAsia="zh-CN"/>
        </w:rPr>
        <w:t>27</w:t>
      </w:r>
      <w:r>
        <w:rPr>
          <w:rFonts w:hint="eastAsia" w:ascii="仿宋" w:hAnsi="仿宋" w:eastAsia="仿宋" w:cs="仿宋"/>
          <w:color w:val="auto"/>
          <w:sz w:val="28"/>
          <w:szCs w:val="28"/>
        </w:rPr>
        <w:t>日</w:t>
      </w:r>
      <w:r>
        <w:rPr>
          <w:rFonts w:hint="eastAsia" w:ascii="仿宋" w:hAnsi="仿宋" w:eastAsia="仿宋" w:cs="仿宋"/>
          <w:color w:val="auto"/>
          <w:sz w:val="28"/>
          <w:szCs w:val="28"/>
          <w:lang w:eastAsia="zh-CN"/>
        </w:rPr>
        <w:t>　</w:t>
      </w:r>
    </w:p>
    <w:p>
      <w:pPr>
        <w:keepNext w:val="0"/>
        <w:keepLines w:val="0"/>
        <w:widowControl/>
        <w:suppressLineNumbers w:val="0"/>
        <w:jc w:val="left"/>
        <w:rPr>
          <w:rFonts w:hint="eastAsia" w:ascii="仿宋" w:hAnsi="仿宋" w:eastAsia="仿宋" w:cs="仿宋"/>
          <w:sz w:val="28"/>
          <w:szCs w:val="28"/>
        </w:rPr>
      </w:pP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Hans" w:bidi="ar"/>
        </w:rPr>
        <w:t>附件</w:t>
      </w:r>
      <w:r>
        <w:rPr>
          <w:rFonts w:hint="eastAsia" w:ascii="仿宋" w:hAnsi="仿宋" w:eastAsia="仿宋" w:cs="仿宋"/>
          <w:color w:val="000000"/>
          <w:kern w:val="0"/>
          <w:sz w:val="28"/>
          <w:szCs w:val="28"/>
          <w:lang w:val="en-US" w:eastAsia="zh-CN" w:bidi="ar"/>
        </w:rPr>
        <w:t>：</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1、比选须知</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2、比</w:t>
      </w:r>
      <w:r>
        <w:rPr>
          <w:rFonts w:hint="eastAsia" w:ascii="仿宋" w:hAnsi="仿宋" w:cs="仿宋"/>
          <w:color w:val="000000"/>
          <w:kern w:val="0"/>
          <w:sz w:val="28"/>
          <w:szCs w:val="28"/>
          <w:lang w:val="en-US" w:eastAsia="zh-CN" w:bidi="ar"/>
        </w:rPr>
        <w:t>选</w:t>
      </w:r>
      <w:r>
        <w:rPr>
          <w:rFonts w:hint="eastAsia" w:ascii="仿宋" w:hAnsi="仿宋" w:eastAsia="仿宋" w:cs="仿宋"/>
          <w:color w:val="000000"/>
          <w:kern w:val="0"/>
          <w:sz w:val="28"/>
          <w:szCs w:val="28"/>
          <w:lang w:val="en-US" w:eastAsia="zh-CN" w:bidi="ar"/>
        </w:rPr>
        <w:t>规则</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3、比选申请文件格式</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4、资产评估委托合同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NDI4OWM3MWIxZDI3M2JkM2VmYTJmM2I3N2M3OWMifQ=="/>
  </w:docVars>
  <w:rsids>
    <w:rsidRoot w:val="00000000"/>
    <w:rsid w:val="4E89109F"/>
    <w:rsid w:val="7E060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2"/>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unhideWhenUsed/>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2024-03-27T05:15:00Z</dcterms:created>
  <dc:creator>Administrator</dc:creator>
  <cp:lastModifiedBy>WPS_1644637429</cp:lastModifiedBy>
  <dcterms:modified xsi:type="dcterms:W3CDTF">2024-03-27T06:23:01Z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74F231147196491BAF9FA4AB8BABC8B6_12</vt:lpwstr>
  </property>
</Properties>
</file>