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四川省川谷坊酒业有限公司管理人</w:t>
      </w:r>
    </w:p>
    <w:p>
      <w:pPr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关于处置特定财产“起拍价”的公告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4560" w:firstLineChars="1900"/>
        <w:textAlignment w:val="auto"/>
        <w:outlineLvl w:val="9"/>
        <w:rPr>
          <w:rFonts w:hint="eastAsia"/>
          <w:sz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4560" w:firstLineChars="1900"/>
        <w:textAlignment w:val="auto"/>
        <w:outlineLvl w:val="9"/>
        <w:rPr>
          <w:rFonts w:hint="eastAsia"/>
          <w:sz w:val="24"/>
        </w:rPr>
      </w:pPr>
      <w:r>
        <w:rPr>
          <w:sz w:val="24"/>
        </w:rPr>
        <w:t>川谷坊</w:t>
      </w:r>
      <w:r>
        <w:rPr>
          <w:rFonts w:hint="eastAsia"/>
          <w:sz w:val="24"/>
        </w:rPr>
        <w:t>破管字第</w:t>
      </w:r>
      <w:r>
        <w:rPr>
          <w:rFonts w:hint="eastAsia"/>
          <w:sz w:val="24"/>
          <w:lang w:val="en-US" w:eastAsia="zh-CN"/>
        </w:rPr>
        <w:t>261</w:t>
      </w:r>
      <w:r>
        <w:rPr>
          <w:rFonts w:hint="eastAsia"/>
          <w:sz w:val="24"/>
        </w:rPr>
        <w:t>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textAlignment w:val="auto"/>
        <w:outlineLvl w:val="9"/>
        <w:rPr>
          <w:rFonts w:hint="eastAsia"/>
          <w:sz w:val="24"/>
        </w:rPr>
      </w:pPr>
    </w:p>
    <w:p>
      <w:pP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四川省川谷坊酒业有限公司相关债权人：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经原酒担保债权人主张，管理人参照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《全国法院破产审判工作会议纪要》第25条的精神，经人民法院同意，拟通过淘宝网司法拍卖平台公开拍卖原酒，现将起拍价公告如下：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参照《最高人民法院关于人民法院确定财产处置参考价若干问题的规定》第二条规定精神，管理人本着节约费用原则，以邛崃市人民法院2021年期间通过淘宝网拍卖原酒的最高评估单价（邛崃市人民法院拟处置涉案白酒评估项目资产评估报告川智友评字【2020】第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0703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号，每吨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26,498.00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元）作为本案市场价。经担保债权人同意，起拍价为前述市场价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26,498.00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元的70%计算，即本案起拍价为18548.6元。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当事人、利害关系人认为上述起拍价具有下列情形之一的，可以在本公告发布后五日内向邛崃市人民法院提出书面异议： 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管理人按照前述方式估价违反法律规定；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管理人估价严重低于市场价；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邛崃市人民法院在2021年期间在淘宝司法拍卖平台挂网拍卖的评估价比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26,498.00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元有更高。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特此公告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四川省川谷坊酒业有限公司管理人</w:t>
      </w:r>
    </w:p>
    <w:p>
      <w:pPr>
        <w:keepNext w:val="0"/>
        <w:keepLines w:val="0"/>
        <w:widowControl/>
        <w:suppressLineNumbers w:val="0"/>
        <w:ind w:firstLine="4480" w:firstLineChars="1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2021年12月14日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附件：         </w:t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</w:pPr>
      <w:r>
        <w:drawing>
          <wp:inline distT="0" distB="0" distL="114300" distR="114300">
            <wp:extent cx="5272405" cy="3728085"/>
            <wp:effectExtent l="0" t="0" r="4445" b="5715"/>
            <wp:docPr id="3" name="图片 3" descr="评估明细表-邛崃法院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评估明细表-邛崃法院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74CB81"/>
    <w:multiLevelType w:val="singleLevel"/>
    <w:tmpl w:val="3974CB81"/>
    <w:lvl w:ilvl="0" w:tentative="0">
      <w:start w:val="2021"/>
      <w:numFmt w:val="decimal"/>
      <w:suff w:val="nothing"/>
      <w:lvlText w:val="（%1）"/>
      <w:lvlJc w:val="left"/>
    </w:lvl>
  </w:abstractNum>
  <w:abstractNum w:abstractNumId="1">
    <w:nsid w:val="4B5F61B6"/>
    <w:multiLevelType w:val="singleLevel"/>
    <w:tmpl w:val="4B5F61B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94265"/>
    <w:rsid w:val="1BD9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2021-12-14T09:21:00Z</dcterms:created>
  <dc:creator>张懿邈律师</dc:creator>
  <cp:lastModifiedBy>张懿邈律师</cp:lastModifiedBy>
  <dcterms:modified xsi:type="dcterms:W3CDTF">2021-12-14T09:57:50Z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FCEB7F262AD94C3C8078036BF614F04F</vt:lpwstr>
  </property>
</Properties>
</file>