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spacing w:line="360" w:lineRule="auto"/>
        <w:jc w:val="center"/>
        <w:rPr>
          <w:rFonts w:hint="eastAsia" w:ascii="方正粗黑宋简体" w:hAnsi="方正粗黑宋简体" w:eastAsia="方正粗黑宋简体" w:cs="方正粗黑宋简体"/>
          <w:sz w:val="40"/>
          <w:szCs w:val="40"/>
          <w:lang w:val="en-US" w:eastAsia="zh-CN"/>
        </w:rPr>
      </w:pPr>
      <w:r>
        <w:rPr>
          <w:rFonts w:hint="eastAsia" w:ascii="方正粗黑宋简体" w:hAnsi="方正粗黑宋简体" w:eastAsia="方正粗黑宋简体" w:cs="方正粗黑宋简体"/>
          <w:sz w:val="40"/>
          <w:szCs w:val="40"/>
          <w:lang w:val="en-US" w:eastAsia="zh-CN"/>
        </w:rPr>
        <w:t>关于个别债权人对“原酒处置质疑”的答复</w:t>
      </w:r>
    </w:p>
    <w:p>
      <w:pPr>
        <w:pStyle w:val="2"/>
        <w:keepNext w:val="0"/>
        <w:keepLines w:val="0"/>
        <w:pageBreakBefore w:val="0"/>
        <w:widowControl w:val="0"/>
        <w:kinsoku/>
        <w:wordWrap/>
        <w:overflowPunct/>
        <w:topLinePunct w:val="0"/>
        <w:autoSpaceDE/>
        <w:autoSpaceDN/>
        <w:bidi w:val="0"/>
        <w:adjustRightInd/>
        <w:snapToGrid/>
        <w:spacing w:line="500" w:lineRule="exact"/>
        <w:ind w:firstLine="3200" w:firstLineChars="1000"/>
        <w:textAlignment w:val="auto"/>
        <w:rPr>
          <w:rFonts w:hint="eastAsia" w:ascii="仿宋" w:hAnsi="仿宋" w:eastAsia="仿宋" w:cs="仿宋"/>
          <w:sz w:val="32"/>
          <w:szCs w:val="32"/>
          <w:lang w:val="en-US" w:eastAsia="zh-CN"/>
        </w:rPr>
      </w:pPr>
      <w:r>
        <w:rPr>
          <w:rFonts w:hint="eastAsia" w:ascii="仿宋" w:hAnsi="仿宋" w:eastAsia="仿宋" w:cs="仿宋"/>
          <w:sz w:val="32"/>
          <w:szCs w:val="32"/>
        </w:rPr>
        <w:t>（2021）川谷坊破管字第</w:t>
      </w:r>
      <w:r>
        <w:rPr>
          <w:rFonts w:hint="eastAsia" w:ascii="仿宋" w:hAnsi="仿宋" w:eastAsia="仿宋" w:cs="仿宋"/>
          <w:sz w:val="32"/>
          <w:szCs w:val="32"/>
          <w:lang w:val="en-US" w:eastAsia="zh-CN"/>
        </w:rPr>
        <w:t>477号</w:t>
      </w:r>
    </w:p>
    <w:p>
      <w:pPr>
        <w:pStyle w:val="2"/>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一、事实</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1.川谷坊名下的酒罐内原酒</w:t>
      </w:r>
      <w:r>
        <w:rPr>
          <w:rFonts w:hint="eastAsia" w:ascii="仿宋" w:hAnsi="仿宋" w:eastAsia="仿宋" w:cs="仿宋"/>
          <w:sz w:val="32"/>
          <w:szCs w:val="32"/>
          <w:u w:val="single"/>
          <w:lang w:val="en-US" w:eastAsia="zh-CN"/>
        </w:rPr>
        <w:t>均设有抵押权或质押权或留置权且基本为酒精调制</w:t>
      </w:r>
      <w:r>
        <w:rPr>
          <w:rFonts w:hint="eastAsia" w:ascii="仿宋" w:hAnsi="仿宋" w:eastAsia="仿宋" w:cs="仿宋"/>
          <w:sz w:val="32"/>
          <w:szCs w:val="32"/>
          <w:lang w:val="en-US" w:eastAsia="zh-CN"/>
        </w:rPr>
        <w:t>（</w:t>
      </w:r>
      <w:r>
        <w:rPr>
          <w:rFonts w:hint="eastAsia" w:ascii="仿宋" w:hAnsi="仿宋" w:eastAsia="仿宋" w:cs="仿宋"/>
          <w:b/>
          <w:bCs/>
          <w:sz w:val="32"/>
          <w:szCs w:val="32"/>
          <w:lang w:val="en-US" w:eastAsia="zh-CN"/>
        </w:rPr>
        <w:t>未设置抵押权的成品酒，仍有3060件在库房</w:t>
      </w:r>
      <w:r>
        <w:rPr>
          <w:rFonts w:hint="eastAsia" w:ascii="仿宋" w:hAnsi="仿宋" w:eastAsia="仿宋" w:cs="仿宋"/>
          <w:sz w:val="32"/>
          <w:szCs w:val="32"/>
          <w:lang w:val="en-US" w:eastAsia="zh-CN"/>
        </w:rPr>
        <w:t>，大多为38度，无法销售）。</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2.</w:t>
      </w:r>
      <w:r>
        <w:rPr>
          <w:rFonts w:hint="eastAsia" w:ascii="仿宋" w:hAnsi="仿宋" w:eastAsia="仿宋" w:cs="仿宋"/>
          <w:sz w:val="32"/>
          <w:szCs w:val="32"/>
          <w:lang w:val="en-US" w:eastAsia="zh-CN"/>
        </w:rPr>
        <w:t>管理人</w:t>
      </w:r>
      <w:r>
        <w:rPr>
          <w:rFonts w:hint="eastAsia" w:ascii="仿宋" w:hAnsi="仿宋" w:eastAsia="仿宋" w:cs="仿宋"/>
          <w:sz w:val="32"/>
          <w:szCs w:val="32"/>
        </w:rPr>
        <w:t>根据</w:t>
      </w:r>
      <w:r>
        <w:rPr>
          <w:rFonts w:hint="eastAsia" w:ascii="仿宋" w:hAnsi="仿宋" w:eastAsia="仿宋" w:cs="仿宋"/>
          <w:b/>
          <w:bCs/>
          <w:sz w:val="32"/>
          <w:szCs w:val="32"/>
        </w:rPr>
        <w:t>邛崃市人民法院院的批复，</w:t>
      </w:r>
      <w:r>
        <w:rPr>
          <w:rFonts w:hint="eastAsia" w:ascii="仿宋" w:hAnsi="仿宋" w:eastAsia="仿宋" w:cs="仿宋"/>
          <w:sz w:val="32"/>
          <w:szCs w:val="32"/>
        </w:rPr>
        <w:t>自2022年开始对部分原酒</w:t>
      </w:r>
      <w:r>
        <w:rPr>
          <w:rFonts w:hint="eastAsia" w:ascii="仿宋" w:hAnsi="仿宋" w:eastAsia="仿宋" w:cs="仿宋"/>
          <w:sz w:val="32"/>
          <w:szCs w:val="32"/>
          <w:lang w:val="en-US" w:eastAsia="zh-CN"/>
        </w:rPr>
        <w:t>在淘宝阿里拍卖平台进行公开</w:t>
      </w:r>
      <w:r>
        <w:rPr>
          <w:rFonts w:hint="eastAsia" w:ascii="仿宋" w:hAnsi="仿宋" w:eastAsia="仿宋" w:cs="仿宋"/>
          <w:sz w:val="32"/>
          <w:szCs w:val="32"/>
        </w:rPr>
        <w:t>挂网拍卖，</w:t>
      </w:r>
      <w:r>
        <w:rPr>
          <w:rFonts w:hint="eastAsia" w:ascii="仿宋" w:hAnsi="仿宋" w:eastAsia="仿宋" w:cs="仿宋"/>
          <w:sz w:val="32"/>
          <w:szCs w:val="32"/>
          <w:lang w:val="en-US" w:eastAsia="zh-CN"/>
        </w:rPr>
        <w:t>挂网10余酒罐，</w:t>
      </w:r>
      <w:r>
        <w:rPr>
          <w:rFonts w:hint="eastAsia" w:ascii="仿宋" w:hAnsi="仿宋" w:eastAsia="仿宋" w:cs="仿宋"/>
          <w:b/>
          <w:bCs/>
          <w:sz w:val="32"/>
          <w:szCs w:val="32"/>
          <w:lang w:val="en-US" w:eastAsia="zh-CN"/>
        </w:rPr>
        <w:t>无一罐成交。</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3.</w:t>
      </w:r>
      <w:r>
        <w:rPr>
          <w:rFonts w:hint="eastAsia" w:ascii="仿宋" w:hAnsi="仿宋" w:eastAsia="仿宋" w:cs="仿宋"/>
          <w:sz w:val="32"/>
          <w:szCs w:val="32"/>
        </w:rPr>
        <w:t>管理人</w:t>
      </w:r>
      <w:r>
        <w:rPr>
          <w:rFonts w:hint="eastAsia" w:ascii="仿宋" w:hAnsi="仿宋" w:eastAsia="仿宋" w:cs="仿宋"/>
          <w:sz w:val="32"/>
          <w:szCs w:val="32"/>
          <w:lang w:val="en-US" w:eastAsia="zh-CN"/>
        </w:rPr>
        <w:t>2022 年12月30 日召开</w:t>
      </w:r>
      <w:r>
        <w:rPr>
          <w:rFonts w:hint="eastAsia" w:ascii="仿宋" w:hAnsi="仿宋" w:eastAsia="仿宋" w:cs="仿宋"/>
          <w:sz w:val="32"/>
          <w:szCs w:val="32"/>
        </w:rPr>
        <w:t>四川省川谷坊酒业有限公司破产清算案第七次债权人</w:t>
      </w:r>
      <w:r>
        <w:rPr>
          <w:rFonts w:hint="eastAsia" w:ascii="仿宋" w:hAnsi="仿宋" w:eastAsia="仿宋" w:cs="仿宋"/>
          <w:sz w:val="32"/>
          <w:szCs w:val="32"/>
          <w:lang w:val="en-US" w:eastAsia="zh-CN"/>
        </w:rPr>
        <w:t>非现场</w:t>
      </w:r>
      <w:r>
        <w:rPr>
          <w:rFonts w:hint="eastAsia" w:ascii="仿宋" w:hAnsi="仿宋" w:eastAsia="仿宋" w:cs="仿宋"/>
          <w:sz w:val="32"/>
          <w:szCs w:val="32"/>
        </w:rPr>
        <w:t>会议</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提请表决《</w:t>
      </w:r>
      <w:r>
        <w:rPr>
          <w:rFonts w:hint="eastAsia" w:ascii="仿宋" w:hAnsi="仿宋" w:eastAsia="仿宋" w:cs="仿宋"/>
          <w:sz w:val="32"/>
          <w:szCs w:val="32"/>
        </w:rPr>
        <w:t>原酒变价方案</w:t>
      </w:r>
      <w:r>
        <w:rPr>
          <w:rFonts w:hint="eastAsia" w:ascii="仿宋" w:hAnsi="仿宋" w:eastAsia="仿宋" w:cs="仿宋"/>
          <w:sz w:val="32"/>
          <w:szCs w:val="32"/>
          <w:lang w:val="en-US" w:eastAsia="zh-CN"/>
        </w:rPr>
        <w:t>》</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表决期限（</w:t>
      </w:r>
      <w:r>
        <w:rPr>
          <w:rFonts w:hint="eastAsia" w:ascii="仿宋" w:hAnsi="仿宋" w:eastAsia="仿宋" w:cs="仿宋"/>
          <w:sz w:val="32"/>
          <w:szCs w:val="32"/>
          <w:lang w:val="en-US" w:eastAsia="zh-CN"/>
        </w:rPr>
        <w:t>2022 年12月14日-2023年1月5日</w:t>
      </w:r>
      <w:r>
        <w:rPr>
          <w:rFonts w:hint="eastAsia" w:ascii="仿宋" w:hAnsi="仿宋" w:eastAsia="仿宋" w:cs="仿宋"/>
          <w:sz w:val="32"/>
          <w:szCs w:val="32"/>
          <w:lang w:val="en-US" w:eastAsia="zh-CN"/>
        </w:rPr>
        <w:t>）</w:t>
      </w:r>
      <w:r>
        <w:rPr>
          <w:rFonts w:hint="eastAsia" w:ascii="仿宋" w:hAnsi="仿宋" w:eastAsia="仿宋" w:cs="仿宋"/>
          <w:sz w:val="32"/>
          <w:szCs w:val="32"/>
          <w:lang w:val="en-US" w:eastAsia="zh-CN"/>
        </w:rPr>
        <w:t>共收到二家债权人反对表决票。依据《议事规则》第二十条“抑或是在规定时间内不交回表决票者，均视为同意”的规定，</w:t>
      </w:r>
      <w:r>
        <w:rPr>
          <w:rFonts w:hint="eastAsia" w:ascii="仿宋" w:hAnsi="仿宋" w:eastAsia="仿宋" w:cs="仿宋"/>
          <w:b/>
          <w:bCs/>
          <w:sz w:val="32"/>
          <w:szCs w:val="32"/>
          <w:lang w:val="en-US" w:eastAsia="zh-CN"/>
        </w:rPr>
        <w:t>《原酒变价方案》通过（</w:t>
      </w:r>
      <w:r>
        <w:rPr>
          <w:rFonts w:hint="eastAsia" w:ascii="仿宋" w:hAnsi="仿宋" w:eastAsia="仿宋" w:cs="仿宋"/>
          <w:b/>
          <w:bCs/>
          <w:sz w:val="32"/>
          <w:szCs w:val="32"/>
          <w:lang w:val="en-US" w:eastAsia="zh-CN"/>
        </w:rPr>
        <w:t>主要内容是持续降价拍卖原酒</w:t>
      </w:r>
      <w:r>
        <w:rPr>
          <w:rFonts w:hint="eastAsia" w:ascii="仿宋" w:hAnsi="仿宋" w:eastAsia="仿宋" w:cs="仿宋"/>
          <w:sz w:val="32"/>
          <w:szCs w:val="32"/>
          <w:lang w:val="en-US" w:eastAsia="zh-CN"/>
        </w:rPr>
        <w:t>）。</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4.依据法律规定，每次降价后，若继续拍卖，需经担保债权人同意，担保债权人可以选择继续拍卖或以物抵债，至今，原酒担保债权人未提出异议。</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5.管理人经担保债权人同意，</w:t>
      </w:r>
      <w:r>
        <w:rPr>
          <w:rFonts w:hint="eastAsia" w:ascii="仿宋" w:hAnsi="仿宋" w:eastAsia="仿宋" w:cs="仿宋"/>
          <w:sz w:val="32"/>
          <w:szCs w:val="32"/>
        </w:rPr>
        <w:t>先后经10次</w:t>
      </w:r>
      <w:r>
        <w:rPr>
          <w:rFonts w:hint="eastAsia" w:ascii="仿宋" w:hAnsi="仿宋" w:eastAsia="仿宋" w:cs="仿宋"/>
          <w:sz w:val="32"/>
          <w:szCs w:val="32"/>
          <w:lang w:val="en-US" w:eastAsia="zh-CN"/>
        </w:rPr>
        <w:t>公开</w:t>
      </w:r>
      <w:r>
        <w:rPr>
          <w:rFonts w:hint="eastAsia" w:ascii="仿宋" w:hAnsi="仿宋" w:eastAsia="仿宋" w:cs="仿宋"/>
          <w:sz w:val="32"/>
          <w:szCs w:val="32"/>
        </w:rPr>
        <w:t>降价</w:t>
      </w:r>
      <w:r>
        <w:rPr>
          <w:rFonts w:hint="eastAsia" w:ascii="仿宋" w:hAnsi="仿宋" w:eastAsia="仿宋" w:cs="仿宋"/>
          <w:sz w:val="32"/>
          <w:szCs w:val="32"/>
          <w:lang w:val="en-US" w:eastAsia="zh-CN"/>
        </w:rPr>
        <w:t>拍卖</w:t>
      </w:r>
      <w:r>
        <w:rPr>
          <w:rFonts w:hint="eastAsia" w:ascii="仿宋" w:hAnsi="仿宋" w:eastAsia="仿宋" w:cs="仿宋"/>
          <w:sz w:val="32"/>
          <w:szCs w:val="32"/>
        </w:rPr>
        <w:t>，其中四罐于</w:t>
      </w:r>
      <w:r>
        <w:rPr>
          <w:rFonts w:hint="eastAsia" w:ascii="仿宋" w:hAnsi="仿宋" w:eastAsia="仿宋" w:cs="仿宋"/>
          <w:b/>
          <w:bCs/>
          <w:sz w:val="32"/>
          <w:szCs w:val="32"/>
        </w:rPr>
        <w:t>2023年5月2日至3日开拍，单价为每吨2489.56元，两罐成交，两罐流拍</w:t>
      </w:r>
      <w:r>
        <w:rPr>
          <w:rFonts w:hint="eastAsia" w:ascii="仿宋" w:hAnsi="仿宋" w:eastAsia="仿宋" w:cs="仿宋"/>
          <w:b/>
          <w:bCs/>
          <w:sz w:val="32"/>
          <w:szCs w:val="32"/>
          <w:lang w:eastAsia="zh-CN"/>
        </w:rPr>
        <w:t>。</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6</w:t>
      </w:r>
      <w:r>
        <w:rPr>
          <w:rFonts w:hint="eastAsia" w:ascii="仿宋" w:hAnsi="仿宋" w:eastAsia="仿宋" w:cs="仿宋"/>
          <w:sz w:val="32"/>
          <w:szCs w:val="32"/>
        </w:rPr>
        <w:t>.</w:t>
      </w:r>
      <w:r>
        <w:rPr>
          <w:rFonts w:hint="eastAsia" w:ascii="仿宋" w:hAnsi="仿宋" w:eastAsia="仿宋" w:cs="仿宋"/>
          <w:sz w:val="32"/>
          <w:szCs w:val="32"/>
          <w:lang w:val="en-US" w:eastAsia="zh-CN"/>
        </w:rPr>
        <w:t>管理人</w:t>
      </w:r>
      <w:r>
        <w:rPr>
          <w:rFonts w:hint="eastAsia" w:ascii="仿宋" w:hAnsi="仿宋" w:eastAsia="仿宋" w:cs="仿宋"/>
          <w:sz w:val="32"/>
          <w:szCs w:val="32"/>
        </w:rPr>
        <w:t>通过邀标方式</w:t>
      </w:r>
      <w:r>
        <w:rPr>
          <w:rFonts w:hint="eastAsia" w:ascii="仿宋" w:hAnsi="仿宋" w:eastAsia="仿宋" w:cs="仿宋"/>
          <w:sz w:val="32"/>
          <w:szCs w:val="32"/>
          <w:lang w:val="en-US" w:eastAsia="zh-CN"/>
        </w:rPr>
        <w:t>确定</w:t>
      </w:r>
      <w:r>
        <w:rPr>
          <w:rFonts w:hint="eastAsia" w:ascii="仿宋" w:hAnsi="仿宋" w:eastAsia="仿宋" w:cs="仿宋"/>
          <w:sz w:val="32"/>
          <w:szCs w:val="32"/>
        </w:rPr>
        <w:t>四川天信资产评估有限公司</w:t>
      </w:r>
      <w:r>
        <w:rPr>
          <w:rFonts w:hint="eastAsia" w:ascii="仿宋" w:hAnsi="仿宋" w:eastAsia="仿宋" w:cs="仿宋"/>
          <w:sz w:val="32"/>
          <w:szCs w:val="32"/>
          <w:lang w:val="en-US" w:eastAsia="zh-CN"/>
        </w:rPr>
        <w:t>为评估机构，对未成交或流拍的原酒进行了评估</w:t>
      </w:r>
      <w:r>
        <w:rPr>
          <w:rFonts w:hint="eastAsia" w:ascii="仿宋" w:hAnsi="仿宋" w:eastAsia="仿宋" w:cs="仿宋"/>
          <w:sz w:val="32"/>
          <w:szCs w:val="32"/>
        </w:rPr>
        <w:t>。</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7</w:t>
      </w:r>
      <w:r>
        <w:rPr>
          <w:rFonts w:hint="eastAsia" w:ascii="仿宋" w:hAnsi="仿宋" w:eastAsia="仿宋" w:cs="仿宋"/>
          <w:sz w:val="32"/>
          <w:szCs w:val="32"/>
        </w:rPr>
        <w:t>.</w:t>
      </w:r>
      <w:r>
        <w:rPr>
          <w:rFonts w:hint="eastAsia" w:ascii="仿宋" w:hAnsi="仿宋" w:eastAsia="仿宋" w:cs="仿宋"/>
          <w:sz w:val="32"/>
          <w:szCs w:val="32"/>
          <w:lang w:val="en-US" w:eastAsia="zh-CN"/>
        </w:rPr>
        <w:t>管理人与愿意以物抵债的原酒担保债权人签订《以物抵债协议》，上海银行成都银行不愿意签订《以物抵债协议》，管理人继续对其进行拍卖并成交。</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default" w:ascii="仿宋" w:hAnsi="仿宋" w:eastAsia="仿宋" w:cs="仿宋"/>
          <w:sz w:val="32"/>
          <w:szCs w:val="32"/>
          <w:lang w:val="en-US" w:eastAsia="zh-CN"/>
        </w:rPr>
      </w:pPr>
      <w:r>
        <w:rPr>
          <w:rFonts w:hint="eastAsia" w:ascii="仿宋" w:hAnsi="仿宋" w:eastAsia="仿宋" w:cs="仿宋"/>
          <w:sz w:val="32"/>
          <w:szCs w:val="32"/>
          <w:lang w:val="en-US" w:eastAsia="zh-CN"/>
        </w:rPr>
        <w:t>8.2023年10月23日管理人在专用微信朋友圈公示，川谷坊</w:t>
      </w:r>
      <w:r>
        <w:rPr>
          <w:rFonts w:hint="eastAsia" w:ascii="仿宋" w:hAnsi="仿宋" w:eastAsia="仿宋" w:cs="仿宋"/>
          <w:b/>
          <w:bCs/>
          <w:sz w:val="32"/>
          <w:szCs w:val="32"/>
          <w:lang w:val="en-US" w:eastAsia="zh-CN"/>
        </w:rPr>
        <w:t>全部原酒处置结束</w:t>
      </w:r>
      <w:r>
        <w:rPr>
          <w:rFonts w:hint="eastAsia" w:ascii="仿宋" w:hAnsi="仿宋" w:eastAsia="仿宋" w:cs="仿宋"/>
          <w:sz w:val="32"/>
          <w:szCs w:val="32"/>
          <w:lang w:val="en-US" w:eastAsia="zh-CN"/>
        </w:rPr>
        <w:t>（重整草案公布前，部分原酒担保权人与投资人指定人员签署变更协议，部分以物抵债的原酒纳入重整范围）。</w:t>
      </w:r>
    </w:p>
    <w:p>
      <w:pPr>
        <w:pStyle w:val="2"/>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b/>
          <w:bCs/>
          <w:sz w:val="32"/>
          <w:szCs w:val="32"/>
          <w:lang w:val="en-US" w:eastAsia="zh-CN"/>
        </w:rPr>
      </w:pPr>
      <w:r>
        <w:rPr>
          <w:rFonts w:hint="eastAsia" w:ascii="仿宋" w:hAnsi="仿宋" w:eastAsia="仿宋" w:cs="仿宋"/>
          <w:b/>
          <w:bCs/>
          <w:sz w:val="32"/>
          <w:szCs w:val="32"/>
          <w:lang w:val="en-US" w:eastAsia="zh-CN"/>
        </w:rPr>
        <w:t>二、依据</w:t>
      </w:r>
    </w:p>
    <w:p>
      <w:pPr>
        <w:pStyle w:val="2"/>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1.原酒担保债权人主张。</w:t>
      </w:r>
      <w:r>
        <w:rPr>
          <w:rFonts w:hint="eastAsia" w:ascii="仿宋" w:hAnsi="仿宋" w:eastAsia="仿宋" w:cs="仿宋"/>
          <w:sz w:val="32"/>
          <w:szCs w:val="32"/>
          <w:lang w:val="en-US" w:eastAsia="zh-CN"/>
        </w:rPr>
        <w:t>2021年11月26日管理人组织全体原酒抵押债权人开会，会议结论：一致不同意重整，并申请管理人尽快处置原酒。</w:t>
      </w:r>
    </w:p>
    <w:p>
      <w:pPr>
        <w:pStyle w:val="2"/>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2.法院同意。</w:t>
      </w:r>
      <w:r>
        <w:rPr>
          <w:rFonts w:hint="eastAsia" w:ascii="仿宋" w:hAnsi="仿宋" w:eastAsia="仿宋" w:cs="仿宋"/>
          <w:sz w:val="32"/>
          <w:szCs w:val="32"/>
          <w:lang w:val="en-US" w:eastAsia="zh-CN"/>
        </w:rPr>
        <w:t>邛崃市人民法院批复同意原酒担保债权人的请求，准许管理人处置（该批复长期粘贴在川谷坊公司大门口）。</w:t>
      </w:r>
    </w:p>
    <w:p>
      <w:pPr>
        <w:pStyle w:val="2"/>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仿宋" w:hAnsi="仿宋" w:eastAsia="仿宋" w:cs="仿宋"/>
          <w:sz w:val="32"/>
          <w:szCs w:val="32"/>
          <w:lang w:val="en-US" w:eastAsia="zh-CN"/>
        </w:rPr>
      </w:pPr>
      <w:r>
        <w:rPr>
          <w:rFonts w:hint="eastAsia" w:ascii="仿宋" w:hAnsi="仿宋" w:eastAsia="仿宋" w:cs="仿宋"/>
          <w:b/>
          <w:bCs/>
          <w:sz w:val="32"/>
          <w:szCs w:val="32"/>
          <w:lang w:val="en-US" w:eastAsia="zh-CN"/>
        </w:rPr>
        <w:t>3.公开处置。</w:t>
      </w:r>
      <w:r>
        <w:rPr>
          <w:rFonts w:hint="eastAsia" w:ascii="仿宋" w:hAnsi="仿宋" w:eastAsia="仿宋" w:cs="仿宋"/>
          <w:sz w:val="32"/>
          <w:szCs w:val="32"/>
          <w:lang w:val="en-US" w:eastAsia="zh-CN"/>
        </w:rPr>
        <w:t>淘宝网阿里拍卖中搜索“川谷坊”可见。</w:t>
      </w:r>
    </w:p>
    <w:p>
      <w:pPr>
        <w:pStyle w:val="2"/>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eastAsia" w:ascii="仿宋" w:hAnsi="仿宋" w:eastAsia="仿宋" w:cs="仿宋"/>
          <w:sz w:val="32"/>
          <w:szCs w:val="32"/>
          <w:lang w:val="en-US" w:eastAsia="zh-CN"/>
        </w:rPr>
      </w:pPr>
      <w:r>
        <w:rPr>
          <w:rFonts w:hint="eastAsia" w:ascii="仿宋" w:hAnsi="仿宋" w:eastAsia="仿宋" w:cs="仿宋"/>
          <w:b/>
          <w:bCs/>
          <w:sz w:val="32"/>
          <w:szCs w:val="32"/>
          <w:lang w:val="en-US" w:eastAsia="zh-CN"/>
        </w:rPr>
        <w:t>4.法律支持。</w:t>
      </w:r>
      <w:r>
        <w:rPr>
          <w:rFonts w:hint="eastAsia" w:ascii="仿宋" w:hAnsi="仿宋" w:eastAsia="仿宋" w:cs="仿宋"/>
          <w:sz w:val="32"/>
          <w:szCs w:val="32"/>
          <w:lang w:val="en-US" w:eastAsia="zh-CN"/>
        </w:rPr>
        <w:t>《全国法院破产审判工作会议纪要》第25条“在破产清算和破产和解程序中，</w:t>
      </w:r>
      <w:r>
        <w:rPr>
          <w:rFonts w:hint="eastAsia" w:ascii="仿宋" w:hAnsi="仿宋" w:eastAsia="仿宋" w:cs="仿宋"/>
          <w:b/>
          <w:bCs/>
          <w:sz w:val="32"/>
          <w:szCs w:val="32"/>
          <w:u w:val="single"/>
          <w:lang w:val="en-US" w:eastAsia="zh-CN"/>
        </w:rPr>
        <w:t>对债务人特定财产享有担保权的债权人可以随时向管理人主张就该特定财产变价处置行使优先受偿权，管理人应及时变价处置，不得以须经债权人会议决议等为由拒绝</w:t>
      </w:r>
      <w:r>
        <w:rPr>
          <w:rFonts w:hint="eastAsia" w:ascii="仿宋" w:hAnsi="仿宋" w:eastAsia="仿宋" w:cs="仿宋"/>
          <w:sz w:val="32"/>
          <w:szCs w:val="32"/>
          <w:lang w:val="en-US" w:eastAsia="zh-CN"/>
        </w:rPr>
        <w:t>”。换言之，管理人不处置，属于不当履职。</w:t>
      </w:r>
    </w:p>
    <w:p>
      <w:pPr>
        <w:pStyle w:val="2"/>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仿宋" w:hAnsi="仿宋" w:eastAsia="仿宋" w:cs="仿宋"/>
          <w:b/>
          <w:bCs/>
          <w:sz w:val="32"/>
          <w:szCs w:val="32"/>
          <w:lang w:val="en-US" w:eastAsia="zh-CN"/>
        </w:rPr>
      </w:pPr>
      <w:r>
        <w:rPr>
          <w:rFonts w:hint="eastAsia" w:ascii="仿宋" w:hAnsi="仿宋" w:eastAsia="仿宋" w:cs="仿宋"/>
          <w:b/>
          <w:bCs/>
          <w:sz w:val="32"/>
          <w:szCs w:val="32"/>
          <w:lang w:val="en-US" w:eastAsia="zh-CN"/>
        </w:rPr>
        <w:t>三、过程</w:t>
      </w:r>
    </w:p>
    <w:p>
      <w:pPr>
        <w:pStyle w:val="2"/>
        <w:keepNext w:val="0"/>
        <w:keepLines w:val="0"/>
        <w:pageBreakBefore w:val="0"/>
        <w:widowControl w:val="0"/>
        <w:kinsoku/>
        <w:wordWrap/>
        <w:overflowPunct/>
        <w:topLinePunct w:val="0"/>
        <w:autoSpaceDE/>
        <w:autoSpaceDN/>
        <w:bidi w:val="0"/>
        <w:adjustRightInd/>
        <w:snapToGrid/>
        <w:spacing w:line="500" w:lineRule="exact"/>
        <w:ind w:firstLine="640" w:firstLineChars="200"/>
        <w:textAlignment w:val="auto"/>
        <w:rPr>
          <w:rFonts w:hint="eastAsia" w:ascii="仿宋" w:hAnsi="仿宋" w:eastAsia="仿宋" w:cs="仿宋"/>
          <w:b/>
          <w:bCs/>
          <w:sz w:val="32"/>
          <w:szCs w:val="32"/>
          <w:lang w:val="en-US" w:eastAsia="zh-CN"/>
        </w:rPr>
      </w:pPr>
      <w:r>
        <w:rPr>
          <w:rFonts w:hint="eastAsia" w:ascii="仿宋" w:hAnsi="仿宋" w:eastAsia="仿宋" w:cs="仿宋"/>
          <w:sz w:val="32"/>
          <w:szCs w:val="32"/>
          <w:lang w:val="en-US" w:eastAsia="zh-CN"/>
        </w:rPr>
        <w:t>管理人一心试图重整，在原酒抵押债权人要求先行处置期间，</w:t>
      </w:r>
      <w:r>
        <w:rPr>
          <w:rFonts w:hint="eastAsia" w:ascii="仿宋" w:hAnsi="仿宋" w:eastAsia="仿宋" w:cs="仿宋"/>
          <w:b/>
          <w:bCs/>
          <w:sz w:val="32"/>
          <w:szCs w:val="32"/>
          <w:lang w:val="en-US" w:eastAsia="zh-CN"/>
        </w:rPr>
        <w:t>管理人曾多次组织普通债权人研究“债转股、恢复营业”等自救方案，但均被拒绝，期间原酒担保权人多次投诉管理人（理由：恶意拖延时间、增加成本、丧失交易机会）。</w:t>
      </w:r>
    </w:p>
    <w:p>
      <w:pPr>
        <w:pStyle w:val="2"/>
        <w:keepNext w:val="0"/>
        <w:keepLines w:val="0"/>
        <w:pageBreakBefore w:val="0"/>
        <w:widowControl w:val="0"/>
        <w:kinsoku/>
        <w:wordWrap/>
        <w:overflowPunct/>
        <w:topLinePunct w:val="0"/>
        <w:autoSpaceDE/>
        <w:autoSpaceDN/>
        <w:bidi w:val="0"/>
        <w:adjustRightInd/>
        <w:snapToGrid/>
        <w:spacing w:line="500" w:lineRule="exact"/>
        <w:ind w:firstLine="643" w:firstLineChars="200"/>
        <w:textAlignment w:val="auto"/>
        <w:rPr>
          <w:rFonts w:hint="default" w:ascii="仿宋" w:hAnsi="仿宋" w:eastAsia="仿宋" w:cs="仿宋"/>
          <w:b/>
          <w:bCs/>
          <w:sz w:val="32"/>
          <w:szCs w:val="32"/>
          <w:lang w:val="en-US" w:eastAsia="zh-CN"/>
        </w:rPr>
      </w:pPr>
    </w:p>
    <w:p>
      <w:pPr>
        <w:pStyle w:val="2"/>
        <w:keepNext w:val="0"/>
        <w:keepLines w:val="0"/>
        <w:pageBreakBefore w:val="0"/>
        <w:widowControl w:val="0"/>
        <w:kinsoku/>
        <w:wordWrap/>
        <w:overflowPunct/>
        <w:topLinePunct w:val="0"/>
        <w:autoSpaceDE/>
        <w:autoSpaceDN/>
        <w:bidi w:val="0"/>
        <w:adjustRightInd/>
        <w:snapToGrid/>
        <w:spacing w:line="500" w:lineRule="exact"/>
        <w:ind w:firstLine="2240" w:firstLineChars="700"/>
        <w:textAlignment w:val="auto"/>
        <w:rPr>
          <w:rFonts w:hint="eastAsia" w:ascii="仿宋" w:hAnsi="仿宋" w:eastAsia="仿宋" w:cs="仿宋"/>
          <w:sz w:val="32"/>
          <w:szCs w:val="32"/>
        </w:rPr>
      </w:pPr>
      <w:r>
        <w:rPr>
          <w:rFonts w:hint="eastAsia" w:ascii="仿宋" w:hAnsi="仿宋" w:eastAsia="仿宋" w:cs="仿宋"/>
          <w:sz w:val="32"/>
          <w:szCs w:val="32"/>
        </w:rPr>
        <w:t>四川省川谷坊酒业有限公司管理人</w:t>
      </w:r>
    </w:p>
    <w:p>
      <w:pPr>
        <w:pStyle w:val="2"/>
        <w:keepNext w:val="0"/>
        <w:keepLines w:val="0"/>
        <w:pageBreakBefore w:val="0"/>
        <w:widowControl w:val="0"/>
        <w:kinsoku/>
        <w:wordWrap/>
        <w:overflowPunct/>
        <w:topLinePunct w:val="0"/>
        <w:autoSpaceDE/>
        <w:autoSpaceDN/>
        <w:bidi w:val="0"/>
        <w:adjustRightInd/>
        <w:snapToGrid/>
        <w:spacing w:line="500" w:lineRule="exact"/>
        <w:ind w:firstLine="3200" w:firstLineChars="1000"/>
        <w:textAlignment w:val="auto"/>
        <w:rPr>
          <w:rFonts w:hint="eastAsia" w:ascii="仿宋" w:hAnsi="仿宋" w:eastAsia="仿宋" w:cs="仿宋"/>
          <w:sz w:val="32"/>
          <w:szCs w:val="32"/>
        </w:rPr>
      </w:pPr>
      <w:r>
        <w:rPr>
          <w:rFonts w:hint="eastAsia" w:ascii="仿宋" w:hAnsi="仿宋" w:eastAsia="仿宋" w:cs="仿宋"/>
          <w:sz w:val="32"/>
          <w:szCs w:val="32"/>
        </w:rPr>
        <w:t xml:space="preserve">2024 年 </w:t>
      </w:r>
      <w:r>
        <w:rPr>
          <w:rFonts w:hint="eastAsia" w:ascii="仿宋" w:hAnsi="仿宋" w:eastAsia="仿宋" w:cs="仿宋"/>
          <w:sz w:val="32"/>
          <w:szCs w:val="32"/>
          <w:lang w:val="en-US" w:eastAsia="zh-CN"/>
        </w:rPr>
        <w:t>2</w:t>
      </w:r>
      <w:r>
        <w:rPr>
          <w:rFonts w:hint="eastAsia" w:ascii="仿宋" w:hAnsi="仿宋" w:eastAsia="仿宋" w:cs="仿宋"/>
          <w:sz w:val="32"/>
          <w:szCs w:val="32"/>
        </w:rPr>
        <w:t>月</w:t>
      </w:r>
      <w:r>
        <w:rPr>
          <w:rFonts w:hint="eastAsia" w:ascii="仿宋" w:hAnsi="仿宋" w:eastAsia="仿宋" w:cs="仿宋"/>
          <w:sz w:val="32"/>
          <w:szCs w:val="32"/>
          <w:lang w:val="en-US" w:eastAsia="zh-CN"/>
        </w:rPr>
        <w:t>28</w:t>
      </w:r>
      <w:r>
        <w:rPr>
          <w:rFonts w:hint="eastAsia" w:ascii="仿宋" w:hAnsi="仿宋" w:eastAsia="仿宋" w:cs="仿宋"/>
          <w:sz w:val="32"/>
          <w:szCs w:val="32"/>
        </w:rPr>
        <w:t>日</w:t>
      </w:r>
    </w:p>
    <w:p>
      <w:pPr>
        <w:keepNext w:val="0"/>
        <w:keepLines w:val="0"/>
        <w:pageBreakBefore w:val="0"/>
        <w:widowControl w:val="0"/>
        <w:kinsoku/>
        <w:wordWrap/>
        <w:overflowPunct/>
        <w:topLinePunct w:val="0"/>
        <w:autoSpaceDE/>
        <w:autoSpaceDN/>
        <w:bidi w:val="0"/>
        <w:adjustRightInd/>
        <w:snapToGrid/>
        <w:spacing w:line="500" w:lineRule="exact"/>
        <w:textAlignment w:val="auto"/>
      </w:pPr>
      <w:bookmarkStart w:id="0" w:name="_GoBack"/>
      <w:bookmarkEnd w:id="0"/>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EA9FE045-9B31-4E71-B487-7110F3AB9AE5}"/>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embedRegular r:id="rId2" w:fontKey="{05DF79A5-C2F2-41EC-872D-4BC5E13CBC7E}"/>
  </w:font>
  <w:font w:name="方正仿宋_GBK">
    <w:panose1 w:val="02000000000000000000"/>
    <w:charset w:val="86"/>
    <w:family w:val="auto"/>
    <w:pitch w:val="default"/>
    <w:sig w:usb0="A00002BF" w:usb1="38CF7CFA" w:usb2="00082016" w:usb3="00000000" w:csb0="00040001" w:csb1="00000000"/>
  </w:font>
  <w:font w:name="Calibri Light">
    <w:panose1 w:val="020F0302020204030204"/>
    <w:charset w:val="00"/>
    <w:family w:val="auto"/>
    <w:pitch w:val="default"/>
    <w:sig w:usb0="E4002EFF" w:usb1="C000247B" w:usb2="00000009" w:usb3="00000000" w:csb0="200001FF" w:csb1="00000000"/>
  </w:font>
  <w:font w:name="华文仿宋">
    <w:panose1 w:val="02010600040101010101"/>
    <w:charset w:val="86"/>
    <w:family w:val="auto"/>
    <w:pitch w:val="default"/>
    <w:sig w:usb0="00000287" w:usb1="080F0000" w:usb2="00000000" w:usb3="00000000" w:csb0="0004009F" w:csb1="DFD70000"/>
  </w:font>
  <w:font w:name="方正公文小标宋">
    <w:panose1 w:val="02000500000000000000"/>
    <w:charset w:val="86"/>
    <w:family w:val="auto"/>
    <w:pitch w:val="default"/>
    <w:sig w:usb0="A00002BF" w:usb1="38CF7CFA" w:usb2="00000016" w:usb3="00000000" w:csb0="00040001" w:csb1="00000000"/>
  </w:font>
  <w:font w:name="方正鲁迅行书 简">
    <w:panose1 w:val="02000500000000000000"/>
    <w:charset w:val="86"/>
    <w:family w:val="auto"/>
    <w:pitch w:val="default"/>
    <w:sig w:usb0="A00002BF" w:usb1="184F6CFA" w:usb2="00000012" w:usb3="00000000" w:csb0="00040001" w:csb1="00000000"/>
  </w:font>
  <w:font w:name="方正粗黑宋简体">
    <w:panose1 w:val="02000000000000000000"/>
    <w:charset w:val="86"/>
    <w:family w:val="auto"/>
    <w:pitch w:val="default"/>
    <w:sig w:usb0="A00002BF" w:usb1="184F6CFA" w:usb2="00000012" w:usb3="00000000" w:csb0="00040001" w:csb1="00000000"/>
    <w:embedRegular r:id="rId3" w:fontKey="{84015C49-57BF-4536-8795-C49BEDDD122C}"/>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left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lef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U5NmZkYWY0NzI2YzBlYTdlNzhjYjE0NjVkNDg0MGEifQ=="/>
  </w:docVars>
  <w:rsids>
    <w:rsidRoot w:val="19E15A23"/>
    <w:rsid w:val="061D6E58"/>
    <w:rsid w:val="15C838CC"/>
    <w:rsid w:val="19E15A23"/>
    <w:rsid w:val="64F658D5"/>
    <w:rsid w:val="75DC46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rPr>
      <w:rFonts w:ascii="微软雅黑" w:hAnsi="微软雅黑" w:eastAsia="微软雅黑" w:cs="微软雅黑"/>
      <w:sz w:val="31"/>
      <w:szCs w:val="31"/>
      <w:lang w:val="en-US" w:eastAsia="en-US" w:bidi="ar-SA"/>
    </w:rPr>
  </w:style>
  <w:style w:type="paragraph" w:styleId="3">
    <w:name w:val="footer"/>
    <w:basedOn w:val="1"/>
    <w:uiPriority w:val="0"/>
    <w:pPr>
      <w:tabs>
        <w:tab w:val="center" w:pos="4153"/>
        <w:tab w:val="right" w:pos="8306"/>
      </w:tabs>
      <w:snapToGrid w:val="0"/>
      <w:jc w:val="left"/>
    </w:pPr>
    <w:rPr>
      <w:sz w:val="18"/>
    </w:rPr>
  </w:style>
  <w:style w:type="paragraph" w:styleId="4">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unhideWhenUsed/>
    <w:qFormat/>
    <w:uiPriority w:val="99"/>
    <w:pPr>
      <w:spacing w:beforeAutospacing="1" w:after="0" w:afterAutospacing="1"/>
      <w:jc w:val="left"/>
    </w:pPr>
    <w:rPr>
      <w:rFonts w:cs="Times New Roman"/>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2024-02-28T10:29:00Z</dcterms:created>
  <dc:creator>张懿邈律师</dc:creator>
  <cp:lastModifiedBy>张懿邈律师</cp:lastModifiedBy>
  <cp:lastPrinted>2024-02-28T11:22:52Z</cp:lastPrinted>
  <dcterms:modified xsi:type="dcterms:W3CDTF">2024-02-28T11:31:17Z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53856629A71D4377A59E67F8351BE60E_11</vt:lpwstr>
  </property>
</Properties>
</file>