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eastAsia="宋体" w:cs="Times New Roman"/>
          <w:b/>
          <w:sz w:val="44"/>
          <w:szCs w:val="44"/>
        </w:rPr>
      </w:pPr>
      <w:bookmarkStart w:id="0" w:name="_Hlk60858683"/>
      <w:r>
        <w:rPr>
          <w:rFonts w:hint="eastAsia" w:ascii="Times New Roman" w:hAnsi="Times New Roman" w:eastAsia="宋体" w:cs="Times New Roman"/>
          <w:b/>
          <w:sz w:val="44"/>
          <w:szCs w:val="44"/>
        </w:rPr>
        <w:t>内蒙古敕勒川旅游股份有限公司管理人</w:t>
      </w:r>
    </w:p>
    <w:p>
      <w:pPr>
        <w:jc w:val="center"/>
        <w:rPr>
          <w:rFonts w:ascii="Times New Roman" w:hAnsi="Times New Roman" w:eastAsia="宋体" w:cs="Times New Roman"/>
          <w:sz w:val="44"/>
          <w:szCs w:val="44"/>
        </w:rPr>
      </w:pPr>
      <w:r>
        <w:rPr>
          <w:rFonts w:hint="eastAsia" w:ascii="Times New Roman" w:hAnsi="Times New Roman" w:eastAsia="宋体" w:cs="Times New Roman"/>
          <w:b/>
          <w:sz w:val="44"/>
          <w:szCs w:val="44"/>
        </w:rPr>
        <w:t>关于招募重整战略投资者的公告</w:t>
      </w:r>
    </w:p>
    <w:bookmarkEnd w:id="0"/>
    <w:p>
      <w:pPr>
        <w:spacing w:line="560" w:lineRule="exact"/>
        <w:ind w:firstLine="640" w:firstLineChars="200"/>
        <w:jc w:val="left"/>
        <w:rPr>
          <w:rFonts w:ascii="Times New Roman" w:hAnsi="Times New Roman" w:eastAsia="仿宋_GB2312" w:cs="Times New Roman"/>
          <w:sz w:val="32"/>
          <w:szCs w:val="32"/>
        </w:rPr>
      </w:pP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2023</w:t>
      </w:r>
      <w:r>
        <w:rPr>
          <w:rFonts w:hint="eastAsia" w:ascii="Times New Roman" w:hAnsi="Times New Roman" w:eastAsia="仿宋_GB2312" w:cs="Times New Roman"/>
          <w:sz w:val="32"/>
          <w:szCs w:val="32"/>
        </w:rPr>
        <w:t>年1</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月6日，呼和浩特市中级人民法院（以下称“呼市中院”）裁定受理内蒙古敕勒川旅游股份有限公司（以下称“敕勒川公司”或“公司”）重整，并于2</w:t>
      </w:r>
      <w:r>
        <w:rPr>
          <w:rFonts w:ascii="Times New Roman" w:hAnsi="Times New Roman" w:eastAsia="仿宋_GB2312" w:cs="Times New Roman"/>
          <w:sz w:val="32"/>
          <w:szCs w:val="32"/>
        </w:rPr>
        <w:t>023</w:t>
      </w:r>
      <w:r>
        <w:rPr>
          <w:rFonts w:hint="eastAsia" w:ascii="Times New Roman" w:hAnsi="Times New Roman" w:eastAsia="仿宋_GB2312" w:cs="Times New Roman"/>
          <w:sz w:val="32"/>
          <w:szCs w:val="32"/>
        </w:rPr>
        <w:t>年1</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月2</w:t>
      </w:r>
      <w:r>
        <w:rPr>
          <w:rFonts w:ascii="Times New Roman" w:hAnsi="Times New Roman" w:eastAsia="仿宋_GB2312" w:cs="Times New Roman"/>
          <w:sz w:val="32"/>
          <w:szCs w:val="32"/>
        </w:rPr>
        <w:t>4</w:t>
      </w:r>
      <w:r>
        <w:rPr>
          <w:rFonts w:hint="eastAsia" w:ascii="Times New Roman" w:hAnsi="Times New Roman" w:eastAsia="仿宋_GB2312" w:cs="Times New Roman"/>
          <w:sz w:val="32"/>
          <w:szCs w:val="32"/>
        </w:rPr>
        <w:t>日指定清算组担任管理人。</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为维护全体债权人、债务人及有关各方权益，充分实现敕勒川公司的资产及营运价值，管理人拟公开招募重整战略投资者（以下简称“战略投资者”）。现就招募事项公告如下：</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一、公司概况</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敕勒川公司成立于</w:t>
      </w:r>
      <w:r>
        <w:rPr>
          <w:rFonts w:ascii="Times New Roman" w:hAnsi="Times New Roman" w:eastAsia="仿宋_GB2312" w:cs="Times New Roman"/>
          <w:sz w:val="32"/>
          <w:szCs w:val="32"/>
        </w:rPr>
        <w:t>2010</w:t>
      </w:r>
      <w:r>
        <w:rPr>
          <w:rFonts w:hint="eastAsia" w:ascii="Times New Roman" w:hAnsi="Times New Roman" w:eastAsia="仿宋_GB2312" w:cs="Times New Roman"/>
          <w:sz w:val="32"/>
          <w:szCs w:val="32"/>
        </w:rPr>
        <w:t>年</w:t>
      </w:r>
      <w:r>
        <w:rPr>
          <w:rFonts w:ascii="Times New Roman" w:hAnsi="Times New Roman" w:eastAsia="仿宋_GB2312" w:cs="Times New Roman"/>
          <w:sz w:val="32"/>
          <w:szCs w:val="32"/>
        </w:rPr>
        <w:t>10</w:t>
      </w:r>
      <w:r>
        <w:rPr>
          <w:rFonts w:hint="eastAsia" w:ascii="Times New Roman" w:hAnsi="Times New Roman" w:eastAsia="仿宋_GB2312" w:cs="Times New Roman"/>
          <w:sz w:val="32"/>
          <w:szCs w:val="32"/>
        </w:rPr>
        <w:t>月，注册资本</w:t>
      </w:r>
      <w:r>
        <w:rPr>
          <w:rFonts w:ascii="Times New Roman" w:hAnsi="Times New Roman" w:eastAsia="仿宋_GB2312" w:cs="Times New Roman"/>
          <w:sz w:val="32"/>
          <w:szCs w:val="32"/>
        </w:rPr>
        <w:t>1.45</w:t>
      </w:r>
      <w:r>
        <w:rPr>
          <w:rFonts w:hint="eastAsia" w:ascii="Times New Roman" w:hAnsi="Times New Roman" w:eastAsia="仿宋_GB2312" w:cs="Times New Roman"/>
          <w:sz w:val="32"/>
          <w:szCs w:val="32"/>
        </w:rPr>
        <w:t>亿元。股东为3</w:t>
      </w:r>
      <w:r>
        <w:rPr>
          <w:rFonts w:ascii="Times New Roman" w:hAnsi="Times New Roman" w:eastAsia="仿宋_GB2312" w:cs="Times New Roman"/>
          <w:sz w:val="32"/>
          <w:szCs w:val="32"/>
        </w:rPr>
        <w:t>0</w:t>
      </w:r>
      <w:r>
        <w:rPr>
          <w:rFonts w:hint="eastAsia" w:ascii="Times New Roman" w:hAnsi="Times New Roman" w:eastAsia="仿宋_GB2312" w:cs="Times New Roman"/>
          <w:sz w:val="32"/>
          <w:szCs w:val="32"/>
        </w:rPr>
        <w:t>位自然人。根据初步摸底，截至</w:t>
      </w:r>
      <w:r>
        <w:rPr>
          <w:rFonts w:ascii="Times New Roman" w:hAnsi="Times New Roman" w:eastAsia="仿宋_GB2312" w:cs="Times New Roman"/>
          <w:sz w:val="32"/>
          <w:szCs w:val="32"/>
        </w:rPr>
        <w:t>2022年12月31日，敕勒川公司账面资产为8.26亿元，账面负债为9.04亿元</w:t>
      </w:r>
      <w:r>
        <w:rPr>
          <w:rFonts w:hint="eastAsia" w:ascii="Times New Roman" w:hAnsi="Times New Roman" w:eastAsia="仿宋_GB2312" w:cs="Times New Roman"/>
          <w:sz w:val="32"/>
          <w:szCs w:val="32"/>
        </w:rPr>
        <w:t>，具体资产负债数据将根据审计评估及债权申报情况确定。</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敕勒川公司开发运营以哈素海为核心的敕勒川草原文化旅游区，该旅游区属于国家湿地公园、国家4A级旅游景区，是著名北魏民歌《敕勒歌》所描绘的地方。景区内拥有草原、湿地、湖泊等多种资源，以多元融合的北方游牧草原文化为主要脉络，构建以“草原文化休闲度假”为导向的旅游产品体系。旅游区地处“呼包鄂”城市群腹地，东距呼和浩特市区6</w:t>
      </w:r>
      <w:r>
        <w:rPr>
          <w:rFonts w:ascii="Times New Roman" w:hAnsi="Times New Roman" w:eastAsia="仿宋_GB2312" w:cs="Times New Roman"/>
          <w:sz w:val="32"/>
          <w:szCs w:val="32"/>
        </w:rPr>
        <w:t>0</w:t>
      </w:r>
      <w:r>
        <w:rPr>
          <w:rFonts w:hint="eastAsia" w:ascii="Times New Roman" w:hAnsi="Times New Roman" w:eastAsia="仿宋_GB2312" w:cs="Times New Roman"/>
          <w:sz w:val="32"/>
          <w:szCs w:val="32"/>
        </w:rPr>
        <w:t>公里，西距包头市区8</w:t>
      </w:r>
      <w:r>
        <w:rPr>
          <w:rFonts w:ascii="Times New Roman" w:hAnsi="Times New Roman" w:eastAsia="仿宋_GB2312" w:cs="Times New Roman"/>
          <w:sz w:val="32"/>
          <w:szCs w:val="32"/>
        </w:rPr>
        <w:t>0</w:t>
      </w:r>
      <w:r>
        <w:rPr>
          <w:rFonts w:hint="eastAsia" w:ascii="Times New Roman" w:hAnsi="Times New Roman" w:eastAsia="仿宋_GB2312" w:cs="Times New Roman"/>
          <w:sz w:val="32"/>
          <w:szCs w:val="32"/>
        </w:rPr>
        <w:t>公里，呼包高速、京包铁路贯穿，交通便利。</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二、招募目的</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敕勒川重整成功、尽早脱困对盘活存量旅游资源，对促进地方旅游经济发展，维护债权人利益意义重大。本次招募旨在引入资质优良、实力雄厚的战略投资者，为全面完成敕勒川重整工作提供支持，解决企业债务、业务及股权结构问题，实现可持续发展。同时，改善经营管理，提升运营效率，构建现代化的企业制度。</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三、招募须知</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、本公告内容对全体意向战略投资者同等适用，管理人有权随时终止战略投资者招募；</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、本公告并非邀约文件，不具有重整投资协议的约束性效力。</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3、本公告披露的敕勒川公司财务数据基于初步摸底，具体将以审计评估及债权申报情况为准。</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四、报名条件</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、意向战略投资者应当是依照中华人民共和国法律设立的企业法人、有限合伙企业或其他组织，近3年未被人民法院列入失信被执行人名单，不属于失信联合惩戒对象。</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、意向战略投资者应具有良好的商业信用及足够的资金实力进行重整投资，资金来源合法合规。原则上，意向战略投资者最近一年经审计总资产不低于</w:t>
      </w:r>
      <w:r>
        <w:rPr>
          <w:rFonts w:ascii="Times New Roman" w:hAnsi="Times New Roman" w:eastAsia="仿宋_GB2312" w:cs="Times New Roman"/>
          <w:b/>
          <w:bCs/>
          <w:sz w:val="32"/>
          <w:szCs w:val="32"/>
        </w:rPr>
        <w:t>20</w:t>
      </w:r>
      <w:r>
        <w:rPr>
          <w:rFonts w:hint="eastAsia" w:ascii="Times New Roman" w:hAnsi="Times New Roman" w:eastAsia="仿宋_GB2312" w:cs="Times New Roman"/>
          <w:b/>
          <w:bCs/>
          <w:sz w:val="32"/>
          <w:szCs w:val="32"/>
        </w:rPr>
        <w:t>亿元</w:t>
      </w:r>
      <w:r>
        <w:rPr>
          <w:rFonts w:hint="eastAsia" w:ascii="Times New Roman" w:hAnsi="Times New Roman" w:eastAsia="仿宋_GB2312" w:cs="Times New Roman"/>
          <w:sz w:val="32"/>
          <w:szCs w:val="32"/>
        </w:rPr>
        <w:t>，净资产不低于人民币</w:t>
      </w:r>
      <w:r>
        <w:rPr>
          <w:rFonts w:ascii="Times New Roman" w:hAnsi="Times New Roman" w:eastAsia="仿宋_GB2312" w:cs="Times New Roman"/>
          <w:b/>
          <w:bCs/>
          <w:sz w:val="32"/>
          <w:szCs w:val="32"/>
        </w:rPr>
        <w:t>10</w:t>
      </w:r>
      <w:r>
        <w:rPr>
          <w:rFonts w:hint="eastAsia" w:ascii="Times New Roman" w:hAnsi="Times New Roman" w:eastAsia="仿宋_GB2312" w:cs="Times New Roman"/>
          <w:b/>
          <w:bCs/>
          <w:sz w:val="32"/>
          <w:szCs w:val="32"/>
        </w:rPr>
        <w:t>亿元</w:t>
      </w:r>
      <w:r>
        <w:rPr>
          <w:rFonts w:hint="eastAsia" w:ascii="Times New Roman" w:hAnsi="Times New Roman" w:eastAsia="仿宋_GB2312" w:cs="Times New Roman"/>
          <w:sz w:val="32"/>
          <w:szCs w:val="32"/>
        </w:rPr>
        <w:t>，营业收入不低于人民币</w:t>
      </w:r>
      <w:r>
        <w:rPr>
          <w:rFonts w:ascii="Times New Roman" w:hAnsi="Times New Roman" w:eastAsia="仿宋_GB2312" w:cs="Times New Roman"/>
          <w:b/>
          <w:bCs/>
          <w:sz w:val="32"/>
          <w:szCs w:val="32"/>
        </w:rPr>
        <w:t>1</w:t>
      </w:r>
      <w:r>
        <w:rPr>
          <w:rFonts w:hint="eastAsia" w:ascii="Times New Roman" w:hAnsi="Times New Roman" w:eastAsia="仿宋_GB2312" w:cs="Times New Roman"/>
          <w:b/>
          <w:bCs/>
          <w:sz w:val="32"/>
          <w:szCs w:val="32"/>
        </w:rPr>
        <w:t>亿元</w:t>
      </w:r>
      <w:r>
        <w:rPr>
          <w:rFonts w:hint="eastAsia" w:ascii="Times New Roman" w:hAnsi="Times New Roman" w:eastAsia="仿宋_GB2312" w:cs="Times New Roman"/>
          <w:sz w:val="32"/>
          <w:szCs w:val="32"/>
        </w:rPr>
        <w:t>，在敕勒川公司所属行业具有优势地位或资源的，可适当放宽。</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、意向战略投资者应具有较高的社会责任感，并充分理解旅游区运营业务的公共服务性质与生态保护意义，自愿长期、稳定经营旅游区运营主业，并承诺如最终成为重整战略投资人，</w:t>
      </w:r>
      <w:r>
        <w:rPr>
          <w:rFonts w:ascii="Times New Roman" w:hAnsi="Times New Roman" w:eastAsia="仿宋_GB2312" w:cs="Times New Roman"/>
          <w:b/>
          <w:sz w:val="32"/>
          <w:szCs w:val="32"/>
        </w:rPr>
        <w:t>5</w:t>
      </w:r>
      <w:r>
        <w:rPr>
          <w:rFonts w:hint="eastAsia" w:ascii="Times New Roman" w:hAnsi="Times New Roman" w:eastAsia="仿宋_GB2312" w:cs="Times New Roman"/>
          <w:b/>
          <w:sz w:val="32"/>
          <w:szCs w:val="32"/>
        </w:rPr>
        <w:t>年内不以包括变更投资主体实际控制人在内的方式退出。</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w:t>
      </w:r>
      <w:r>
        <w:rPr>
          <w:rFonts w:hint="eastAsia" w:ascii="Times New Roman" w:hAnsi="Times New Roman" w:eastAsia="仿宋_GB2312" w:cs="Times New Roman"/>
          <w:sz w:val="32"/>
          <w:szCs w:val="32"/>
        </w:rPr>
        <w:t>、两个或两个以上企业法人或其他机构主体作为联合体报名参与重整投资的，联合体需要说明每个成员所充当的角色、分工及职责等情况，需要明确其中的主要投资主体。联合体中，至少主要投资主体需符合上述全部条件。联合体各方均应承诺就重整投资涉投资人义务承担连带责任。组成联合体的各方不得再以自己名义单独或加入其他联合体参加本次战略投资者招募。</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5、管理人根据重整工作实际情况认为需要符合的其他条件。</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五、招募流程</w:t>
      </w:r>
    </w:p>
    <w:p>
      <w:pPr>
        <w:spacing w:line="560" w:lineRule="exact"/>
        <w:ind w:firstLine="640" w:firstLineChars="200"/>
        <w:jc w:val="left"/>
        <w:rPr>
          <w:rFonts w:ascii="楷体_GB2312" w:hAnsi="Times New Roman" w:eastAsia="楷体_GB2312" w:cs="Times New Roman"/>
          <w:sz w:val="32"/>
          <w:szCs w:val="32"/>
        </w:rPr>
      </w:pPr>
      <w:r>
        <w:rPr>
          <w:rFonts w:hint="eastAsia" w:ascii="楷体_GB2312" w:hAnsi="Times New Roman" w:eastAsia="楷体_GB2312" w:cs="Times New Roman"/>
          <w:sz w:val="32"/>
          <w:szCs w:val="32"/>
        </w:rPr>
        <w:t>（一）报名</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、报名时间</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意向战略投资者应在本公告发布之日起至</w:t>
      </w:r>
      <w:r>
        <w:rPr>
          <w:rFonts w:ascii="Times New Roman" w:hAnsi="Times New Roman" w:eastAsia="仿宋_GB2312" w:cs="Times New Roman"/>
          <w:sz w:val="32"/>
          <w:szCs w:val="32"/>
        </w:rPr>
        <w:t>2024</w:t>
      </w:r>
      <w:r>
        <w:rPr>
          <w:rFonts w:hint="eastAsia" w:ascii="Times New Roman" w:hAnsi="Times New Roman" w:eastAsia="仿宋_GB2312" w:cs="Times New Roman"/>
          <w:sz w:val="32"/>
          <w:szCs w:val="32"/>
        </w:rPr>
        <w:t>年</w:t>
      </w:r>
      <w:r>
        <w:rPr>
          <w:rFonts w:hint="eastAsia" w:ascii="Times New Roman" w:hAnsi="Times New Roman" w:eastAsia="仿宋_GB2312" w:cs="Times New Roman"/>
          <w:sz w:val="32"/>
          <w:szCs w:val="32"/>
          <w:lang w:val="en-US" w:eastAsia="zh-CN"/>
        </w:rPr>
        <w:t>4</w:t>
      </w:r>
      <w:r>
        <w:rPr>
          <w:rFonts w:hint="eastAsia"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30</w:t>
      </w:r>
      <w:bookmarkStart w:id="1" w:name="_GoBack"/>
      <w:bookmarkEnd w:id="1"/>
      <w:r>
        <w:rPr>
          <w:rFonts w:hint="eastAsia" w:ascii="Times New Roman" w:hAnsi="Times New Roman" w:eastAsia="仿宋_GB2312" w:cs="Times New Roman"/>
          <w:sz w:val="32"/>
          <w:szCs w:val="32"/>
        </w:rPr>
        <w:t>日前（含当日），通过邮寄（邮寄地址同报名地址）或现场递交方式向管理人提交报名材料，同时将报名材料电子版发送至管理人邮箱：</w:t>
      </w:r>
      <w:r>
        <w:rPr>
          <w:rFonts w:ascii="Times New Roman" w:hAnsi="Times New Roman" w:eastAsia="仿宋_GB2312" w:cs="Times New Roman"/>
          <w:sz w:val="32"/>
          <w:szCs w:val="32"/>
        </w:rPr>
        <w:t>clcglr@163.com</w:t>
      </w:r>
      <w:r>
        <w:rPr>
          <w:rFonts w:hint="eastAsia" w:ascii="Times New Roman" w:hAnsi="Times New Roman" w:eastAsia="仿宋_GB2312" w:cs="Times New Roman"/>
          <w:sz w:val="32"/>
          <w:szCs w:val="32"/>
        </w:rPr>
        <w:t>。管理人有权视情况决定是否延长报名期限。</w:t>
      </w:r>
    </w:p>
    <w:p>
      <w:pPr>
        <w:keepNext/>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、联系方式</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）报名地点：内蒙古自治区呼和浩特市土默特左旗察素齐镇敕勒川大街北党政大楼西退役军人事务局</w:t>
      </w:r>
      <w:r>
        <w:rPr>
          <w:rFonts w:ascii="Times New Roman" w:hAnsi="Times New Roman" w:eastAsia="仿宋_GB2312" w:cs="Times New Roman"/>
          <w:sz w:val="32"/>
          <w:szCs w:val="32"/>
        </w:rPr>
        <w:t>5楼文旅投公司</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）联系人：万先生</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）联系电话：</w:t>
      </w:r>
      <w:r>
        <w:rPr>
          <w:rFonts w:ascii="Times New Roman" w:hAnsi="Times New Roman" w:eastAsia="仿宋_GB2312" w:cs="Times New Roman"/>
          <w:sz w:val="32"/>
          <w:szCs w:val="32"/>
        </w:rPr>
        <w:t>18513293828</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、报名时需提交的材料</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）报名意向书（详见附件一）；</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）提供未被人民法院列入失信被执行人名单的证明材料，不属于失信联合惩戒对象以及保密承诺函（详见附件二）；</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）资金来源合法合规的承诺函（详见附件三）；</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4</w:t>
      </w:r>
      <w:r>
        <w:rPr>
          <w:rFonts w:hint="eastAsia" w:ascii="Times New Roman" w:hAnsi="Times New Roman" w:eastAsia="仿宋_GB2312" w:cs="Times New Roman"/>
          <w:sz w:val="32"/>
          <w:szCs w:val="32"/>
        </w:rPr>
        <w:t>）长期稳定经营旅游区运营业务承诺函（详见附件四）；</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5</w:t>
      </w:r>
      <w:r>
        <w:rPr>
          <w:rFonts w:hint="eastAsia" w:ascii="Times New Roman" w:hAnsi="Times New Roman" w:eastAsia="仿宋_GB2312" w:cs="Times New Roman"/>
          <w:sz w:val="32"/>
          <w:szCs w:val="32"/>
        </w:rPr>
        <w:t>）意向战略投资者简介（含主体资格、股权结构、主营业务、历史沿革、组织机构、资产负债等信息，如为联合体，需说明各主体的角色分工、权利义务等，联合体各投资者之间应承诺相互承担连带责任）；</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6</w:t>
      </w:r>
      <w:r>
        <w:rPr>
          <w:rFonts w:hint="eastAsia" w:ascii="Times New Roman" w:hAnsi="Times New Roman" w:eastAsia="仿宋_GB2312" w:cs="Times New Roman"/>
          <w:sz w:val="32"/>
          <w:szCs w:val="32"/>
        </w:rPr>
        <w:t>）企业法人或非法人组织应提供营业执照复印件、法定代表人或负责人身份证明文件及授权委托书原件、最近一年审计财务报告（或加盖公司公章的财务报表）；</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7</w:t>
      </w:r>
      <w:r>
        <w:rPr>
          <w:rFonts w:hint="eastAsia" w:ascii="Times New Roman" w:hAnsi="Times New Roman" w:eastAsia="仿宋_GB2312" w:cs="Times New Roman"/>
          <w:sz w:val="32"/>
          <w:szCs w:val="32"/>
        </w:rPr>
        <w:t>）报名保证金缴纳证明。</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报名保证金为</w:t>
      </w:r>
      <w:r>
        <w:rPr>
          <w:rFonts w:ascii="Times New Roman" w:hAnsi="Times New Roman" w:eastAsia="仿宋_GB2312" w:cs="Times New Roman"/>
          <w:sz w:val="32"/>
          <w:szCs w:val="32"/>
        </w:rPr>
        <w:t>500</w:t>
      </w:r>
      <w:r>
        <w:rPr>
          <w:rFonts w:hint="eastAsia" w:ascii="Times New Roman" w:hAnsi="Times New Roman" w:eastAsia="仿宋_GB2312" w:cs="Times New Roman"/>
          <w:sz w:val="32"/>
          <w:szCs w:val="32"/>
        </w:rPr>
        <w:t>万元（不计息），缴纳账户信息：</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户名：内蒙古敕勒川旅游股份有限公司破产重整管理人</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账号：8</w:t>
      </w:r>
      <w:r>
        <w:rPr>
          <w:rFonts w:ascii="Times New Roman" w:hAnsi="Times New Roman" w:eastAsia="仿宋_GB2312" w:cs="Times New Roman"/>
          <w:sz w:val="32"/>
          <w:szCs w:val="32"/>
        </w:rPr>
        <w:t>115601012900440774</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开户行：中信银行股份有限公司呼和浩特汇商广场支行</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上述报名材料应加盖意向战略投资者公章并由法定代表人</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负责人或其授权代表签署。意向战略投资者未按本公告要求提交完整报名材料的，管理人有权不予接受。</w:t>
      </w:r>
    </w:p>
    <w:p>
      <w:pPr>
        <w:spacing w:line="560" w:lineRule="exact"/>
        <w:ind w:firstLine="640" w:firstLineChars="200"/>
        <w:rPr>
          <w:rFonts w:ascii="楷体_GB2312" w:hAnsi="Times New Roman" w:eastAsia="楷体_GB2312" w:cs="Times New Roman"/>
          <w:sz w:val="32"/>
          <w:szCs w:val="32"/>
        </w:rPr>
      </w:pPr>
      <w:r>
        <w:rPr>
          <w:rFonts w:hint="eastAsia" w:ascii="楷体_GB2312" w:hAnsi="Times New Roman" w:eastAsia="楷体_GB2312" w:cs="Times New Roman"/>
          <w:sz w:val="32"/>
          <w:szCs w:val="32"/>
        </w:rPr>
        <w:t>（二）报名审核</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管理人将根据本公告确定的报名条件对意向战略投资者提交的资料进行审查，并将筛选结果通知各意向战略投资者。未通过报名审核的意向投资者所缴纳的保证金将原路退回。</w:t>
      </w:r>
    </w:p>
    <w:p>
      <w:pPr>
        <w:spacing w:line="560" w:lineRule="exact"/>
        <w:ind w:firstLine="640" w:firstLineChars="200"/>
        <w:rPr>
          <w:rFonts w:ascii="楷体_GB2312" w:hAnsi="Times New Roman" w:eastAsia="楷体_GB2312" w:cs="Times New Roman"/>
          <w:sz w:val="32"/>
          <w:szCs w:val="32"/>
        </w:rPr>
      </w:pPr>
      <w:r>
        <w:rPr>
          <w:rFonts w:hint="eastAsia" w:ascii="楷体_GB2312" w:hAnsi="Times New Roman" w:eastAsia="楷体_GB2312" w:cs="Times New Roman"/>
          <w:sz w:val="32"/>
          <w:szCs w:val="32"/>
        </w:rPr>
        <w:t>（三）尽职调查</w:t>
      </w:r>
    </w:p>
    <w:p>
      <w:pPr>
        <w:spacing w:line="560" w:lineRule="exact"/>
        <w:ind w:firstLine="643"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通过报名审核的意向投资者应与管理人签订保密协议，</w:t>
      </w:r>
      <w:r>
        <w:rPr>
          <w:rFonts w:hint="eastAsia" w:ascii="Times New Roman" w:hAnsi="Times New Roman" w:eastAsia="仿宋_GB2312" w:cs="Times New Roman"/>
          <w:sz w:val="32"/>
          <w:szCs w:val="32"/>
        </w:rPr>
        <w:t>保密协议签署完毕后可对敕勒川公司开展尽职调查。</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意向战略投资者原则上应自签署保密协议之日起</w:t>
      </w:r>
      <w:r>
        <w:rPr>
          <w:rFonts w:ascii="Times New Roman" w:hAnsi="Times New Roman" w:eastAsia="仿宋_GB2312" w:cs="Times New Roman"/>
          <w:sz w:val="32"/>
          <w:szCs w:val="32"/>
        </w:rPr>
        <w:t>30</w:t>
      </w:r>
      <w:r>
        <w:rPr>
          <w:rFonts w:hint="eastAsia" w:ascii="Times New Roman" w:hAnsi="Times New Roman" w:eastAsia="仿宋_GB2312" w:cs="Times New Roman"/>
          <w:sz w:val="32"/>
          <w:szCs w:val="32"/>
        </w:rPr>
        <w:t>个工作日内完成尽职调查。管理人可以根据实际情况对意向战略投资者进行必要的反向尽职调查，意向投资者应予配合。</w:t>
      </w:r>
    </w:p>
    <w:p>
      <w:pPr>
        <w:spacing w:line="560" w:lineRule="exact"/>
        <w:ind w:firstLine="640" w:firstLineChars="200"/>
        <w:jc w:val="left"/>
        <w:rPr>
          <w:rFonts w:ascii="楷体_GB2312" w:hAnsi="Times New Roman" w:eastAsia="楷体_GB2312" w:cs="Times New Roman"/>
          <w:sz w:val="32"/>
          <w:szCs w:val="32"/>
        </w:rPr>
      </w:pPr>
      <w:r>
        <w:rPr>
          <w:rFonts w:hint="eastAsia" w:ascii="楷体_GB2312" w:hAnsi="Times New Roman" w:eastAsia="楷体_GB2312" w:cs="Times New Roman"/>
          <w:sz w:val="32"/>
          <w:szCs w:val="32"/>
        </w:rPr>
        <w:t>（四）提交方案</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意向战略投资者原则上应于尽职调查结束后</w:t>
      </w:r>
      <w:r>
        <w:rPr>
          <w:rFonts w:ascii="Times New Roman" w:hAnsi="Times New Roman" w:eastAsia="仿宋_GB2312" w:cs="Times New Roman"/>
          <w:sz w:val="32"/>
          <w:szCs w:val="32"/>
        </w:rPr>
        <w:t>5</w:t>
      </w:r>
      <w:r>
        <w:rPr>
          <w:rFonts w:hint="eastAsia" w:ascii="Times New Roman" w:hAnsi="Times New Roman" w:eastAsia="仿宋_GB2312" w:cs="Times New Roman"/>
          <w:sz w:val="32"/>
          <w:szCs w:val="32"/>
        </w:rPr>
        <w:t>个工作日内向管理人提交具有可操作性的投资方案，内容应当包括但不限于投资金额、资金来源、经营方案、偿债方案等。</w:t>
      </w:r>
    </w:p>
    <w:p>
      <w:pPr>
        <w:spacing w:line="560" w:lineRule="exact"/>
        <w:ind w:firstLine="640" w:firstLineChars="200"/>
        <w:jc w:val="left"/>
        <w:rPr>
          <w:rFonts w:ascii="楷体_GB2312" w:hAnsi="Times New Roman" w:eastAsia="楷体_GB2312" w:cs="Times New Roman"/>
          <w:sz w:val="32"/>
          <w:szCs w:val="32"/>
        </w:rPr>
      </w:pPr>
      <w:r>
        <w:rPr>
          <w:rFonts w:hint="eastAsia" w:ascii="楷体_GB2312" w:hAnsi="Times New Roman" w:eastAsia="楷体_GB2312" w:cs="Times New Roman"/>
          <w:sz w:val="32"/>
          <w:szCs w:val="32"/>
        </w:rPr>
        <w:t>（五）竞争遴选</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管理人将在呼和浩特市中级人民法院的监督指导下根据需要择机组织一轮或多轮遴选，择优确定最终重整战略投资者。具体遴选安排另行公布。</w:t>
      </w:r>
    </w:p>
    <w:p>
      <w:pPr>
        <w:keepNext/>
        <w:spacing w:line="560" w:lineRule="exact"/>
        <w:ind w:firstLine="640" w:firstLineChars="200"/>
        <w:rPr>
          <w:rFonts w:ascii="楷体_GB2312" w:hAnsi="Times New Roman" w:eastAsia="楷体_GB2312" w:cs="Times New Roman"/>
          <w:sz w:val="32"/>
          <w:szCs w:val="32"/>
        </w:rPr>
      </w:pPr>
      <w:r>
        <w:rPr>
          <w:rFonts w:hint="eastAsia" w:ascii="楷体_GB2312" w:hAnsi="Times New Roman" w:eastAsia="楷体_GB2312" w:cs="Times New Roman"/>
          <w:sz w:val="32"/>
          <w:szCs w:val="32"/>
        </w:rPr>
        <w:t>（六）签署协议</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经最终遴选确定的战略投资者应按照管理人要求签署相关协议，并缴纳履约保证金。重整计划（草案）经法院裁定批准后，各方应按照相关协议及重整计划的内容履行。</w:t>
      </w:r>
    </w:p>
    <w:p>
      <w:pPr>
        <w:spacing w:line="560" w:lineRule="exact"/>
        <w:ind w:firstLine="640" w:firstLineChars="200"/>
        <w:rPr>
          <w:rFonts w:ascii="楷体_GB2312" w:hAnsi="Times New Roman" w:eastAsia="楷体_GB2312" w:cs="Times New Roman"/>
          <w:sz w:val="32"/>
          <w:szCs w:val="32"/>
        </w:rPr>
      </w:pPr>
      <w:r>
        <w:rPr>
          <w:rFonts w:hint="eastAsia" w:ascii="楷体_GB2312" w:hAnsi="Times New Roman" w:eastAsia="楷体_GB2312" w:cs="Times New Roman"/>
          <w:sz w:val="32"/>
          <w:szCs w:val="32"/>
        </w:rPr>
        <w:t>（七）保证金处理</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对于未入选的意向战略投资者，管理人将在每轮遴选结果确定后无息返还已缴纳的报名保证金。对于最终确定的战略投资者，已缴纳的报名保证金（不计息）将自动转为履约保证金，待重整计划经法院裁定批准后转为投资款。</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六、其他事项</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本公告由管理人编制，解释权归管理人。管理人有权决定继续、中止或终止战略投资者招募。热忱欢迎各意向战略投资人报名参与本重整投资项目。</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特此公告。</w:t>
      </w:r>
    </w:p>
    <w:p>
      <w:pPr>
        <w:spacing w:line="560" w:lineRule="exact"/>
        <w:ind w:firstLine="640" w:firstLineChars="200"/>
        <w:rPr>
          <w:rFonts w:ascii="仿宋_GB2312" w:hAnsi="Times New Roman" w:eastAsia="仿宋_GB2312" w:cs="Times New Roman"/>
          <w:sz w:val="32"/>
          <w:szCs w:val="32"/>
        </w:rPr>
      </w:pP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附件：</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一、报名意向书</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二、不属于失信联合惩戒对象以及保密承诺函</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三、资金来源合法合规的承诺函</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四、长期稳定经营旅游区运营业务承诺函</w:t>
      </w:r>
    </w:p>
    <w:p>
      <w:pPr>
        <w:widowControl/>
        <w:spacing w:line="560" w:lineRule="exact"/>
        <w:ind w:firstLine="200"/>
        <w:jc w:val="left"/>
        <w:rPr>
          <w:rFonts w:ascii="仿宋_GB2312" w:hAnsi="Times New Roman" w:eastAsia="仿宋_GB2312" w:cs="Times New Roman"/>
          <w:sz w:val="32"/>
          <w:szCs w:val="32"/>
        </w:rPr>
      </w:pPr>
      <w:r>
        <w:rPr>
          <w:rFonts w:ascii="仿宋_GB2312" w:hAnsi="Times New Roman" w:eastAsia="仿宋_GB2312" w:cs="Times New Roman"/>
          <w:sz w:val="32"/>
          <w:szCs w:val="32"/>
        </w:rPr>
        <w:br w:type="page"/>
      </w:r>
    </w:p>
    <w:p>
      <w:pPr>
        <w:spacing w:line="560" w:lineRule="exact"/>
        <w:ind w:firstLine="200"/>
        <w:jc w:val="left"/>
        <w:rPr>
          <w:rFonts w:ascii="仿宋_GB2312" w:hAnsi="宋体" w:eastAsia="仿宋_GB2312" w:cs="Times New Roman"/>
          <w:sz w:val="32"/>
          <w:szCs w:val="32"/>
        </w:rPr>
      </w:pPr>
      <w:r>
        <w:rPr>
          <w:rFonts w:hint="eastAsia" w:ascii="仿宋_GB2312" w:hAnsi="宋体" w:eastAsia="仿宋_GB2312" w:cs="Times New Roman"/>
          <w:sz w:val="32"/>
          <w:szCs w:val="32"/>
        </w:rPr>
        <w:t>（本页无正文，为《敕勒川公司重整战略投资者招募公告》之盖章页）</w:t>
      </w:r>
    </w:p>
    <w:p>
      <w:pPr>
        <w:spacing w:line="560" w:lineRule="exact"/>
        <w:ind w:firstLine="200"/>
        <w:rPr>
          <w:rFonts w:ascii="仿宋_GB2312" w:hAnsi="宋体" w:eastAsia="仿宋_GB2312" w:cs="Times New Roman"/>
          <w:sz w:val="32"/>
          <w:szCs w:val="32"/>
        </w:rPr>
      </w:pPr>
    </w:p>
    <w:p>
      <w:pPr>
        <w:spacing w:line="560" w:lineRule="exact"/>
        <w:ind w:firstLine="640" w:firstLineChars="200"/>
        <w:jc w:val="right"/>
        <w:rPr>
          <w:rFonts w:ascii="仿宋_GB2312" w:hAnsi="宋体" w:eastAsia="仿宋_GB2312" w:cs="Times New Roman"/>
          <w:sz w:val="32"/>
          <w:szCs w:val="32"/>
        </w:rPr>
      </w:pPr>
      <w:r>
        <w:rPr>
          <w:rFonts w:hint="eastAsia" w:ascii="仿宋_GB2312" w:hAnsi="宋体" w:eastAsia="仿宋_GB2312" w:cs="Times New Roman"/>
          <w:sz w:val="32"/>
          <w:szCs w:val="32"/>
        </w:rPr>
        <w:t>内蒙古敕勒川旅游股份有限公司管理人</w:t>
      </w:r>
    </w:p>
    <w:p>
      <w:pPr>
        <w:spacing w:line="560" w:lineRule="exact"/>
        <w:ind w:firstLine="640" w:firstLineChars="200"/>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Times New Roman"/>
          <w:sz w:val="32"/>
          <w:szCs w:val="32"/>
        </w:rPr>
        <w:t>年1月</w:t>
      </w:r>
      <w:r>
        <w:rPr>
          <w:rFonts w:ascii="Times New Roman" w:hAnsi="Times New Roman" w:eastAsia="仿宋_GB2312" w:cs="Times New Roman"/>
          <w:sz w:val="32"/>
          <w:szCs w:val="32"/>
        </w:rPr>
        <w:t>25</w:t>
      </w:r>
      <w:r>
        <w:rPr>
          <w:rFonts w:hint="eastAsia" w:ascii="Times New Roman" w:hAnsi="Times New Roman" w:eastAsia="仿宋_GB2312" w:cs="Times New Roman"/>
          <w:sz w:val="32"/>
          <w:szCs w:val="32"/>
        </w:rPr>
        <w:t>日</w:t>
      </w:r>
    </w:p>
    <w:p>
      <w:pPr>
        <w:widowControl/>
        <w:jc w:val="left"/>
        <w:rPr>
          <w:rFonts w:ascii="Times New Roman" w:hAnsi="Times New Roman" w:eastAsia="仿宋_GB2312" w:cs="Times New Roman"/>
          <w:sz w:val="32"/>
          <w:szCs w:val="32"/>
        </w:rPr>
      </w:pPr>
      <w:r>
        <w:rPr>
          <w:rFonts w:ascii="Times New Roman" w:hAnsi="Times New Roman" w:eastAsia="仿宋_GB2312" w:cs="Times New Roman"/>
          <w:sz w:val="32"/>
          <w:szCs w:val="32"/>
        </w:rPr>
        <w:br w:type="page"/>
      </w:r>
    </w:p>
    <w:p>
      <w:pPr>
        <w:tabs>
          <w:tab w:val="left" w:pos="7938"/>
        </w:tabs>
        <w:spacing w:before="312" w:beforeLines="100" w:after="312" w:afterLines="100" w:line="560" w:lineRule="exact"/>
        <w:ind w:right="735" w:rightChars="350" w:firstLine="200"/>
        <w:rPr>
          <w:rFonts w:ascii="仿宋_GB2312" w:hAnsi="Times New Roman" w:eastAsia="仿宋_GB2312" w:cs="Times New Roman"/>
          <w:b/>
          <w:sz w:val="32"/>
          <w:szCs w:val="28"/>
        </w:rPr>
      </w:pPr>
      <w:r>
        <w:rPr>
          <w:rFonts w:hint="eastAsia" w:ascii="仿宋_GB2312" w:hAnsi="Times New Roman" w:eastAsia="仿宋_GB2312" w:cs="Times New Roman"/>
          <w:b/>
          <w:sz w:val="32"/>
          <w:szCs w:val="28"/>
        </w:rPr>
        <w:t>附件一、</w:t>
      </w:r>
    </w:p>
    <w:p>
      <w:pPr>
        <w:spacing w:line="360" w:lineRule="auto"/>
        <w:jc w:val="center"/>
        <w:rPr>
          <w:rFonts w:ascii="Times New Roman" w:hAnsi="Times New Roman" w:eastAsia="宋体" w:cs="Times New Roman"/>
          <w:b/>
          <w:sz w:val="44"/>
          <w:szCs w:val="28"/>
        </w:rPr>
      </w:pPr>
      <w:r>
        <w:rPr>
          <w:rFonts w:hint="eastAsia" w:ascii="Times New Roman" w:hAnsi="Times New Roman" w:eastAsia="宋体" w:cs="Times New Roman"/>
          <w:b/>
          <w:sz w:val="44"/>
          <w:szCs w:val="28"/>
        </w:rPr>
        <w:t>报名意向书</w:t>
      </w:r>
    </w:p>
    <w:p>
      <w:pPr>
        <w:spacing w:line="560" w:lineRule="exact"/>
        <w:ind w:right="735" w:rightChars="350"/>
        <w:jc w:val="left"/>
        <w:rPr>
          <w:rFonts w:ascii="仿宋_GB2312" w:hAnsi="Times New Roman" w:eastAsia="仿宋_GB2312" w:cs="Times New Roman"/>
          <w:sz w:val="32"/>
          <w:szCs w:val="28"/>
        </w:rPr>
      </w:pPr>
      <w:r>
        <w:rPr>
          <w:rFonts w:hint="eastAsia" w:ascii="仿宋_GB2312" w:hAnsi="Times New Roman" w:eastAsia="仿宋_GB2312" w:cs="Times New Roman"/>
          <w:sz w:val="32"/>
          <w:szCs w:val="28"/>
        </w:rPr>
        <w:t>致：敕勒川公司管理人</w:t>
      </w:r>
    </w:p>
    <w:p>
      <w:pPr>
        <w:spacing w:line="560" w:lineRule="exact"/>
        <w:ind w:right="735" w:rightChars="350" w:firstLine="200"/>
        <w:jc w:val="left"/>
        <w:rPr>
          <w:rFonts w:ascii="仿宋_GB2312" w:hAnsi="Times New Roman" w:eastAsia="仿宋_GB2312" w:cs="Times New Roman"/>
          <w:sz w:val="32"/>
          <w:szCs w:val="28"/>
        </w:rPr>
      </w:pPr>
    </w:p>
    <w:p>
      <w:pPr>
        <w:spacing w:line="560" w:lineRule="exact"/>
        <w:ind w:firstLine="640" w:firstLineChars="200"/>
        <w:jc w:val="lef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以下简称“本公司”）确定参加敕勒川公司重整战略投资者招募遴选，并遵守本次招募遴选的相关规则。本公司参与招募遴选工作所提交的所有材料，均真实、有效，不存在伪造、编造、变造、篡改和隐瞒相关材料、信息等情形，否则本公司将承担由此造成的一切损失与后果。</w:t>
      </w:r>
    </w:p>
    <w:p>
      <w:pPr>
        <w:spacing w:line="560" w:lineRule="exact"/>
        <w:ind w:firstLine="200"/>
        <w:jc w:val="left"/>
        <w:rPr>
          <w:rFonts w:ascii="仿宋_GB2312" w:hAnsi="Times New Roman" w:eastAsia="仿宋_GB2312" w:cs="Times New Roman"/>
          <w:sz w:val="32"/>
          <w:szCs w:val="28"/>
        </w:rPr>
      </w:pPr>
      <w:r>
        <w:rPr>
          <w:rFonts w:hint="eastAsia" w:ascii="仿宋_GB2312" w:hAnsi="Times New Roman" w:eastAsia="仿宋_GB2312" w:cs="Times New Roman"/>
          <w:sz w:val="32"/>
          <w:szCs w:val="28"/>
        </w:rPr>
        <w:t>联</w:t>
      </w:r>
      <w:r>
        <w:rPr>
          <w:rFonts w:ascii="仿宋_GB2312" w:hAnsi="Times New Roman" w:eastAsia="仿宋_GB2312" w:cs="Times New Roman"/>
          <w:sz w:val="32"/>
          <w:szCs w:val="28"/>
        </w:rPr>
        <w:t xml:space="preserve"> </w:t>
      </w:r>
      <w:r>
        <w:rPr>
          <w:rFonts w:hint="eastAsia" w:ascii="仿宋_GB2312" w:hAnsi="Times New Roman" w:eastAsia="仿宋_GB2312" w:cs="Times New Roman"/>
          <w:sz w:val="32"/>
          <w:szCs w:val="28"/>
        </w:rPr>
        <w:t>系</w:t>
      </w:r>
      <w:r>
        <w:rPr>
          <w:rFonts w:ascii="仿宋_GB2312" w:hAnsi="Times New Roman" w:eastAsia="仿宋_GB2312" w:cs="Times New Roman"/>
          <w:sz w:val="32"/>
          <w:szCs w:val="28"/>
        </w:rPr>
        <w:t xml:space="preserve"> </w:t>
      </w:r>
      <w:r>
        <w:rPr>
          <w:rFonts w:hint="eastAsia" w:ascii="仿宋_GB2312" w:hAnsi="Times New Roman" w:eastAsia="仿宋_GB2312" w:cs="Times New Roman"/>
          <w:sz w:val="32"/>
          <w:szCs w:val="28"/>
        </w:rPr>
        <w:t>人：</w:t>
      </w:r>
      <w:r>
        <w:rPr>
          <w:rFonts w:ascii="仿宋_GB2312" w:hAnsi="Times New Roman" w:eastAsia="仿宋_GB2312" w:cs="Times New Roman"/>
          <w:sz w:val="32"/>
          <w:szCs w:val="28"/>
          <w:u w:val="single"/>
        </w:rPr>
        <w:t xml:space="preserve">                   </w:t>
      </w:r>
    </w:p>
    <w:p>
      <w:pPr>
        <w:spacing w:line="560" w:lineRule="exact"/>
        <w:ind w:firstLine="200"/>
        <w:jc w:val="left"/>
        <w:rPr>
          <w:rFonts w:ascii="仿宋_GB2312" w:hAnsi="Times New Roman" w:eastAsia="仿宋_GB2312" w:cs="Times New Roman"/>
          <w:sz w:val="32"/>
          <w:szCs w:val="28"/>
        </w:rPr>
      </w:pPr>
      <w:r>
        <w:rPr>
          <w:rFonts w:hint="eastAsia" w:ascii="仿宋_GB2312" w:hAnsi="Times New Roman" w:eastAsia="仿宋_GB2312" w:cs="Times New Roman"/>
          <w:sz w:val="32"/>
          <w:szCs w:val="28"/>
        </w:rPr>
        <w:t>固定电话：</w:t>
      </w:r>
      <w:r>
        <w:rPr>
          <w:rFonts w:ascii="仿宋_GB2312" w:hAnsi="Times New Roman" w:eastAsia="仿宋_GB2312" w:cs="Times New Roman"/>
          <w:sz w:val="32"/>
          <w:szCs w:val="28"/>
          <w:u w:val="single"/>
        </w:rPr>
        <w:t xml:space="preserve">                   </w:t>
      </w:r>
    </w:p>
    <w:p>
      <w:pPr>
        <w:spacing w:line="560" w:lineRule="exact"/>
        <w:ind w:firstLine="200"/>
        <w:jc w:val="left"/>
        <w:rPr>
          <w:rFonts w:ascii="仿宋_GB2312" w:hAnsi="Times New Roman" w:eastAsia="仿宋_GB2312" w:cs="Times New Roman"/>
          <w:sz w:val="32"/>
          <w:szCs w:val="28"/>
        </w:rPr>
      </w:pPr>
      <w:r>
        <w:rPr>
          <w:rFonts w:hint="eastAsia" w:ascii="仿宋_GB2312" w:hAnsi="Times New Roman" w:eastAsia="仿宋_GB2312" w:cs="Times New Roman"/>
          <w:sz w:val="32"/>
          <w:szCs w:val="28"/>
        </w:rPr>
        <w:t>手</w:t>
      </w:r>
      <w:r>
        <w:rPr>
          <w:rFonts w:ascii="仿宋_GB2312" w:hAnsi="Times New Roman" w:eastAsia="仿宋_GB2312" w:cs="Times New Roman"/>
          <w:sz w:val="32"/>
          <w:szCs w:val="28"/>
        </w:rPr>
        <w:t xml:space="preserve">    </w:t>
      </w:r>
      <w:r>
        <w:rPr>
          <w:rFonts w:hint="eastAsia" w:ascii="仿宋_GB2312" w:hAnsi="Times New Roman" w:eastAsia="仿宋_GB2312" w:cs="Times New Roman"/>
          <w:sz w:val="32"/>
          <w:szCs w:val="28"/>
        </w:rPr>
        <w:t>机：</w:t>
      </w:r>
      <w:r>
        <w:rPr>
          <w:rFonts w:ascii="仿宋_GB2312" w:hAnsi="Times New Roman" w:eastAsia="仿宋_GB2312" w:cs="Times New Roman"/>
          <w:sz w:val="32"/>
          <w:szCs w:val="28"/>
          <w:u w:val="single"/>
        </w:rPr>
        <w:t xml:space="preserve">                   </w:t>
      </w:r>
    </w:p>
    <w:p>
      <w:pPr>
        <w:spacing w:line="560" w:lineRule="exact"/>
        <w:ind w:firstLine="200"/>
        <w:jc w:val="left"/>
        <w:rPr>
          <w:rFonts w:ascii="仿宋_GB2312" w:hAnsi="Times New Roman" w:eastAsia="仿宋_GB2312" w:cs="Times New Roman"/>
          <w:sz w:val="32"/>
          <w:szCs w:val="28"/>
        </w:rPr>
      </w:pPr>
      <w:r>
        <w:rPr>
          <w:rFonts w:hint="eastAsia" w:ascii="仿宋_GB2312" w:hAnsi="Times New Roman" w:eastAsia="仿宋_GB2312" w:cs="Times New Roman"/>
          <w:sz w:val="32"/>
          <w:szCs w:val="28"/>
        </w:rPr>
        <w:t>电子邮箱：</w:t>
      </w:r>
      <w:r>
        <w:rPr>
          <w:rFonts w:ascii="仿宋_GB2312" w:hAnsi="Times New Roman" w:eastAsia="仿宋_GB2312" w:cs="Times New Roman"/>
          <w:sz w:val="32"/>
          <w:szCs w:val="28"/>
          <w:u w:val="single"/>
        </w:rPr>
        <w:t xml:space="preserve">                   </w:t>
      </w:r>
    </w:p>
    <w:p>
      <w:pPr>
        <w:spacing w:line="560" w:lineRule="exact"/>
        <w:ind w:firstLine="200"/>
        <w:jc w:val="left"/>
        <w:rPr>
          <w:rFonts w:ascii="仿宋_GB2312" w:hAnsi="Times New Roman" w:eastAsia="仿宋_GB2312" w:cs="Times New Roman"/>
          <w:sz w:val="32"/>
          <w:szCs w:val="28"/>
        </w:rPr>
      </w:pPr>
      <w:r>
        <w:rPr>
          <w:rFonts w:hint="eastAsia" w:ascii="仿宋_GB2312" w:hAnsi="Times New Roman" w:eastAsia="仿宋_GB2312" w:cs="Times New Roman"/>
          <w:sz w:val="32"/>
          <w:szCs w:val="28"/>
        </w:rPr>
        <w:t>通信地址：</w:t>
      </w:r>
      <w:r>
        <w:rPr>
          <w:rFonts w:ascii="仿宋_GB2312" w:hAnsi="Times New Roman" w:eastAsia="仿宋_GB2312" w:cs="Times New Roman"/>
          <w:sz w:val="32"/>
          <w:szCs w:val="28"/>
          <w:u w:val="single"/>
        </w:rPr>
        <w:t xml:space="preserve">                   </w:t>
      </w:r>
    </w:p>
    <w:p>
      <w:pPr>
        <w:spacing w:line="560" w:lineRule="exact"/>
        <w:ind w:firstLine="200"/>
        <w:jc w:val="left"/>
        <w:rPr>
          <w:rFonts w:ascii="仿宋_GB2312" w:hAnsi="Times New Roman" w:eastAsia="仿宋_GB2312" w:cs="Times New Roman"/>
          <w:sz w:val="32"/>
          <w:szCs w:val="28"/>
        </w:rPr>
      </w:pPr>
      <w:r>
        <w:rPr>
          <w:rFonts w:hint="eastAsia" w:ascii="仿宋_GB2312" w:hAnsi="Times New Roman" w:eastAsia="仿宋_GB2312" w:cs="Times New Roman"/>
          <w:sz w:val="32"/>
          <w:szCs w:val="28"/>
        </w:rPr>
        <w:t>传</w:t>
      </w:r>
      <w:r>
        <w:rPr>
          <w:rFonts w:ascii="仿宋_GB2312" w:hAnsi="Times New Roman" w:eastAsia="仿宋_GB2312" w:cs="Times New Roman"/>
          <w:sz w:val="32"/>
          <w:szCs w:val="28"/>
        </w:rPr>
        <w:t xml:space="preserve">    </w:t>
      </w:r>
      <w:r>
        <w:rPr>
          <w:rFonts w:hint="eastAsia" w:ascii="仿宋_GB2312" w:hAnsi="Times New Roman" w:eastAsia="仿宋_GB2312" w:cs="Times New Roman"/>
          <w:sz w:val="32"/>
          <w:szCs w:val="28"/>
        </w:rPr>
        <w:t>真：</w:t>
      </w:r>
      <w:r>
        <w:rPr>
          <w:rFonts w:ascii="仿宋_GB2312" w:hAnsi="Times New Roman" w:eastAsia="仿宋_GB2312" w:cs="Times New Roman"/>
          <w:sz w:val="32"/>
          <w:szCs w:val="28"/>
          <w:u w:val="single"/>
        </w:rPr>
        <w:t xml:space="preserve">                   </w:t>
      </w:r>
    </w:p>
    <w:p>
      <w:pPr>
        <w:spacing w:line="560" w:lineRule="exact"/>
        <w:ind w:firstLine="200"/>
        <w:jc w:val="left"/>
        <w:rPr>
          <w:rFonts w:ascii="仿宋_GB2312" w:hAnsi="Times New Roman" w:eastAsia="仿宋_GB2312" w:cs="Times New Roman"/>
          <w:sz w:val="32"/>
          <w:szCs w:val="28"/>
        </w:rPr>
      </w:pPr>
    </w:p>
    <w:p>
      <w:pPr>
        <w:spacing w:line="560" w:lineRule="exact"/>
        <w:ind w:firstLine="200"/>
        <w:jc w:val="left"/>
        <w:rPr>
          <w:rFonts w:ascii="仿宋_GB2312" w:hAnsi="Times New Roman" w:eastAsia="仿宋_GB2312" w:cs="Times New Roman"/>
          <w:sz w:val="32"/>
          <w:szCs w:val="28"/>
          <w:u w:val="single"/>
        </w:rPr>
      </w:pPr>
      <w:r>
        <w:rPr>
          <w:rFonts w:hint="eastAsia" w:ascii="仿宋_GB2312" w:hAnsi="Times New Roman" w:eastAsia="仿宋_GB2312" w:cs="Times New Roman"/>
          <w:sz w:val="32"/>
          <w:szCs w:val="28"/>
        </w:rPr>
        <w:t>退款信息：账户名称：</w:t>
      </w:r>
      <w:r>
        <w:rPr>
          <w:rFonts w:ascii="仿宋_GB2312" w:hAnsi="Times New Roman" w:eastAsia="仿宋_GB2312" w:cs="Times New Roman"/>
          <w:sz w:val="32"/>
          <w:szCs w:val="28"/>
          <w:u w:val="single"/>
        </w:rPr>
        <w:t xml:space="preserve">                   </w:t>
      </w:r>
    </w:p>
    <w:p>
      <w:pPr>
        <w:spacing w:line="560" w:lineRule="exact"/>
        <w:ind w:firstLine="200"/>
        <w:jc w:val="left"/>
        <w:rPr>
          <w:rFonts w:ascii="仿宋_GB2312" w:hAnsi="Times New Roman" w:eastAsia="仿宋_GB2312" w:cs="Times New Roman"/>
          <w:sz w:val="32"/>
          <w:szCs w:val="28"/>
        </w:rPr>
      </w:pPr>
      <w:r>
        <w:rPr>
          <w:rFonts w:ascii="仿宋_GB2312" w:hAnsi="Times New Roman" w:eastAsia="仿宋_GB2312" w:cs="Times New Roman"/>
          <w:sz w:val="32"/>
          <w:szCs w:val="28"/>
        </w:rPr>
        <w:t xml:space="preserve">          </w:t>
      </w:r>
      <w:r>
        <w:rPr>
          <w:rFonts w:hint="eastAsia" w:ascii="仿宋_GB2312" w:hAnsi="Times New Roman" w:eastAsia="仿宋_GB2312" w:cs="Times New Roman"/>
          <w:sz w:val="32"/>
          <w:szCs w:val="28"/>
        </w:rPr>
        <w:t>开户行：</w:t>
      </w:r>
      <w:r>
        <w:rPr>
          <w:rFonts w:ascii="仿宋_GB2312" w:hAnsi="Times New Roman" w:eastAsia="仿宋_GB2312" w:cs="Times New Roman"/>
          <w:sz w:val="32"/>
          <w:szCs w:val="28"/>
          <w:u w:val="single"/>
        </w:rPr>
        <w:t xml:space="preserve">                     </w:t>
      </w:r>
    </w:p>
    <w:p>
      <w:pPr>
        <w:spacing w:line="560" w:lineRule="exact"/>
        <w:ind w:firstLine="200"/>
        <w:jc w:val="left"/>
        <w:rPr>
          <w:rFonts w:ascii="仿宋_GB2312" w:hAnsi="Times New Roman" w:eastAsia="仿宋_GB2312" w:cs="Times New Roman"/>
          <w:sz w:val="32"/>
          <w:szCs w:val="28"/>
        </w:rPr>
      </w:pPr>
      <w:r>
        <w:rPr>
          <w:rFonts w:ascii="仿宋_GB2312" w:hAnsi="Times New Roman" w:eastAsia="仿宋_GB2312" w:cs="Times New Roman"/>
          <w:sz w:val="32"/>
          <w:szCs w:val="28"/>
        </w:rPr>
        <w:t xml:space="preserve">          </w:t>
      </w:r>
      <w:r>
        <w:rPr>
          <w:rFonts w:hint="eastAsia" w:ascii="仿宋_GB2312" w:hAnsi="Times New Roman" w:eastAsia="仿宋_GB2312" w:cs="Times New Roman"/>
          <w:sz w:val="32"/>
          <w:szCs w:val="28"/>
        </w:rPr>
        <w:t>账</w:t>
      </w:r>
      <w:r>
        <w:rPr>
          <w:rFonts w:ascii="仿宋_GB2312" w:hAnsi="Times New Roman" w:eastAsia="仿宋_GB2312" w:cs="Times New Roman"/>
          <w:sz w:val="32"/>
          <w:szCs w:val="28"/>
        </w:rPr>
        <w:t xml:space="preserve">    </w:t>
      </w:r>
      <w:r>
        <w:rPr>
          <w:rFonts w:hint="eastAsia" w:ascii="仿宋_GB2312" w:hAnsi="Times New Roman" w:eastAsia="仿宋_GB2312" w:cs="Times New Roman"/>
          <w:sz w:val="32"/>
          <w:szCs w:val="28"/>
        </w:rPr>
        <w:t>号：</w:t>
      </w:r>
      <w:r>
        <w:rPr>
          <w:rFonts w:ascii="仿宋_GB2312" w:hAnsi="Times New Roman" w:eastAsia="仿宋_GB2312" w:cs="Times New Roman"/>
          <w:sz w:val="32"/>
          <w:szCs w:val="28"/>
          <w:u w:val="single"/>
        </w:rPr>
        <w:t xml:space="preserve">                   </w:t>
      </w:r>
    </w:p>
    <w:p>
      <w:pPr>
        <w:spacing w:line="560" w:lineRule="exact"/>
        <w:ind w:right="735" w:rightChars="350" w:firstLine="200"/>
        <w:jc w:val="left"/>
        <w:rPr>
          <w:rFonts w:ascii="仿宋_GB2312" w:hAnsi="Times New Roman" w:eastAsia="仿宋_GB2312" w:cs="Times New Roman"/>
          <w:sz w:val="32"/>
          <w:szCs w:val="28"/>
        </w:rPr>
      </w:pPr>
    </w:p>
    <w:p>
      <w:pPr>
        <w:spacing w:line="560" w:lineRule="exact"/>
        <w:ind w:right="735" w:rightChars="350" w:firstLine="200"/>
        <w:jc w:val="right"/>
        <w:rPr>
          <w:rFonts w:ascii="仿宋_GB2312" w:hAnsi="Times New Roman" w:eastAsia="仿宋_GB2312" w:cs="Times New Roman"/>
          <w:sz w:val="32"/>
          <w:szCs w:val="28"/>
        </w:rPr>
      </w:pPr>
      <w:r>
        <w:rPr>
          <w:rFonts w:hint="eastAsia" w:ascii="仿宋_GB2312" w:hAnsi="Times New Roman" w:eastAsia="仿宋_GB2312" w:cs="Times New Roman"/>
          <w:sz w:val="32"/>
          <w:szCs w:val="28"/>
        </w:rPr>
        <w:t>意向战略投资者（公章）：</w:t>
      </w:r>
    </w:p>
    <w:p>
      <w:pPr>
        <w:spacing w:line="560" w:lineRule="exact"/>
        <w:ind w:right="735" w:rightChars="350" w:firstLine="200"/>
        <w:jc w:val="right"/>
        <w:rPr>
          <w:rFonts w:ascii="仿宋_GB2312" w:hAnsi="Times New Roman" w:eastAsia="仿宋_GB2312" w:cs="Times New Roman"/>
          <w:sz w:val="32"/>
          <w:szCs w:val="28"/>
        </w:rPr>
      </w:pPr>
    </w:p>
    <w:p>
      <w:pPr>
        <w:spacing w:line="560" w:lineRule="exact"/>
        <w:ind w:right="735" w:rightChars="350" w:firstLine="200"/>
        <w:jc w:val="right"/>
        <w:rPr>
          <w:rFonts w:ascii="仿宋_GB2312" w:hAnsi="Times New Roman" w:eastAsia="仿宋_GB2312" w:cs="Times New Roman"/>
          <w:sz w:val="32"/>
          <w:szCs w:val="28"/>
        </w:rPr>
      </w:pPr>
      <w:r>
        <w:rPr>
          <w:rFonts w:hint="eastAsia" w:ascii="仿宋_GB2312" w:hAnsi="Times New Roman" w:eastAsia="仿宋_GB2312" w:cs="Times New Roman"/>
          <w:sz w:val="32"/>
          <w:szCs w:val="28"/>
        </w:rPr>
        <w:t>法定代表人或授权代表人（签字）：</w:t>
      </w:r>
    </w:p>
    <w:p>
      <w:pPr>
        <w:spacing w:line="560" w:lineRule="exact"/>
        <w:ind w:right="735" w:rightChars="350" w:firstLine="200"/>
        <w:jc w:val="right"/>
        <w:rPr>
          <w:rFonts w:ascii="仿宋_GB2312" w:hAnsi="Times New Roman" w:eastAsia="仿宋_GB2312" w:cs="Times New Roman"/>
          <w:sz w:val="32"/>
          <w:szCs w:val="28"/>
        </w:rPr>
      </w:pPr>
    </w:p>
    <w:p>
      <w:pPr>
        <w:spacing w:line="560" w:lineRule="exact"/>
        <w:ind w:right="735" w:rightChars="350" w:firstLine="200"/>
        <w:jc w:val="right"/>
        <w:rPr>
          <w:rFonts w:ascii="Times New Roman" w:hAnsi="Times New Roman" w:eastAsia="仿宋_GB2312" w:cs="Times New Roman"/>
          <w:sz w:val="32"/>
          <w:szCs w:val="28"/>
        </w:rPr>
      </w:pPr>
      <w:r>
        <w:rPr>
          <w:rFonts w:ascii="Times New Roman" w:hAnsi="Times New Roman" w:eastAsia="仿宋_GB2312" w:cs="Times New Roman"/>
          <w:sz w:val="32"/>
          <w:szCs w:val="28"/>
        </w:rPr>
        <w:t>2024</w:t>
      </w:r>
      <w:r>
        <w:rPr>
          <w:rFonts w:hint="eastAsia" w:ascii="Times New Roman" w:hAnsi="Times New Roman" w:eastAsia="仿宋_GB2312" w:cs="Times New Roman"/>
          <w:sz w:val="32"/>
          <w:szCs w:val="28"/>
        </w:rPr>
        <w:t>年【】月【】日</w:t>
      </w:r>
    </w:p>
    <w:p>
      <w:pPr>
        <w:widowControl/>
        <w:jc w:val="left"/>
        <w:rPr>
          <w:rFonts w:ascii="仿宋_GB2312" w:hAnsi="Times New Roman" w:eastAsia="仿宋_GB2312" w:cs="Times New Roman"/>
          <w:sz w:val="32"/>
          <w:szCs w:val="28"/>
        </w:rPr>
      </w:pPr>
      <w:r>
        <w:rPr>
          <w:rFonts w:ascii="仿宋_GB2312" w:hAnsi="Times New Roman" w:eastAsia="仿宋_GB2312" w:cs="Times New Roman"/>
          <w:sz w:val="32"/>
          <w:szCs w:val="28"/>
        </w:rPr>
        <w:br w:type="page"/>
      </w:r>
    </w:p>
    <w:p>
      <w:pPr>
        <w:spacing w:line="560" w:lineRule="exact"/>
        <w:ind w:right="735" w:rightChars="350" w:firstLine="200"/>
        <w:jc w:val="left"/>
        <w:rPr>
          <w:rFonts w:ascii="仿宋_GB2312" w:hAnsi="宋体" w:eastAsia="仿宋_GB2312" w:cs="Times New Roman"/>
          <w:b/>
          <w:bCs/>
          <w:sz w:val="32"/>
          <w:szCs w:val="28"/>
        </w:rPr>
      </w:pPr>
      <w:r>
        <w:rPr>
          <w:rFonts w:hint="eastAsia" w:ascii="仿宋_GB2312" w:hAnsi="宋体" w:eastAsia="仿宋_GB2312" w:cs="Times New Roman"/>
          <w:b/>
          <w:bCs/>
          <w:sz w:val="32"/>
          <w:szCs w:val="28"/>
        </w:rPr>
        <w:t>附件二:</w:t>
      </w:r>
    </w:p>
    <w:p>
      <w:pPr>
        <w:spacing w:line="360" w:lineRule="auto"/>
        <w:jc w:val="center"/>
        <w:rPr>
          <w:rFonts w:ascii="Times New Roman" w:hAnsi="Times New Roman" w:eastAsia="宋体" w:cs="Times New Roman"/>
          <w:b/>
          <w:sz w:val="44"/>
          <w:szCs w:val="28"/>
        </w:rPr>
      </w:pPr>
      <w:r>
        <w:rPr>
          <w:rFonts w:ascii="Times New Roman" w:hAnsi="Times New Roman" w:eastAsia="宋体" w:cs="Times New Roman"/>
          <w:b/>
          <w:sz w:val="44"/>
          <w:szCs w:val="28"/>
        </w:rPr>
        <w:t>不属于失信联合惩戒对象</w:t>
      </w:r>
      <w:r>
        <w:rPr>
          <w:rFonts w:hint="eastAsia" w:ascii="Times New Roman" w:hAnsi="Times New Roman" w:eastAsia="宋体" w:cs="Times New Roman"/>
          <w:b/>
          <w:sz w:val="44"/>
          <w:szCs w:val="28"/>
        </w:rPr>
        <w:t>以及保密承诺函</w:t>
      </w:r>
    </w:p>
    <w:p>
      <w:pPr>
        <w:spacing w:line="560" w:lineRule="exact"/>
        <w:jc w:val="left"/>
        <w:rPr>
          <w:rFonts w:ascii="仿宋_GB2312" w:hAnsi="Times New Roman" w:eastAsia="仿宋_GB2312" w:cs="Times New Roman"/>
          <w:sz w:val="32"/>
          <w:szCs w:val="28"/>
        </w:rPr>
      </w:pPr>
      <w:r>
        <w:rPr>
          <w:rFonts w:hint="eastAsia" w:ascii="仿宋_GB2312" w:hAnsi="Times New Roman" w:eastAsia="仿宋_GB2312" w:cs="Times New Roman"/>
          <w:sz w:val="32"/>
          <w:szCs w:val="28"/>
        </w:rPr>
        <w:t>致：敕勒川公司管理人</w:t>
      </w:r>
    </w:p>
    <w:p>
      <w:pPr>
        <w:spacing w:line="560" w:lineRule="exact"/>
        <w:jc w:val="left"/>
        <w:rPr>
          <w:rFonts w:ascii="仿宋_GB2312" w:hAnsi="Times New Roman" w:eastAsia="仿宋_GB2312" w:cs="Times New Roman"/>
          <w:sz w:val="32"/>
          <w:szCs w:val="28"/>
        </w:rPr>
      </w:pPr>
    </w:p>
    <w:p>
      <w:pPr>
        <w:spacing w:line="560" w:lineRule="exact"/>
        <w:ind w:firstLine="640" w:firstLineChars="200"/>
        <w:jc w:val="lef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【】（以下简称“本公司”）拟参与敕勒川公司重整项目投资（以下简称“本次投资”），本公司就如下事项作出承诺：</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、本公司不存在被人民法院列入失信被执行人名单的情形，不属于失信惩戒对象。</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未经管理人许可，本公司不得以任何方式为除本次投资相关工作以外的其他目的擅自使用保密信息（包括但不限于本公司参与本次投资接受、接触的有关企业业务、财务、技术、人事、管理、本次投资等方面的信息、记录、文件和资料，以及与本次投资有关的意见、建议、分析、研究报告等），或公布、披露给任何第三方，或许可任何第三方使用上述保密信息。</w:t>
      </w:r>
    </w:p>
    <w:p>
      <w:pPr>
        <w:spacing w:line="560" w:lineRule="exact"/>
        <w:ind w:firstLine="640" w:firstLineChars="200"/>
        <w:jc w:val="left"/>
        <w:rPr>
          <w:rFonts w:ascii="仿宋_GB2312" w:hAnsi="Times New Roman" w:eastAsia="仿宋_GB2312" w:cs="Times New Roman"/>
          <w:sz w:val="32"/>
          <w:szCs w:val="28"/>
        </w:rPr>
      </w:pPr>
      <w:r>
        <w:rPr>
          <w:rFonts w:hint="eastAsia" w:ascii="Times New Roman" w:hAnsi="Times New Roman" w:eastAsia="仿宋_GB2312" w:cs="Times New Roman"/>
          <w:sz w:val="32"/>
          <w:szCs w:val="32"/>
        </w:rPr>
        <w:t>本公司若有违反本承诺内容的行为，愿意承担全部法律责任。</w:t>
      </w:r>
    </w:p>
    <w:p>
      <w:pPr>
        <w:spacing w:line="560" w:lineRule="exact"/>
        <w:ind w:firstLine="640" w:firstLineChars="200"/>
        <w:jc w:val="left"/>
        <w:rPr>
          <w:rFonts w:ascii="Times New Roman" w:hAnsi="Times New Roman" w:eastAsia="仿宋_GB2312" w:cs="Times New Roman"/>
          <w:sz w:val="32"/>
          <w:szCs w:val="32"/>
        </w:rPr>
      </w:pPr>
    </w:p>
    <w:p>
      <w:pPr>
        <w:spacing w:line="560" w:lineRule="exact"/>
        <w:ind w:right="640" w:firstLine="4000" w:firstLineChars="1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意向战略投资者（公章）：</w:t>
      </w:r>
    </w:p>
    <w:p>
      <w:pPr>
        <w:spacing w:line="560" w:lineRule="exact"/>
        <w:ind w:firstLine="640" w:firstLineChars="200"/>
        <w:jc w:val="right"/>
        <w:rPr>
          <w:rFonts w:ascii="Times New Roman" w:hAnsi="Times New Roman" w:eastAsia="仿宋_GB2312" w:cs="Times New Roman"/>
          <w:sz w:val="32"/>
          <w:szCs w:val="32"/>
        </w:rPr>
      </w:pPr>
    </w:p>
    <w:p>
      <w:pPr>
        <w:spacing w:line="560" w:lineRule="exact"/>
        <w:ind w:right="160" w:firstLine="640" w:firstLineChars="200"/>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法定代表人或授权代表人（签字）：</w:t>
      </w:r>
    </w:p>
    <w:p>
      <w:pPr>
        <w:spacing w:line="560" w:lineRule="exact"/>
        <w:ind w:firstLine="640" w:firstLineChars="200"/>
        <w:jc w:val="right"/>
        <w:rPr>
          <w:rFonts w:ascii="Times New Roman" w:hAnsi="Times New Roman" w:eastAsia="仿宋_GB2312" w:cs="Times New Roman"/>
          <w:sz w:val="32"/>
          <w:szCs w:val="32"/>
        </w:rPr>
      </w:pPr>
    </w:p>
    <w:p>
      <w:pPr>
        <w:spacing w:line="560" w:lineRule="exact"/>
        <w:ind w:firstLine="640" w:firstLineChars="200"/>
        <w:jc w:val="right"/>
        <w:rPr>
          <w:rFonts w:ascii="仿宋_GB2312" w:hAnsi="Times New Roman" w:eastAsia="仿宋_GB2312" w:cs="Times New Roman"/>
          <w:sz w:val="28"/>
          <w:szCs w:val="28"/>
        </w:rPr>
      </w:pPr>
      <w:r>
        <w:rPr>
          <w:rFonts w:ascii="Times New Roman" w:hAnsi="Times New Roman" w:eastAsia="仿宋_GB2312" w:cs="Times New Roman"/>
          <w:sz w:val="32"/>
          <w:szCs w:val="32"/>
        </w:rPr>
        <w:t>2024</w:t>
      </w:r>
      <w:r>
        <w:rPr>
          <w:rFonts w:hint="eastAsia" w:ascii="Times New Roman" w:hAnsi="Times New Roman" w:eastAsia="仿宋_GB2312" w:cs="Times New Roman"/>
          <w:sz w:val="32"/>
          <w:szCs w:val="32"/>
        </w:rPr>
        <w:t>年【】月【】日</w:t>
      </w:r>
      <w:r>
        <w:rPr>
          <w:rFonts w:ascii="仿宋_GB2312" w:hAnsi="Times New Roman" w:eastAsia="仿宋_GB2312" w:cs="Times New Roman"/>
          <w:sz w:val="28"/>
          <w:szCs w:val="28"/>
        </w:rPr>
        <w:br w:type="page"/>
      </w:r>
    </w:p>
    <w:p>
      <w:pPr>
        <w:spacing w:line="560" w:lineRule="exact"/>
        <w:ind w:right="735" w:rightChars="350" w:firstLine="200"/>
        <w:jc w:val="left"/>
        <w:rPr>
          <w:rFonts w:ascii="仿宋_GB2312" w:hAnsi="Times New Roman" w:eastAsia="仿宋_GB2312" w:cs="Times New Roman"/>
          <w:b/>
          <w:sz w:val="32"/>
          <w:szCs w:val="28"/>
        </w:rPr>
      </w:pPr>
      <w:r>
        <w:rPr>
          <w:rFonts w:hint="eastAsia" w:ascii="仿宋_GB2312" w:hAnsi="Times New Roman" w:eastAsia="仿宋_GB2312" w:cs="Times New Roman"/>
          <w:b/>
          <w:sz w:val="32"/>
          <w:szCs w:val="28"/>
        </w:rPr>
        <w:t>附件三、</w:t>
      </w:r>
    </w:p>
    <w:p>
      <w:pPr>
        <w:spacing w:line="360" w:lineRule="auto"/>
        <w:jc w:val="center"/>
        <w:rPr>
          <w:rFonts w:ascii="Times New Roman" w:hAnsi="Times New Roman" w:eastAsia="宋体" w:cs="Times New Roman"/>
          <w:b/>
          <w:sz w:val="44"/>
          <w:szCs w:val="28"/>
        </w:rPr>
      </w:pPr>
      <w:r>
        <w:rPr>
          <w:rFonts w:hint="eastAsia" w:ascii="Times New Roman" w:hAnsi="Times New Roman" w:eastAsia="宋体" w:cs="Times New Roman"/>
          <w:b/>
          <w:sz w:val="44"/>
          <w:szCs w:val="28"/>
        </w:rPr>
        <w:t>资金来源合法合规承诺函</w:t>
      </w:r>
    </w:p>
    <w:p>
      <w:pPr>
        <w:spacing w:line="560" w:lineRule="exact"/>
        <w:ind w:firstLine="200"/>
        <w:jc w:val="left"/>
        <w:rPr>
          <w:rFonts w:ascii="仿宋_GB2312" w:hAnsi="Times New Roman" w:eastAsia="仿宋_GB2312" w:cs="Times New Roman"/>
          <w:sz w:val="32"/>
          <w:szCs w:val="28"/>
        </w:rPr>
      </w:pPr>
      <w:r>
        <w:rPr>
          <w:rFonts w:hint="eastAsia" w:ascii="仿宋_GB2312" w:hAnsi="Times New Roman" w:eastAsia="仿宋_GB2312" w:cs="Times New Roman"/>
          <w:sz w:val="32"/>
          <w:szCs w:val="28"/>
        </w:rPr>
        <w:t>致：敕勒川公司管理人</w:t>
      </w:r>
    </w:p>
    <w:p>
      <w:pPr>
        <w:spacing w:line="560" w:lineRule="exact"/>
        <w:ind w:firstLine="200"/>
        <w:jc w:val="left"/>
        <w:rPr>
          <w:rFonts w:ascii="仿宋_GB2312" w:hAnsi="Times New Roman" w:eastAsia="仿宋_GB2312" w:cs="Times New Roman"/>
          <w:sz w:val="32"/>
          <w:szCs w:val="28"/>
        </w:rPr>
      </w:pPr>
    </w:p>
    <w:p>
      <w:pPr>
        <w:spacing w:line="560" w:lineRule="exact"/>
        <w:ind w:firstLine="640" w:firstLineChars="200"/>
        <w:jc w:val="lef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【】（以下简称“本公司”）拟参与敕勒川公司重整项目投资（以下简称“本次投资”），本公司就本次投资资金来源合法合规作出如下承诺：</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本公司保证用于本次投资的资金全部来源于自有资金或自筹资金，不存在分级收益等结构化安排，亦未采用杠杆或其他结构化的方式进行融资，资金来源合法合规，不存在任何争议及潜在纠纷，也不存在因资金来源问题可能导致本次投资权益存在任何权属争议的情形。</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、本公司保证本次投资的资金不存在通过代持、信托持股、委托持股等方式出资的情况，亦不存在其他任何导致代持、信托持股、委托持股的协议安排。</w:t>
      </w:r>
    </w:p>
    <w:p>
      <w:pPr>
        <w:spacing w:line="560" w:lineRule="exact"/>
        <w:ind w:right="735" w:rightChars="350" w:firstLine="200"/>
        <w:jc w:val="left"/>
        <w:rPr>
          <w:rFonts w:ascii="仿宋_GB2312" w:hAnsi="Times New Roman" w:eastAsia="仿宋_GB2312" w:cs="Times New Roman"/>
          <w:sz w:val="32"/>
          <w:szCs w:val="28"/>
        </w:rPr>
      </w:pPr>
    </w:p>
    <w:p>
      <w:pPr>
        <w:spacing w:line="560" w:lineRule="exact"/>
        <w:ind w:right="735" w:rightChars="350" w:firstLine="200"/>
        <w:jc w:val="left"/>
        <w:rPr>
          <w:rFonts w:ascii="仿宋_GB2312" w:hAnsi="Times New Roman" w:eastAsia="仿宋_GB2312" w:cs="Times New Roman"/>
          <w:sz w:val="32"/>
          <w:szCs w:val="28"/>
        </w:rPr>
      </w:pPr>
    </w:p>
    <w:p>
      <w:pPr>
        <w:widowControl/>
        <w:spacing w:line="560" w:lineRule="exact"/>
        <w:ind w:right="735" w:rightChars="350" w:firstLine="200"/>
        <w:jc w:val="right"/>
        <w:rPr>
          <w:rFonts w:ascii="仿宋_GB2312" w:hAnsi="Times New Roman" w:eastAsia="仿宋_GB2312" w:cs="Times New Roman"/>
          <w:sz w:val="32"/>
          <w:szCs w:val="28"/>
        </w:rPr>
      </w:pPr>
      <w:r>
        <w:rPr>
          <w:rFonts w:hint="eastAsia" w:ascii="仿宋_GB2312" w:hAnsi="Times New Roman" w:eastAsia="仿宋_GB2312" w:cs="Times New Roman"/>
          <w:sz w:val="32"/>
          <w:szCs w:val="28"/>
        </w:rPr>
        <w:t xml:space="preserve">意向战略投资者（公章）： </w:t>
      </w:r>
      <w:r>
        <w:rPr>
          <w:rFonts w:ascii="仿宋_GB2312" w:hAnsi="Times New Roman" w:eastAsia="仿宋_GB2312" w:cs="Times New Roman"/>
          <w:sz w:val="32"/>
          <w:szCs w:val="28"/>
        </w:rPr>
        <w:t xml:space="preserve">          </w:t>
      </w:r>
    </w:p>
    <w:p>
      <w:pPr>
        <w:widowControl/>
        <w:spacing w:line="560" w:lineRule="exact"/>
        <w:ind w:right="735" w:rightChars="350" w:firstLine="200"/>
        <w:jc w:val="right"/>
        <w:rPr>
          <w:rFonts w:ascii="仿宋_GB2312" w:hAnsi="Times New Roman" w:eastAsia="仿宋_GB2312" w:cs="Times New Roman"/>
          <w:sz w:val="32"/>
          <w:szCs w:val="28"/>
        </w:rPr>
      </w:pPr>
    </w:p>
    <w:p>
      <w:pPr>
        <w:widowControl/>
        <w:spacing w:line="560" w:lineRule="exact"/>
        <w:ind w:right="735" w:rightChars="350" w:firstLine="200"/>
        <w:jc w:val="right"/>
        <w:rPr>
          <w:rFonts w:ascii="仿宋_GB2312" w:hAnsi="Times New Roman" w:eastAsia="仿宋_GB2312" w:cs="Times New Roman"/>
          <w:sz w:val="32"/>
          <w:szCs w:val="28"/>
        </w:rPr>
      </w:pPr>
      <w:r>
        <w:rPr>
          <w:rFonts w:hint="eastAsia" w:ascii="仿宋_GB2312" w:hAnsi="Times New Roman" w:eastAsia="仿宋_GB2312" w:cs="Times New Roman"/>
          <w:sz w:val="32"/>
          <w:szCs w:val="28"/>
        </w:rPr>
        <w:t xml:space="preserve">法定代表人或授权代表人（签字）： </w:t>
      </w:r>
      <w:r>
        <w:rPr>
          <w:rFonts w:ascii="仿宋_GB2312" w:hAnsi="Times New Roman" w:eastAsia="仿宋_GB2312" w:cs="Times New Roman"/>
          <w:sz w:val="32"/>
          <w:szCs w:val="28"/>
        </w:rPr>
        <w:t xml:space="preserve">          </w:t>
      </w:r>
    </w:p>
    <w:p>
      <w:pPr>
        <w:widowControl/>
        <w:spacing w:line="560" w:lineRule="exact"/>
        <w:ind w:right="735" w:rightChars="350" w:firstLine="200"/>
        <w:jc w:val="right"/>
        <w:rPr>
          <w:rFonts w:ascii="仿宋_GB2312" w:hAnsi="Times New Roman" w:eastAsia="仿宋_GB2312" w:cs="Times New Roman"/>
          <w:sz w:val="32"/>
          <w:szCs w:val="28"/>
        </w:rPr>
      </w:pPr>
    </w:p>
    <w:p>
      <w:pPr>
        <w:widowControl/>
        <w:spacing w:line="560" w:lineRule="exact"/>
        <w:ind w:right="735" w:rightChars="350" w:firstLine="200"/>
        <w:jc w:val="right"/>
        <w:rPr>
          <w:rFonts w:ascii="Times New Roman" w:hAnsi="Times New Roman" w:eastAsia="仿宋_GB2312" w:cs="Times New Roman"/>
          <w:sz w:val="32"/>
          <w:szCs w:val="28"/>
        </w:rPr>
      </w:pPr>
      <w:r>
        <w:rPr>
          <w:rFonts w:ascii="Times New Roman" w:hAnsi="Times New Roman" w:eastAsia="仿宋_GB2312" w:cs="Times New Roman"/>
          <w:sz w:val="32"/>
          <w:szCs w:val="28"/>
        </w:rPr>
        <w:t>2024</w:t>
      </w:r>
      <w:r>
        <w:rPr>
          <w:rFonts w:hint="eastAsia" w:ascii="Times New Roman" w:hAnsi="Times New Roman" w:eastAsia="仿宋_GB2312" w:cs="Times New Roman"/>
          <w:sz w:val="32"/>
          <w:szCs w:val="28"/>
        </w:rPr>
        <w:t>年【】月【】日</w:t>
      </w:r>
    </w:p>
    <w:p>
      <w:pPr>
        <w:widowControl/>
        <w:spacing w:line="560" w:lineRule="exact"/>
        <w:jc w:val="left"/>
        <w:rPr>
          <w:rFonts w:ascii="仿宋_GB2312" w:hAnsi="Times New Roman" w:eastAsia="仿宋_GB2312" w:cs="Times New Roman"/>
          <w:b/>
          <w:bCs/>
          <w:sz w:val="32"/>
          <w:szCs w:val="32"/>
        </w:rPr>
      </w:pPr>
      <w:r>
        <w:rPr>
          <w:rFonts w:ascii="仿宋_GB2312" w:hAnsi="Times New Roman" w:eastAsia="仿宋_GB2312" w:cs="Times New Roman"/>
          <w:sz w:val="28"/>
          <w:szCs w:val="28"/>
        </w:rPr>
        <w:br w:type="page"/>
      </w:r>
      <w:r>
        <w:rPr>
          <w:rFonts w:hint="eastAsia" w:ascii="仿宋_GB2312" w:hAnsi="Times New Roman" w:eastAsia="仿宋_GB2312" w:cs="Times New Roman"/>
          <w:b/>
          <w:bCs/>
          <w:sz w:val="32"/>
          <w:szCs w:val="32"/>
        </w:rPr>
        <w:t>附件四、</w:t>
      </w:r>
    </w:p>
    <w:p>
      <w:pPr>
        <w:spacing w:line="360" w:lineRule="auto"/>
        <w:jc w:val="center"/>
        <w:rPr>
          <w:rFonts w:ascii="Times New Roman" w:hAnsi="Times New Roman" w:eastAsia="宋体" w:cs="Times New Roman"/>
          <w:b/>
          <w:sz w:val="44"/>
          <w:szCs w:val="28"/>
        </w:rPr>
      </w:pPr>
      <w:r>
        <w:rPr>
          <w:rFonts w:hint="eastAsia" w:ascii="Times New Roman" w:hAnsi="Times New Roman" w:eastAsia="宋体" w:cs="Times New Roman"/>
          <w:b/>
          <w:sz w:val="44"/>
          <w:szCs w:val="28"/>
        </w:rPr>
        <w:t>长期稳定经营旅游区运营业务承诺函</w:t>
      </w:r>
    </w:p>
    <w:p>
      <w:pPr>
        <w:spacing w:line="560" w:lineRule="exact"/>
        <w:ind w:right="735" w:rightChars="350" w:firstLine="200"/>
        <w:jc w:val="center"/>
        <w:rPr>
          <w:rFonts w:ascii="仿宋_GB2312" w:hAnsi="Times New Roman" w:eastAsia="仿宋_GB2312" w:cs="Times New Roman"/>
          <w:b/>
          <w:sz w:val="32"/>
          <w:szCs w:val="32"/>
        </w:rPr>
      </w:pP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【】（以下简称“本公司”）拟参与</w:t>
      </w:r>
      <w:r>
        <w:rPr>
          <w:rFonts w:hint="eastAsia" w:ascii="Times New Roman" w:hAnsi="Times New Roman" w:eastAsia="仿宋_GB2312" w:cs="Times New Roman"/>
          <w:sz w:val="32"/>
          <w:szCs w:val="28"/>
        </w:rPr>
        <w:t>敕勒川公司</w:t>
      </w:r>
      <w:r>
        <w:rPr>
          <w:rFonts w:hint="eastAsia" w:ascii="Times New Roman" w:hAnsi="Times New Roman" w:eastAsia="仿宋_GB2312" w:cs="Times New Roman"/>
          <w:sz w:val="32"/>
          <w:szCs w:val="32"/>
        </w:rPr>
        <w:t>重整项目投资，本公司就长期稳定运营旅游区业务作出如下承诺：</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本公司充分理解旅游区运营业务的公共服务性质与生态保护意义，自愿长期、稳定经营景区运营主业，并承诺如本公司最终成为重整战略投资人，</w:t>
      </w:r>
      <w:r>
        <w:rPr>
          <w:rFonts w:ascii="Times New Roman" w:hAnsi="Times New Roman" w:eastAsia="仿宋_GB2312" w:cs="Times New Roman"/>
          <w:sz w:val="32"/>
          <w:szCs w:val="32"/>
        </w:rPr>
        <w:t>5</w:t>
      </w:r>
      <w:r>
        <w:rPr>
          <w:rFonts w:hint="eastAsia" w:ascii="Times New Roman" w:hAnsi="Times New Roman" w:eastAsia="仿宋_GB2312" w:cs="Times New Roman"/>
          <w:sz w:val="32"/>
          <w:szCs w:val="32"/>
        </w:rPr>
        <w:t>年内不以包括变更投资主体实际控制人在内的方式退出。</w:t>
      </w:r>
    </w:p>
    <w:p>
      <w:pPr>
        <w:spacing w:line="560" w:lineRule="exact"/>
        <w:ind w:firstLine="640" w:firstLineChars="200"/>
        <w:rPr>
          <w:rFonts w:ascii="仿宋_GB2312" w:hAnsi="Times New Roman" w:eastAsia="仿宋_GB2312" w:cs="Times New Roman"/>
          <w:sz w:val="32"/>
          <w:szCs w:val="32"/>
        </w:rPr>
      </w:pPr>
    </w:p>
    <w:p>
      <w:pPr>
        <w:spacing w:line="560" w:lineRule="exact"/>
        <w:ind w:firstLine="640" w:firstLineChars="200"/>
        <w:rPr>
          <w:rFonts w:ascii="仿宋_GB2312" w:hAnsi="Times New Roman" w:eastAsia="仿宋_GB2312" w:cs="Times New Roman"/>
          <w:sz w:val="32"/>
          <w:szCs w:val="32"/>
        </w:rPr>
      </w:pPr>
    </w:p>
    <w:p>
      <w:pPr>
        <w:spacing w:line="560" w:lineRule="exact"/>
        <w:ind w:firstLine="640" w:firstLineChars="200"/>
        <w:rPr>
          <w:rFonts w:ascii="仿宋_GB2312" w:hAnsi="Times New Roman" w:eastAsia="仿宋_GB2312" w:cs="Times New Roman"/>
          <w:sz w:val="32"/>
          <w:szCs w:val="32"/>
        </w:rPr>
      </w:pPr>
    </w:p>
    <w:p>
      <w:pPr>
        <w:widowControl/>
        <w:spacing w:line="560" w:lineRule="exact"/>
        <w:ind w:right="735" w:rightChars="350" w:firstLine="200"/>
        <w:jc w:val="right"/>
        <w:rPr>
          <w:rFonts w:ascii="仿宋_GB2312" w:hAnsi="Times New Roman" w:eastAsia="仿宋_GB2312" w:cs="Times New Roman"/>
          <w:sz w:val="32"/>
          <w:szCs w:val="32"/>
        </w:rPr>
      </w:pPr>
      <w:r>
        <w:rPr>
          <w:rFonts w:hint="eastAsia" w:ascii="仿宋_GB2312" w:hAnsi="Times New Roman" w:eastAsia="仿宋_GB2312" w:cs="Times New Roman"/>
          <w:sz w:val="32"/>
          <w:szCs w:val="32"/>
        </w:rPr>
        <w:t xml:space="preserve">意向战略投资者（公章）： </w:t>
      </w:r>
      <w:r>
        <w:rPr>
          <w:rFonts w:ascii="仿宋_GB2312" w:hAnsi="Times New Roman" w:eastAsia="仿宋_GB2312" w:cs="Times New Roman"/>
          <w:sz w:val="32"/>
          <w:szCs w:val="32"/>
        </w:rPr>
        <w:t xml:space="preserve">          </w:t>
      </w:r>
    </w:p>
    <w:p>
      <w:pPr>
        <w:widowControl/>
        <w:spacing w:line="560" w:lineRule="exact"/>
        <w:ind w:right="735" w:rightChars="350" w:firstLine="200"/>
        <w:jc w:val="right"/>
        <w:rPr>
          <w:rFonts w:ascii="仿宋_GB2312" w:hAnsi="Times New Roman" w:eastAsia="仿宋_GB2312" w:cs="Times New Roman"/>
          <w:sz w:val="32"/>
          <w:szCs w:val="32"/>
        </w:rPr>
      </w:pPr>
    </w:p>
    <w:p>
      <w:pPr>
        <w:widowControl/>
        <w:spacing w:line="560" w:lineRule="exact"/>
        <w:ind w:right="735" w:rightChars="350" w:firstLine="200"/>
        <w:jc w:val="right"/>
        <w:rPr>
          <w:rFonts w:ascii="仿宋_GB2312" w:hAnsi="Times New Roman" w:eastAsia="仿宋_GB2312" w:cs="Times New Roman"/>
          <w:sz w:val="32"/>
          <w:szCs w:val="32"/>
        </w:rPr>
      </w:pPr>
      <w:r>
        <w:rPr>
          <w:rFonts w:hint="eastAsia" w:ascii="仿宋_GB2312" w:hAnsi="Times New Roman" w:eastAsia="仿宋_GB2312" w:cs="Times New Roman"/>
          <w:sz w:val="32"/>
          <w:szCs w:val="32"/>
        </w:rPr>
        <w:t xml:space="preserve">法定代表人或授权代表人（签字）： </w:t>
      </w:r>
      <w:r>
        <w:rPr>
          <w:rFonts w:ascii="仿宋_GB2312" w:hAnsi="Times New Roman" w:eastAsia="仿宋_GB2312" w:cs="Times New Roman"/>
          <w:sz w:val="32"/>
          <w:szCs w:val="32"/>
        </w:rPr>
        <w:t xml:space="preserve">          </w:t>
      </w:r>
    </w:p>
    <w:p>
      <w:pPr>
        <w:widowControl/>
        <w:spacing w:line="560" w:lineRule="exact"/>
        <w:ind w:right="735" w:rightChars="350" w:firstLine="200"/>
        <w:jc w:val="right"/>
        <w:rPr>
          <w:rFonts w:ascii="仿宋_GB2312" w:hAnsi="Times New Roman" w:eastAsia="仿宋_GB2312" w:cs="Times New Roman"/>
          <w:sz w:val="32"/>
          <w:szCs w:val="32"/>
        </w:rPr>
      </w:pPr>
    </w:p>
    <w:p>
      <w:pPr>
        <w:widowControl/>
        <w:spacing w:line="560" w:lineRule="exact"/>
        <w:ind w:right="735" w:rightChars="350" w:firstLine="200"/>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Times New Roman"/>
          <w:sz w:val="32"/>
          <w:szCs w:val="32"/>
        </w:rPr>
        <w:t>年【】月【】日</w:t>
      </w:r>
    </w:p>
    <w:sectPr>
      <w:footerReference r:id="rId3" w:type="default"/>
      <w:pgSz w:w="11906" w:h="16838"/>
      <w:pgMar w:top="2098" w:right="1247"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8408088"/>
      <w:docPartObj>
        <w:docPartGallery w:val="AutoText"/>
      </w:docPartObj>
    </w:sdtPr>
    <w:sdtEndPr>
      <w:rPr>
        <w:rFonts w:ascii="Times New Roman" w:hAnsi="Times New Roman" w:eastAsia="仿宋_GB2312"/>
      </w:rPr>
    </w:sdtEndPr>
    <w:sdtContent>
      <w:p>
        <w:pPr>
          <w:pStyle w:val="4"/>
          <w:jc w:val="center"/>
          <w:rPr>
            <w:rFonts w:ascii="Times New Roman" w:hAnsi="Times New Roman" w:eastAsia="仿宋_GB2312"/>
          </w:rPr>
        </w:pPr>
        <w:r>
          <w:rPr>
            <w:rFonts w:ascii="Times New Roman" w:hAnsi="Times New Roman" w:eastAsia="仿宋_GB2312"/>
          </w:rPr>
          <w:fldChar w:fldCharType="begin"/>
        </w:r>
        <w:r>
          <w:rPr>
            <w:rFonts w:ascii="Times New Roman" w:hAnsi="Times New Roman" w:eastAsia="仿宋_GB2312"/>
          </w:rPr>
          <w:instrText xml:space="preserve">PAGE   \* MERGEFORMAT</w:instrText>
        </w:r>
        <w:r>
          <w:rPr>
            <w:rFonts w:ascii="Times New Roman" w:hAnsi="Times New Roman" w:eastAsia="仿宋_GB2312"/>
          </w:rPr>
          <w:fldChar w:fldCharType="separate"/>
        </w:r>
        <w:r>
          <w:rPr>
            <w:rFonts w:ascii="Times New Roman" w:hAnsi="Times New Roman" w:eastAsia="仿宋_GB2312"/>
            <w:lang w:val="zh-CN"/>
          </w:rPr>
          <w:t>2</w:t>
        </w:r>
        <w:r>
          <w:rPr>
            <w:rFonts w:ascii="Times New Roman" w:hAnsi="Times New Roman" w:eastAsia="仿宋_GB2312"/>
          </w:rPr>
          <w:fldChar w:fldCharType="end"/>
        </w:r>
      </w:p>
    </w:sdtContent>
  </w:sdt>
  <w:p>
    <w:pPr>
      <w:pStyle w:val="4"/>
      <w:tabs>
        <w:tab w:val="left" w:pos="1075"/>
        <w:tab w:val="center" w:pos="4535"/>
      </w:tabs>
      <w:jc w:val="cen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EwNTM5NzYwMDRjMzkwZTVkZjY2ODkwMGIxNGU0OTUifQ=="/>
  </w:docVars>
  <w:rsids>
    <w:rsidRoot w:val="00F72351"/>
    <w:rsid w:val="00016193"/>
    <w:rsid w:val="00021642"/>
    <w:rsid w:val="000262D8"/>
    <w:rsid w:val="00076B53"/>
    <w:rsid w:val="00090E98"/>
    <w:rsid w:val="00093042"/>
    <w:rsid w:val="000C0AD0"/>
    <w:rsid w:val="000E425D"/>
    <w:rsid w:val="000E4A9F"/>
    <w:rsid w:val="000F1E91"/>
    <w:rsid w:val="000F74EC"/>
    <w:rsid w:val="00106EED"/>
    <w:rsid w:val="00113452"/>
    <w:rsid w:val="00124395"/>
    <w:rsid w:val="00143281"/>
    <w:rsid w:val="001C0411"/>
    <w:rsid w:val="001C4915"/>
    <w:rsid w:val="001E703A"/>
    <w:rsid w:val="001E79D7"/>
    <w:rsid w:val="001F415A"/>
    <w:rsid w:val="00202F4C"/>
    <w:rsid w:val="0021411B"/>
    <w:rsid w:val="00226953"/>
    <w:rsid w:val="002360E8"/>
    <w:rsid w:val="00236B97"/>
    <w:rsid w:val="00252991"/>
    <w:rsid w:val="0025783D"/>
    <w:rsid w:val="00263DA7"/>
    <w:rsid w:val="00274230"/>
    <w:rsid w:val="00277DA5"/>
    <w:rsid w:val="002851CE"/>
    <w:rsid w:val="00286BEF"/>
    <w:rsid w:val="00295573"/>
    <w:rsid w:val="002E6AFD"/>
    <w:rsid w:val="00301088"/>
    <w:rsid w:val="00303E5C"/>
    <w:rsid w:val="00311DF6"/>
    <w:rsid w:val="00312EA0"/>
    <w:rsid w:val="003313BF"/>
    <w:rsid w:val="00353994"/>
    <w:rsid w:val="00357A7E"/>
    <w:rsid w:val="00363912"/>
    <w:rsid w:val="00365821"/>
    <w:rsid w:val="00365AE6"/>
    <w:rsid w:val="00375E61"/>
    <w:rsid w:val="00393E46"/>
    <w:rsid w:val="003A5BB9"/>
    <w:rsid w:val="003D5E29"/>
    <w:rsid w:val="003E1B09"/>
    <w:rsid w:val="00412AF4"/>
    <w:rsid w:val="0045053C"/>
    <w:rsid w:val="00482BBC"/>
    <w:rsid w:val="004832FA"/>
    <w:rsid w:val="0048681A"/>
    <w:rsid w:val="004A55CA"/>
    <w:rsid w:val="004B0059"/>
    <w:rsid w:val="004B62EC"/>
    <w:rsid w:val="004E34F6"/>
    <w:rsid w:val="00504178"/>
    <w:rsid w:val="005159D6"/>
    <w:rsid w:val="00542D7A"/>
    <w:rsid w:val="00577E2E"/>
    <w:rsid w:val="0058380B"/>
    <w:rsid w:val="00583BFF"/>
    <w:rsid w:val="0058485C"/>
    <w:rsid w:val="005A1445"/>
    <w:rsid w:val="005A27AA"/>
    <w:rsid w:val="005A685C"/>
    <w:rsid w:val="005A7A48"/>
    <w:rsid w:val="005D4B10"/>
    <w:rsid w:val="005F4D74"/>
    <w:rsid w:val="0060283F"/>
    <w:rsid w:val="00612A51"/>
    <w:rsid w:val="0062190B"/>
    <w:rsid w:val="0062271D"/>
    <w:rsid w:val="0062560A"/>
    <w:rsid w:val="0063640B"/>
    <w:rsid w:val="0063676C"/>
    <w:rsid w:val="0064020D"/>
    <w:rsid w:val="006476BE"/>
    <w:rsid w:val="0066442A"/>
    <w:rsid w:val="00676CC0"/>
    <w:rsid w:val="006905C9"/>
    <w:rsid w:val="006926D4"/>
    <w:rsid w:val="006B0161"/>
    <w:rsid w:val="006B6DF6"/>
    <w:rsid w:val="006E343F"/>
    <w:rsid w:val="00712F13"/>
    <w:rsid w:val="007206FA"/>
    <w:rsid w:val="0072418B"/>
    <w:rsid w:val="00740A6A"/>
    <w:rsid w:val="00753AE7"/>
    <w:rsid w:val="0077540C"/>
    <w:rsid w:val="007761D2"/>
    <w:rsid w:val="007B5616"/>
    <w:rsid w:val="007C00EF"/>
    <w:rsid w:val="007C2518"/>
    <w:rsid w:val="007D04C5"/>
    <w:rsid w:val="007D3A04"/>
    <w:rsid w:val="007D4E9C"/>
    <w:rsid w:val="007E36C0"/>
    <w:rsid w:val="007E6E33"/>
    <w:rsid w:val="008061AF"/>
    <w:rsid w:val="008075DE"/>
    <w:rsid w:val="00827A49"/>
    <w:rsid w:val="008329C2"/>
    <w:rsid w:val="0085114C"/>
    <w:rsid w:val="00867E46"/>
    <w:rsid w:val="00874E44"/>
    <w:rsid w:val="008B261C"/>
    <w:rsid w:val="008B2992"/>
    <w:rsid w:val="008C27FB"/>
    <w:rsid w:val="008D5E95"/>
    <w:rsid w:val="008F1FC1"/>
    <w:rsid w:val="008F2371"/>
    <w:rsid w:val="00924620"/>
    <w:rsid w:val="0092622E"/>
    <w:rsid w:val="00932B2A"/>
    <w:rsid w:val="009337BC"/>
    <w:rsid w:val="00953C1C"/>
    <w:rsid w:val="0098090E"/>
    <w:rsid w:val="009901C0"/>
    <w:rsid w:val="009B4E66"/>
    <w:rsid w:val="009C7360"/>
    <w:rsid w:val="009C786C"/>
    <w:rsid w:val="00A04A31"/>
    <w:rsid w:val="00A2685A"/>
    <w:rsid w:val="00A859D3"/>
    <w:rsid w:val="00A9659C"/>
    <w:rsid w:val="00AC11AA"/>
    <w:rsid w:val="00AC4F25"/>
    <w:rsid w:val="00AD2C70"/>
    <w:rsid w:val="00AF77AF"/>
    <w:rsid w:val="00B14856"/>
    <w:rsid w:val="00B16D0E"/>
    <w:rsid w:val="00B53331"/>
    <w:rsid w:val="00B61762"/>
    <w:rsid w:val="00B61CFC"/>
    <w:rsid w:val="00B6271D"/>
    <w:rsid w:val="00B67A39"/>
    <w:rsid w:val="00B720FB"/>
    <w:rsid w:val="00B87DA8"/>
    <w:rsid w:val="00BB7A44"/>
    <w:rsid w:val="00BC2A3C"/>
    <w:rsid w:val="00BC314A"/>
    <w:rsid w:val="00BC61A0"/>
    <w:rsid w:val="00BD0390"/>
    <w:rsid w:val="00BD2CB8"/>
    <w:rsid w:val="00C15A2A"/>
    <w:rsid w:val="00C27407"/>
    <w:rsid w:val="00C35FEE"/>
    <w:rsid w:val="00C365A6"/>
    <w:rsid w:val="00C517FD"/>
    <w:rsid w:val="00C53546"/>
    <w:rsid w:val="00C729BE"/>
    <w:rsid w:val="00C74A12"/>
    <w:rsid w:val="00CA4B39"/>
    <w:rsid w:val="00CC50A0"/>
    <w:rsid w:val="00CC6D5B"/>
    <w:rsid w:val="00CE77A9"/>
    <w:rsid w:val="00CF0F58"/>
    <w:rsid w:val="00CF72D6"/>
    <w:rsid w:val="00D072E8"/>
    <w:rsid w:val="00D178E2"/>
    <w:rsid w:val="00D4343B"/>
    <w:rsid w:val="00D51849"/>
    <w:rsid w:val="00D70E57"/>
    <w:rsid w:val="00D9544C"/>
    <w:rsid w:val="00DA2C6F"/>
    <w:rsid w:val="00DC0162"/>
    <w:rsid w:val="00DC66D8"/>
    <w:rsid w:val="00DD4E4F"/>
    <w:rsid w:val="00DF14F8"/>
    <w:rsid w:val="00E135F8"/>
    <w:rsid w:val="00E34939"/>
    <w:rsid w:val="00E40C57"/>
    <w:rsid w:val="00E43A21"/>
    <w:rsid w:val="00E61B73"/>
    <w:rsid w:val="00E719A2"/>
    <w:rsid w:val="00E82C02"/>
    <w:rsid w:val="00E85E40"/>
    <w:rsid w:val="00E96CC6"/>
    <w:rsid w:val="00ED18DA"/>
    <w:rsid w:val="00ED3AF1"/>
    <w:rsid w:val="00ED6287"/>
    <w:rsid w:val="00EE376F"/>
    <w:rsid w:val="00EE4428"/>
    <w:rsid w:val="00EF63A3"/>
    <w:rsid w:val="00F107D0"/>
    <w:rsid w:val="00F22EF0"/>
    <w:rsid w:val="00F23216"/>
    <w:rsid w:val="00F33520"/>
    <w:rsid w:val="00F53DDE"/>
    <w:rsid w:val="00F72351"/>
    <w:rsid w:val="00FB42D2"/>
    <w:rsid w:val="00FB6569"/>
    <w:rsid w:val="00FD1AF9"/>
    <w:rsid w:val="00FD3F49"/>
    <w:rsid w:val="00FF2E73"/>
    <w:rsid w:val="76E335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3"/>
    <w:semiHidden/>
    <w:unhideWhenUsed/>
    <w:uiPriority w:val="99"/>
    <w:pPr>
      <w:jc w:val="left"/>
    </w:pPr>
  </w:style>
  <w:style w:type="paragraph" w:styleId="3">
    <w:name w:val="Balloon Text"/>
    <w:basedOn w:val="1"/>
    <w:link w:val="12"/>
    <w:semiHidden/>
    <w:unhideWhenUsed/>
    <w:uiPriority w:val="99"/>
    <w:rPr>
      <w:rFonts w:ascii="宋体" w:eastAsia="宋体"/>
      <w:sz w:val="18"/>
      <w:szCs w:val="18"/>
    </w:rPr>
  </w:style>
  <w:style w:type="paragraph" w:styleId="4">
    <w:name w:val="footer"/>
    <w:basedOn w:val="1"/>
    <w:link w:val="10"/>
    <w:unhideWhenUsed/>
    <w:uiPriority w:val="99"/>
    <w:pPr>
      <w:tabs>
        <w:tab w:val="center" w:pos="4153"/>
        <w:tab w:val="right" w:pos="8306"/>
      </w:tabs>
      <w:snapToGrid w:val="0"/>
      <w:jc w:val="left"/>
    </w:pPr>
    <w:rPr>
      <w:sz w:val="18"/>
      <w:szCs w:val="18"/>
    </w:rPr>
  </w:style>
  <w:style w:type="paragraph" w:styleId="5">
    <w:name w:val="header"/>
    <w:basedOn w:val="1"/>
    <w:link w:val="11"/>
    <w:unhideWhenUsed/>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4"/>
    <w:semiHidden/>
    <w:unhideWhenUsed/>
    <w:uiPriority w:val="99"/>
    <w:rPr>
      <w:b/>
      <w:bCs/>
    </w:rPr>
  </w:style>
  <w:style w:type="character" w:styleId="9">
    <w:name w:val="annotation reference"/>
    <w:basedOn w:val="8"/>
    <w:semiHidden/>
    <w:unhideWhenUsed/>
    <w:uiPriority w:val="99"/>
    <w:rPr>
      <w:sz w:val="21"/>
      <w:szCs w:val="21"/>
    </w:rPr>
  </w:style>
  <w:style w:type="character" w:customStyle="1" w:styleId="10">
    <w:name w:val="页脚 字符"/>
    <w:basedOn w:val="8"/>
    <w:link w:val="4"/>
    <w:uiPriority w:val="99"/>
    <w:rPr>
      <w:sz w:val="18"/>
      <w:szCs w:val="18"/>
    </w:rPr>
  </w:style>
  <w:style w:type="character" w:customStyle="1" w:styleId="11">
    <w:name w:val="页眉 字符"/>
    <w:basedOn w:val="8"/>
    <w:link w:val="5"/>
    <w:uiPriority w:val="99"/>
    <w:rPr>
      <w:sz w:val="18"/>
      <w:szCs w:val="18"/>
    </w:rPr>
  </w:style>
  <w:style w:type="character" w:customStyle="1" w:styleId="12">
    <w:name w:val="批注框文本 字符"/>
    <w:basedOn w:val="8"/>
    <w:link w:val="3"/>
    <w:autoRedefine/>
    <w:semiHidden/>
    <w:qFormat/>
    <w:uiPriority w:val="99"/>
    <w:rPr>
      <w:rFonts w:ascii="宋体" w:eastAsia="宋体"/>
      <w:sz w:val="18"/>
      <w:szCs w:val="18"/>
    </w:rPr>
  </w:style>
  <w:style w:type="character" w:customStyle="1" w:styleId="13">
    <w:name w:val="批注文字 字符"/>
    <w:basedOn w:val="8"/>
    <w:link w:val="2"/>
    <w:semiHidden/>
    <w:uiPriority w:val="99"/>
  </w:style>
  <w:style w:type="character" w:customStyle="1" w:styleId="14">
    <w:name w:val="批注主题 字符"/>
    <w:basedOn w:val="13"/>
    <w:link w:val="6"/>
    <w:semiHidden/>
    <w:uiPriority w:val="99"/>
    <w:rPr>
      <w:b/>
      <w:bCs/>
    </w:rPr>
  </w:style>
  <w:style w:type="paragraph" w:styleId="15">
    <w:name w:val="List Paragraph"/>
    <w:basedOn w:val="1"/>
    <w:qFormat/>
    <w:uiPriority w:val="34"/>
    <w:pPr>
      <w:ind w:firstLine="420" w:firstLineChars="200"/>
    </w:pPr>
  </w:style>
  <w:style w:type="paragraph" w:customStyle="1" w:styleId="16">
    <w:name w:val="Revision"/>
    <w:hidden/>
    <w:semiHidden/>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F607FD-3F43-4D9A-9EDA-A40F9B22CC3C}">
  <ds:schemaRefs/>
</ds:datastoreItem>
</file>

<file path=docProps/app.xml><?xml version="1.0" encoding="utf-8"?>
<Properties xmlns="http://schemas.openxmlformats.org/officeDocument/2006/extended-properties" xmlns:vt="http://schemas.openxmlformats.org/officeDocument/2006/docPropsVTypes">
  <Template>Normal</Template>
  <Pages>12</Pages>
  <Words>627</Words>
  <Characters>3579</Characters>
  <Lines>29</Lines>
  <Paragraphs>8</Paragraphs>
  <TotalTime>13</TotalTime>
  <ScaleCrop>false</ScaleCrop>
  <LinksUpToDate>false</LinksUpToDate>
  <CharactersWithSpaces>4198</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2024-01-25T06:29:00Z</dcterms:created>
  <dc:creator>曹 然</dc:creator>
  <cp:lastModifiedBy>沈可暄</cp:lastModifiedBy>
  <cp:lastPrinted>2023-12-17T12:02:00Z</cp:lastPrinted>
  <dcterms:modified xsi:type="dcterms:W3CDTF">2024-03-04T02:05:51Z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9FCE1DDE886A418EAC634582140037CD_13</vt:lpwstr>
  </property>
</Properties>
</file>