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outlineLvl w:val="0"/>
        <w:rPr>
          <w:rFonts w:cs="微软雅黑"/>
          <w:b/>
          <w:sz w:val="44"/>
          <w:szCs w:val="44"/>
        </w:rPr>
      </w:pPr>
      <w:bookmarkStart w:id="0" w:name="_GoBack"/>
      <w:r>
        <w:rPr>
          <w:rFonts w:hint="eastAsia" w:cs="微软雅黑"/>
          <w:b/>
          <w:sz w:val="44"/>
          <w:szCs w:val="44"/>
        </w:rPr>
        <w:t>哈飞汽车股份</w:t>
      </w:r>
      <w:r>
        <w:rPr>
          <w:rFonts w:cs="微软雅黑"/>
          <w:b/>
          <w:sz w:val="44"/>
          <w:szCs w:val="44"/>
        </w:rPr>
        <w:t>有限公司破产重整案</w:t>
      </w:r>
    </w:p>
    <w:p>
      <w:pPr>
        <w:spacing w:line="360" w:lineRule="auto"/>
        <w:jc w:val="center"/>
        <w:outlineLvl w:val="0"/>
        <w:rPr>
          <w:b/>
          <w:sz w:val="44"/>
          <w:szCs w:val="44"/>
        </w:rPr>
      </w:pPr>
      <w:r>
        <w:rPr>
          <w:rFonts w:hint="eastAsia" w:cs="微软雅黑"/>
          <w:b/>
          <w:sz w:val="44"/>
          <w:szCs w:val="44"/>
        </w:rPr>
        <w:t>债权申报指引</w:t>
      </w:r>
    </w:p>
    <w:p>
      <w:pPr>
        <w:spacing w:line="360" w:lineRule="auto"/>
        <w:jc w:val="both"/>
        <w:rPr>
          <w:b/>
          <w:sz w:val="32"/>
          <w:szCs w:val="32"/>
        </w:rPr>
      </w:pPr>
    </w:p>
    <w:p>
      <w:pPr>
        <w:pStyle w:val="16"/>
        <w:spacing w:line="360" w:lineRule="auto"/>
        <w:ind w:firstLine="640"/>
        <w:jc w:val="both"/>
        <w:rPr>
          <w:sz w:val="32"/>
          <w:szCs w:val="32"/>
        </w:rPr>
      </w:pPr>
      <w:r>
        <w:rPr>
          <w:rFonts w:hint="eastAsia"/>
          <w:sz w:val="32"/>
          <w:szCs w:val="32"/>
        </w:rPr>
        <w:t>2024年1月</w:t>
      </w:r>
      <w:r>
        <w:rPr>
          <w:rFonts w:hint="eastAsia"/>
          <w:sz w:val="32"/>
          <w:szCs w:val="32"/>
          <w:lang w:val="en-US" w:eastAsia="zh-CN"/>
        </w:rPr>
        <w:t>29</w:t>
      </w:r>
      <w:r>
        <w:rPr>
          <w:rFonts w:hint="eastAsia"/>
          <w:sz w:val="32"/>
          <w:szCs w:val="32"/>
        </w:rPr>
        <w:t>日，黑龙江省哈尔滨市中级人民法院（以下简称哈中院）作出（2024）黑 01 破申 1 号民事裁定书，裁定受理哈飞汽车股份有限公司（以下简称哈飞汽车）破产重整一案，并于2024年</w:t>
      </w:r>
      <w:r>
        <w:rPr>
          <w:rFonts w:hint="eastAsia"/>
          <w:sz w:val="32"/>
          <w:szCs w:val="32"/>
          <w:lang w:val="en-US" w:eastAsia="zh-CN"/>
        </w:rPr>
        <w:t>1</w:t>
      </w:r>
      <w:r>
        <w:rPr>
          <w:rFonts w:hint="eastAsia"/>
          <w:sz w:val="32"/>
          <w:szCs w:val="32"/>
        </w:rPr>
        <w:t>月</w:t>
      </w:r>
      <w:r>
        <w:rPr>
          <w:rFonts w:hint="eastAsia"/>
          <w:sz w:val="32"/>
          <w:szCs w:val="32"/>
          <w:lang w:val="en-US" w:eastAsia="zh-CN"/>
        </w:rPr>
        <w:t>31</w:t>
      </w:r>
      <w:r>
        <w:rPr>
          <w:rFonts w:hint="eastAsia"/>
          <w:sz w:val="32"/>
          <w:szCs w:val="32"/>
        </w:rPr>
        <w:t>日作出（2024）黑01破申1-1号民事裁定书，裁定本案由哈尔滨市平房区人民法院（以下简称平房法院）审理。平房法院于2024年2月7日作出（2024）黑0108破1号决定书，指定黑龙江海天庆城律师事务所为哈飞汽车破产重整管理人（以下简称管理人），由曹丽担任管理人的负责人</w:t>
      </w:r>
      <w:r>
        <w:rPr>
          <w:sz w:val="32"/>
          <w:szCs w:val="32"/>
        </w:rPr>
        <w:t>。</w:t>
      </w:r>
    </w:p>
    <w:p>
      <w:pPr>
        <w:pStyle w:val="16"/>
        <w:spacing w:line="360" w:lineRule="auto"/>
        <w:ind w:firstLine="640"/>
        <w:jc w:val="both"/>
        <w:rPr>
          <w:sz w:val="32"/>
          <w:szCs w:val="32"/>
        </w:rPr>
      </w:pPr>
      <w:r>
        <w:rPr>
          <w:rFonts w:hint="eastAsia"/>
          <w:sz w:val="32"/>
          <w:szCs w:val="32"/>
        </w:rPr>
        <w:t>为明确债权申报的有关事项，帮助债权人顺利申报债权，管理人现依据相关法律和司法解释，就相关问题作如下指引：</w:t>
      </w:r>
    </w:p>
    <w:p>
      <w:pPr>
        <w:pStyle w:val="16"/>
        <w:numPr>
          <w:ilvl w:val="0"/>
          <w:numId w:val="1"/>
        </w:numPr>
        <w:spacing w:line="360" w:lineRule="auto"/>
        <w:ind w:firstLine="643"/>
        <w:jc w:val="both"/>
        <w:outlineLvl w:val="0"/>
        <w:rPr>
          <w:b/>
          <w:bCs/>
          <w:sz w:val="32"/>
          <w:szCs w:val="32"/>
        </w:rPr>
      </w:pPr>
      <w:r>
        <w:rPr>
          <w:rFonts w:hint="eastAsia"/>
          <w:b/>
          <w:bCs/>
          <w:sz w:val="32"/>
          <w:szCs w:val="32"/>
        </w:rPr>
        <w:t>债权申报期限</w:t>
      </w:r>
    </w:p>
    <w:p>
      <w:pPr>
        <w:pStyle w:val="16"/>
        <w:spacing w:line="360" w:lineRule="auto"/>
        <w:ind w:firstLine="640"/>
        <w:jc w:val="both"/>
        <w:rPr>
          <w:sz w:val="32"/>
          <w:szCs w:val="32"/>
        </w:rPr>
      </w:pPr>
      <w:r>
        <w:rPr>
          <w:rFonts w:hint="eastAsia"/>
          <w:sz w:val="32"/>
          <w:szCs w:val="32"/>
        </w:rPr>
        <w:t>哈飞汽车的债权人应当在202</w:t>
      </w:r>
      <w:r>
        <w:rPr>
          <w:sz w:val="32"/>
          <w:szCs w:val="32"/>
        </w:rPr>
        <w:t>4</w:t>
      </w:r>
      <w:r>
        <w:rPr>
          <w:rFonts w:hint="eastAsia"/>
          <w:sz w:val="32"/>
          <w:szCs w:val="32"/>
        </w:rPr>
        <w:t>年</w:t>
      </w:r>
      <w:r>
        <w:rPr>
          <w:sz w:val="32"/>
          <w:szCs w:val="32"/>
        </w:rPr>
        <w:t>3</w:t>
      </w:r>
      <w:r>
        <w:rPr>
          <w:rFonts w:hint="eastAsia"/>
          <w:sz w:val="32"/>
          <w:szCs w:val="32"/>
        </w:rPr>
        <w:t>月1</w:t>
      </w:r>
      <w:r>
        <w:rPr>
          <w:sz w:val="32"/>
          <w:szCs w:val="32"/>
        </w:rPr>
        <w:t>8</w:t>
      </w:r>
      <w:r>
        <w:rPr>
          <w:rFonts w:hint="eastAsia"/>
          <w:sz w:val="32"/>
          <w:szCs w:val="32"/>
        </w:rPr>
        <w:t>日前</w:t>
      </w:r>
      <w:r>
        <w:rPr>
          <w:sz w:val="32"/>
          <w:szCs w:val="32"/>
        </w:rPr>
        <w:t>（</w:t>
      </w:r>
      <w:r>
        <w:rPr>
          <w:rFonts w:hint="eastAsia"/>
          <w:sz w:val="32"/>
          <w:szCs w:val="32"/>
        </w:rPr>
        <w:t>平房法院确定的债权申报期限</w:t>
      </w:r>
      <w:r>
        <w:rPr>
          <w:sz w:val="32"/>
          <w:szCs w:val="32"/>
        </w:rPr>
        <w:t>）</w:t>
      </w:r>
      <w:r>
        <w:rPr>
          <w:rFonts w:hint="eastAsia"/>
          <w:sz w:val="32"/>
          <w:szCs w:val="32"/>
        </w:rPr>
        <w:t>向管理人申报债权</w:t>
      </w:r>
      <w:r>
        <w:rPr>
          <w:sz w:val="32"/>
          <w:szCs w:val="32"/>
        </w:rPr>
        <w:t>。</w:t>
      </w:r>
    </w:p>
    <w:p>
      <w:pPr>
        <w:pStyle w:val="16"/>
        <w:spacing w:line="360" w:lineRule="auto"/>
        <w:ind w:firstLine="643"/>
        <w:jc w:val="both"/>
        <w:outlineLvl w:val="0"/>
        <w:rPr>
          <w:b/>
          <w:bCs/>
          <w:sz w:val="32"/>
          <w:szCs w:val="32"/>
        </w:rPr>
      </w:pPr>
      <w:r>
        <w:rPr>
          <w:rFonts w:hint="eastAsia"/>
          <w:b/>
          <w:bCs/>
          <w:sz w:val="32"/>
          <w:szCs w:val="32"/>
        </w:rPr>
        <w:t>二、债权申报方式</w:t>
      </w:r>
    </w:p>
    <w:p>
      <w:pPr>
        <w:spacing w:line="360" w:lineRule="auto"/>
        <w:ind w:firstLine="640" w:firstLineChars="200"/>
        <w:rPr>
          <w:sz w:val="32"/>
          <w:szCs w:val="32"/>
        </w:rPr>
      </w:pPr>
      <w:r>
        <w:rPr>
          <w:rFonts w:hint="eastAsia"/>
          <w:sz w:val="32"/>
          <w:szCs w:val="32"/>
        </w:rPr>
        <w:t>为方便各位债权人申报债权，</w:t>
      </w:r>
      <w:r>
        <w:rPr>
          <w:rFonts w:hint="eastAsia"/>
          <w:b/>
          <w:bCs/>
          <w:sz w:val="32"/>
          <w:szCs w:val="32"/>
          <w:u w:val="single"/>
        </w:rPr>
        <w:t>本次申报采取线上网络申报</w:t>
      </w:r>
      <w:r>
        <w:rPr>
          <w:b/>
          <w:bCs/>
          <w:sz w:val="32"/>
          <w:szCs w:val="32"/>
          <w:u w:val="single"/>
        </w:rPr>
        <w:t>、</w:t>
      </w:r>
      <w:r>
        <w:rPr>
          <w:rFonts w:hint="eastAsia"/>
          <w:b/>
          <w:bCs/>
          <w:sz w:val="32"/>
          <w:szCs w:val="32"/>
          <w:u w:val="single"/>
        </w:rPr>
        <w:t>现场提交材料或邮寄的方式向管理人进行申报</w:t>
      </w:r>
      <w:r>
        <w:rPr>
          <w:rFonts w:hint="eastAsia"/>
          <w:sz w:val="32"/>
          <w:szCs w:val="32"/>
        </w:rPr>
        <w:t>。现场申报和邮寄申报地点和联系方式详见本指引第五部分；线上申报网站链接为:</w:t>
      </w:r>
      <w:r>
        <w:rPr>
          <w:sz w:val="32"/>
          <w:szCs w:val="32"/>
        </w:rPr>
        <w:t xml:space="preserve">https://pmsaas.taobao.com/bankruptcy/creditor#/home?caseId=c540036d22a8fcd8bd0d7bcad981212e  </w:t>
      </w:r>
      <w:r>
        <w:rPr>
          <w:rFonts w:hint="eastAsia"/>
          <w:sz w:val="32"/>
          <w:szCs w:val="32"/>
        </w:rPr>
        <w:t>，或扫描下方二维码进行线上债权申报：</w:t>
      </w:r>
    </w:p>
    <w:p>
      <w:pPr>
        <w:ind w:firstLine="640" w:firstLineChars="200"/>
        <w:jc w:val="center"/>
        <w:rPr>
          <w:sz w:val="32"/>
          <w:szCs w:val="32"/>
        </w:rPr>
      </w:pPr>
      <w:r>
        <w:rPr>
          <w:sz w:val="32"/>
          <w:szCs w:val="32"/>
        </w:rPr>
        <w:drawing>
          <wp:inline distT="0" distB="0" distL="0" distR="0">
            <wp:extent cx="2219325" cy="2030730"/>
            <wp:effectExtent l="0" t="0" r="9525" b="7620"/>
            <wp:docPr id="1026" name="https://photo-static-api.fotomore.com/creative/vcg/400/new/VCG41N1550407997.jpg?uid=386&amp;timestamp=1692330026&amp;sign=b9ac666cec1209cbd2261c70732f2120" descr="C:/Users/邓琳/Desktop/d8911e455ff62c9ac0827ef350d9154.jpgd8911e455ff62c9ac0827ef350d9154"/>
            <wp:cNvGraphicFramePr/>
            <a:graphic xmlns:a="http://schemas.openxmlformats.org/drawingml/2006/main">
              <a:graphicData uri="http://schemas.openxmlformats.org/drawingml/2006/picture">
                <pic:pic xmlns:pic="http://schemas.openxmlformats.org/drawingml/2006/picture">
                  <pic:nvPicPr>
                    <pic:cNvPr id="1026" name="https://photo-static-api.fotomore.com/creative/vcg/400/new/VCG41N1550407997.jpg?uid=386&amp;timestamp=1692330026&amp;sign=b9ac666cec1209cbd2261c70732f2120" descr="C:/Users/邓琳/Desktop/d8911e455ff62c9ac0827ef350d9154.jpgd8911e455ff62c9ac0827ef350d9154"/>
                    <pic:cNvPicPr/>
                  </pic:nvPicPr>
                  <pic:blipFill>
                    <a:blip r:embed="rId6" cstate="print"/>
                    <a:srcRect l="13613" r="19247" b="30990"/>
                    <a:stretch>
                      <a:fillRect/>
                    </a:stretch>
                  </pic:blipFill>
                  <pic:spPr>
                    <a:xfrm>
                      <a:off x="0" y="0"/>
                      <a:ext cx="2219325" cy="2030730"/>
                    </a:xfrm>
                    <a:prstGeom prst="rect">
                      <a:avLst/>
                    </a:prstGeom>
                    <a:ln>
                      <a:noFill/>
                    </a:ln>
                  </pic:spPr>
                </pic:pic>
              </a:graphicData>
            </a:graphic>
          </wp:inline>
        </w:drawing>
      </w:r>
    </w:p>
    <w:p>
      <w:pPr>
        <w:pStyle w:val="16"/>
        <w:spacing w:line="360" w:lineRule="auto"/>
        <w:ind w:left="440" w:leftChars="200" w:firstLine="0" w:firstLineChars="0"/>
        <w:jc w:val="both"/>
        <w:outlineLvl w:val="0"/>
        <w:rPr>
          <w:sz w:val="32"/>
          <w:szCs w:val="32"/>
        </w:rPr>
      </w:pPr>
      <w:r>
        <w:rPr>
          <w:rFonts w:hint="eastAsia"/>
          <w:b/>
          <w:bCs/>
          <w:sz w:val="32"/>
          <w:szCs w:val="32"/>
        </w:rPr>
        <w:t>三</w:t>
      </w:r>
      <w:r>
        <w:rPr>
          <w:b/>
          <w:bCs/>
          <w:sz w:val="32"/>
          <w:szCs w:val="32"/>
        </w:rPr>
        <w:t>、</w:t>
      </w:r>
      <w:r>
        <w:rPr>
          <w:rFonts w:hint="eastAsia"/>
          <w:b/>
          <w:bCs/>
          <w:sz w:val="32"/>
          <w:szCs w:val="32"/>
        </w:rPr>
        <w:t>申报债权应提交的材料</w:t>
      </w:r>
    </w:p>
    <w:p>
      <w:pPr>
        <w:pStyle w:val="16"/>
        <w:spacing w:line="360" w:lineRule="auto"/>
        <w:ind w:firstLine="643"/>
        <w:jc w:val="both"/>
        <w:rPr>
          <w:b/>
          <w:sz w:val="32"/>
          <w:szCs w:val="32"/>
        </w:rPr>
      </w:pPr>
      <w:r>
        <w:rPr>
          <w:rFonts w:hint="eastAsia"/>
          <w:b/>
          <w:sz w:val="32"/>
          <w:szCs w:val="32"/>
        </w:rPr>
        <w:t>债权人线上申报债权及线下申报</w:t>
      </w:r>
      <w:r>
        <w:rPr>
          <w:b/>
          <w:sz w:val="32"/>
          <w:szCs w:val="32"/>
        </w:rPr>
        <w:t>（</w:t>
      </w:r>
      <w:r>
        <w:rPr>
          <w:rFonts w:hint="eastAsia"/>
          <w:b/>
          <w:sz w:val="32"/>
          <w:szCs w:val="32"/>
        </w:rPr>
        <w:t>包括邮寄</w:t>
      </w:r>
      <w:r>
        <w:rPr>
          <w:b/>
          <w:sz w:val="32"/>
          <w:szCs w:val="32"/>
        </w:rPr>
        <w:t>、</w:t>
      </w:r>
      <w:r>
        <w:rPr>
          <w:rFonts w:hint="eastAsia"/>
          <w:b/>
          <w:sz w:val="32"/>
          <w:szCs w:val="32"/>
        </w:rPr>
        <w:t>现场申报</w:t>
      </w:r>
      <w:r>
        <w:rPr>
          <w:b/>
          <w:sz w:val="32"/>
          <w:szCs w:val="32"/>
        </w:rPr>
        <w:t>）</w:t>
      </w:r>
      <w:r>
        <w:rPr>
          <w:rFonts w:hint="eastAsia"/>
          <w:b/>
          <w:sz w:val="32"/>
          <w:szCs w:val="32"/>
        </w:rPr>
        <w:t>时必须提交以下</w:t>
      </w:r>
      <w:r>
        <w:rPr>
          <w:b/>
          <w:sz w:val="32"/>
          <w:szCs w:val="32"/>
        </w:rPr>
        <w:t>四</w:t>
      </w:r>
      <w:r>
        <w:rPr>
          <w:rFonts w:hint="eastAsia"/>
          <w:b/>
          <w:sz w:val="32"/>
          <w:szCs w:val="32"/>
        </w:rPr>
        <w:t>类债权申报材料，各申报材料均需统一为</w:t>
      </w:r>
      <w:r>
        <w:rPr>
          <w:b/>
          <w:sz w:val="32"/>
          <w:szCs w:val="32"/>
        </w:rPr>
        <w:t>A4</w:t>
      </w:r>
      <w:r>
        <w:rPr>
          <w:rFonts w:hint="eastAsia"/>
          <w:b/>
          <w:sz w:val="32"/>
          <w:szCs w:val="32"/>
        </w:rPr>
        <w:t>型纸，并盖章</w:t>
      </w:r>
      <w:r>
        <w:rPr>
          <w:b/>
          <w:sz w:val="32"/>
          <w:szCs w:val="32"/>
        </w:rPr>
        <w:t>/</w:t>
      </w:r>
      <w:r>
        <w:rPr>
          <w:rFonts w:hint="eastAsia"/>
          <w:b/>
          <w:sz w:val="32"/>
          <w:szCs w:val="32"/>
        </w:rPr>
        <w:t>签字</w:t>
      </w:r>
      <w:r>
        <w:rPr>
          <w:b/>
          <w:sz w:val="32"/>
          <w:szCs w:val="32"/>
        </w:rPr>
        <w:t>/</w:t>
      </w:r>
      <w:r>
        <w:rPr>
          <w:rFonts w:hint="eastAsia"/>
          <w:b/>
          <w:sz w:val="32"/>
          <w:szCs w:val="32"/>
        </w:rPr>
        <w:t>捺印</w:t>
      </w:r>
      <w:r>
        <w:rPr>
          <w:b/>
          <w:sz w:val="32"/>
          <w:szCs w:val="32"/>
        </w:rPr>
        <w:t>；</w:t>
      </w:r>
      <w:r>
        <w:rPr>
          <w:rFonts w:hint="eastAsia"/>
          <w:b/>
          <w:sz w:val="32"/>
          <w:szCs w:val="32"/>
        </w:rPr>
        <w:t>如为线上申报，需扫描为</w:t>
      </w:r>
      <w:r>
        <w:rPr>
          <w:b/>
          <w:sz w:val="32"/>
          <w:szCs w:val="32"/>
        </w:rPr>
        <w:t>PDF</w:t>
      </w:r>
      <w:r>
        <w:rPr>
          <w:rFonts w:hint="eastAsia"/>
          <w:b/>
          <w:sz w:val="32"/>
          <w:szCs w:val="32"/>
        </w:rPr>
        <w:t>文件，按照本指引所示步骤上传至网络债权申报系统，同时准备原件一式两份，待收到【管理人通知】后邮寄至管理人处。</w:t>
      </w:r>
    </w:p>
    <w:p>
      <w:pPr>
        <w:pStyle w:val="16"/>
        <w:spacing w:line="360" w:lineRule="auto"/>
        <w:ind w:firstLine="643"/>
        <w:jc w:val="both"/>
        <w:outlineLvl w:val="1"/>
        <w:rPr>
          <w:b/>
          <w:sz w:val="32"/>
          <w:szCs w:val="32"/>
        </w:rPr>
      </w:pPr>
      <w:r>
        <w:rPr>
          <w:b/>
          <w:sz w:val="32"/>
          <w:szCs w:val="32"/>
        </w:rPr>
        <w:t>（</w:t>
      </w:r>
      <w:r>
        <w:rPr>
          <w:rFonts w:hint="eastAsia"/>
          <w:b/>
          <w:sz w:val="32"/>
          <w:szCs w:val="32"/>
        </w:rPr>
        <w:t>一</w:t>
      </w:r>
      <w:r>
        <w:rPr>
          <w:b/>
          <w:sz w:val="32"/>
          <w:szCs w:val="32"/>
        </w:rPr>
        <w:t>）《</w:t>
      </w:r>
      <w:r>
        <w:rPr>
          <w:rFonts w:hint="eastAsia"/>
          <w:b/>
          <w:sz w:val="32"/>
          <w:szCs w:val="32"/>
        </w:rPr>
        <w:t>债权申报材料目录》《债权申报表》《债权申报说明》《送达地址确认书》《银行账号确认书》《承诺书》</w:t>
      </w:r>
    </w:p>
    <w:p>
      <w:pPr>
        <w:pStyle w:val="16"/>
        <w:spacing w:line="360" w:lineRule="auto"/>
        <w:ind w:firstLine="640"/>
        <w:jc w:val="both"/>
        <w:rPr>
          <w:bCs/>
          <w:sz w:val="32"/>
          <w:szCs w:val="32"/>
        </w:rPr>
      </w:pPr>
      <w:r>
        <w:rPr>
          <w:bCs/>
          <w:sz w:val="32"/>
          <w:szCs w:val="32"/>
        </w:rPr>
        <w:t>1</w:t>
      </w:r>
      <w:r>
        <w:rPr>
          <w:rFonts w:hint="eastAsia"/>
          <w:bCs/>
          <w:sz w:val="32"/>
          <w:szCs w:val="32"/>
        </w:rPr>
        <w:t>.《债权申报材料目录》中按序填写提交的书面材料名称，并注明每份书面材料页数、页码、是否为原件等。</w:t>
      </w:r>
    </w:p>
    <w:p>
      <w:pPr>
        <w:pStyle w:val="16"/>
        <w:spacing w:line="360" w:lineRule="auto"/>
        <w:ind w:firstLine="640"/>
        <w:jc w:val="both"/>
        <w:rPr>
          <w:bCs/>
          <w:sz w:val="32"/>
          <w:szCs w:val="32"/>
          <w:u w:val="single"/>
        </w:rPr>
      </w:pPr>
      <w:r>
        <w:rPr>
          <w:bCs/>
          <w:sz w:val="32"/>
          <w:szCs w:val="32"/>
        </w:rPr>
        <w:t>2</w:t>
      </w:r>
      <w:r>
        <w:rPr>
          <w:rFonts w:hint="eastAsia"/>
          <w:bCs/>
          <w:sz w:val="32"/>
          <w:szCs w:val="32"/>
        </w:rPr>
        <w:t>.申报人应真实、准确、完整填写《债权申报表》，填写债权申报人的基本信息、申报债权金额、是否存在担保以及诉讼、仲裁等情况。《债权申报表》尾部“申报日期”为申报人在债权申报网站</w:t>
      </w:r>
      <w:r>
        <w:rPr>
          <w:bCs/>
          <w:sz w:val="32"/>
          <w:szCs w:val="32"/>
        </w:rPr>
        <w:t>、</w:t>
      </w:r>
      <w:r>
        <w:rPr>
          <w:rFonts w:hint="eastAsia"/>
          <w:bCs/>
          <w:sz w:val="32"/>
          <w:szCs w:val="32"/>
        </w:rPr>
        <w:t>现场</w:t>
      </w:r>
      <w:r>
        <w:rPr>
          <w:bCs/>
          <w:sz w:val="32"/>
          <w:szCs w:val="32"/>
        </w:rPr>
        <w:t>、</w:t>
      </w:r>
      <w:r>
        <w:rPr>
          <w:rFonts w:hint="eastAsia"/>
          <w:bCs/>
          <w:sz w:val="32"/>
          <w:szCs w:val="32"/>
        </w:rPr>
        <w:t>邮寄提交债权申报材料的日期，</w:t>
      </w:r>
      <w:r>
        <w:rPr>
          <w:rFonts w:hint="eastAsia"/>
          <w:b/>
          <w:sz w:val="32"/>
          <w:szCs w:val="32"/>
          <w:u w:val="single"/>
        </w:rPr>
        <w:t>以上信息如有虚假填写，债权人将自行承担法律后果。</w:t>
      </w:r>
    </w:p>
    <w:p>
      <w:pPr>
        <w:pStyle w:val="16"/>
        <w:spacing w:line="360" w:lineRule="auto"/>
        <w:ind w:firstLine="640"/>
        <w:jc w:val="both"/>
        <w:rPr>
          <w:bCs/>
          <w:sz w:val="32"/>
          <w:szCs w:val="32"/>
        </w:rPr>
      </w:pPr>
      <w:r>
        <w:rPr>
          <w:rFonts w:hint="eastAsia"/>
          <w:bCs/>
          <w:sz w:val="32"/>
          <w:szCs w:val="32"/>
        </w:rPr>
        <w:t>3.《债权申报说明》须写明申报的每笔债权构成、金额、利息（如有）的计算方法及详细计算过程、债权性质、债权形成原因及经过、有无财产担保等相关事项。</w:t>
      </w:r>
    </w:p>
    <w:p>
      <w:pPr>
        <w:pStyle w:val="16"/>
        <w:spacing w:line="360" w:lineRule="auto"/>
        <w:ind w:firstLine="640"/>
        <w:jc w:val="both"/>
        <w:rPr>
          <w:bCs/>
          <w:sz w:val="32"/>
          <w:szCs w:val="32"/>
        </w:rPr>
      </w:pPr>
      <w:r>
        <w:rPr>
          <w:rFonts w:hint="eastAsia"/>
          <w:bCs/>
          <w:sz w:val="32"/>
          <w:szCs w:val="32"/>
        </w:rPr>
        <w:t>4.债权人为法人或非法人组织的，《债权申报材料目录》《债权申报表》《债权申报书》须加盖公章；债权人为自然人的，需由债权人本人签名并捺手印。</w:t>
      </w:r>
    </w:p>
    <w:p>
      <w:pPr>
        <w:pStyle w:val="16"/>
        <w:spacing w:line="360" w:lineRule="auto"/>
        <w:ind w:firstLine="640"/>
        <w:jc w:val="both"/>
        <w:rPr>
          <w:bCs/>
          <w:sz w:val="32"/>
          <w:szCs w:val="32"/>
        </w:rPr>
      </w:pPr>
      <w:r>
        <w:rPr>
          <w:rFonts w:hint="eastAsia"/>
          <w:bCs/>
          <w:sz w:val="32"/>
          <w:szCs w:val="32"/>
        </w:rPr>
        <w:t>5.《债权申报表》和《债权申报书》记载的信息应当保持一致。</w:t>
      </w:r>
    </w:p>
    <w:p>
      <w:pPr>
        <w:pStyle w:val="16"/>
        <w:spacing w:line="360" w:lineRule="auto"/>
        <w:ind w:firstLine="640"/>
        <w:jc w:val="both"/>
        <w:rPr>
          <w:bCs/>
          <w:sz w:val="32"/>
          <w:szCs w:val="32"/>
        </w:rPr>
      </w:pPr>
      <w:r>
        <w:rPr>
          <w:rFonts w:hint="eastAsia"/>
          <w:bCs/>
          <w:sz w:val="32"/>
          <w:szCs w:val="32"/>
        </w:rPr>
        <w:t>6</w:t>
      </w:r>
      <w:r>
        <w:rPr>
          <w:bCs/>
          <w:sz w:val="32"/>
          <w:szCs w:val="32"/>
        </w:rPr>
        <w:t>.</w:t>
      </w:r>
      <w:r>
        <w:rPr>
          <w:rFonts w:hint="eastAsia"/>
          <w:bCs/>
          <w:sz w:val="32"/>
          <w:szCs w:val="32"/>
        </w:rPr>
        <w:t>《银行账号确认书》中，债权人应当如实提供本人/本单位拟清偿收款银行信息账户信息，并确保提供的银行账户用于转账收款；破产程序终结前如果上述内容发生变更，债权人应及时书面告知管理人。</w:t>
      </w:r>
    </w:p>
    <w:p>
      <w:pPr>
        <w:pStyle w:val="16"/>
        <w:spacing w:line="360" w:lineRule="auto"/>
        <w:ind w:firstLine="640"/>
        <w:jc w:val="both"/>
        <w:rPr>
          <w:bCs/>
          <w:sz w:val="32"/>
          <w:szCs w:val="32"/>
        </w:rPr>
      </w:pPr>
      <w:r>
        <w:rPr>
          <w:rFonts w:hint="eastAsia"/>
          <w:bCs/>
          <w:sz w:val="32"/>
          <w:szCs w:val="32"/>
        </w:rPr>
        <w:t>7.《送达地址确认书》中</w:t>
      </w:r>
      <w:r>
        <w:rPr>
          <w:bCs/>
          <w:sz w:val="32"/>
          <w:szCs w:val="32"/>
        </w:rPr>
        <w:t>请准确填写收件人、手机号码（非座机）、通讯地址、传真、电子邮箱等通讯信息。其中手机号</w:t>
      </w:r>
      <w:r>
        <w:rPr>
          <w:rFonts w:hint="eastAsia"/>
          <w:bCs/>
          <w:sz w:val="32"/>
          <w:szCs w:val="32"/>
        </w:rPr>
        <w:t>、电子邮箱</w:t>
      </w:r>
      <w:r>
        <w:rPr>
          <w:bCs/>
          <w:sz w:val="32"/>
          <w:szCs w:val="32"/>
        </w:rPr>
        <w:t>将用于接收参加债权人会议信息等重要通知，及与管理人的日常</w:t>
      </w:r>
      <w:r>
        <w:rPr>
          <w:rFonts w:hint="eastAsia"/>
          <w:bCs/>
          <w:sz w:val="32"/>
          <w:szCs w:val="32"/>
        </w:rPr>
        <w:t>联络，请确保手机、电子邮箱畅通。</w:t>
      </w:r>
      <w:r>
        <w:rPr>
          <w:bCs/>
          <w:sz w:val="32"/>
          <w:szCs w:val="32"/>
        </w:rPr>
        <w:t>前述通讯信息如有变更，请务必及时与管理人沟通，并以书面方式通知管理人。非因管理人过错导致的通讯不畅所引致的一切不利后果，均由债权人自行承担。</w:t>
      </w:r>
    </w:p>
    <w:p>
      <w:pPr>
        <w:pStyle w:val="16"/>
        <w:spacing w:line="360" w:lineRule="auto"/>
        <w:ind w:firstLine="640"/>
        <w:jc w:val="both"/>
        <w:rPr>
          <w:bCs/>
          <w:sz w:val="32"/>
          <w:szCs w:val="32"/>
        </w:rPr>
      </w:pPr>
      <w:r>
        <w:rPr>
          <w:rFonts w:hint="eastAsia"/>
          <w:bCs/>
          <w:sz w:val="32"/>
          <w:szCs w:val="32"/>
        </w:rPr>
        <w:t>7</w:t>
      </w:r>
      <w:r>
        <w:rPr>
          <w:bCs/>
          <w:sz w:val="32"/>
          <w:szCs w:val="32"/>
        </w:rPr>
        <w:t>.</w:t>
      </w:r>
      <w:r>
        <w:rPr>
          <w:rFonts w:hint="eastAsia"/>
          <w:bCs/>
          <w:sz w:val="32"/>
          <w:szCs w:val="32"/>
        </w:rPr>
        <w:t>《承诺书》</w:t>
      </w:r>
      <w:r>
        <w:rPr>
          <w:bCs/>
          <w:sz w:val="32"/>
          <w:szCs w:val="32"/>
        </w:rPr>
        <w:t>为确保债权申报工作严肃有效，请各位债权人同步提交书面《承诺书》，承诺提交的全部材料真实、准确、合法、有效且完整；承诺所有复印件、扫描件均已与原件核对无异，否则由此导致的一切法律后果自行承担。</w:t>
      </w:r>
    </w:p>
    <w:p>
      <w:pPr>
        <w:pStyle w:val="16"/>
        <w:spacing w:line="360" w:lineRule="auto"/>
        <w:ind w:firstLine="643"/>
        <w:jc w:val="both"/>
        <w:outlineLvl w:val="1"/>
        <w:rPr>
          <w:b/>
          <w:sz w:val="32"/>
          <w:szCs w:val="32"/>
        </w:rPr>
      </w:pPr>
      <w:r>
        <w:rPr>
          <w:rFonts w:hint="eastAsia"/>
          <w:b/>
          <w:sz w:val="32"/>
          <w:szCs w:val="32"/>
        </w:rPr>
        <w:t>（二）证明申报人主体资格的材料</w:t>
      </w:r>
    </w:p>
    <w:p>
      <w:pPr>
        <w:pStyle w:val="16"/>
        <w:numPr>
          <w:ilvl w:val="0"/>
          <w:numId w:val="2"/>
        </w:numPr>
        <w:spacing w:line="360" w:lineRule="auto"/>
        <w:ind w:firstLine="640"/>
        <w:jc w:val="both"/>
        <w:rPr>
          <w:sz w:val="32"/>
          <w:szCs w:val="32"/>
        </w:rPr>
      </w:pPr>
      <w:r>
        <w:rPr>
          <w:rFonts w:hint="eastAsia"/>
          <w:sz w:val="32"/>
          <w:szCs w:val="32"/>
        </w:rPr>
        <w:t>申报人为法人或非法人组织的</w:t>
      </w:r>
      <w:r>
        <w:rPr>
          <w:sz w:val="32"/>
          <w:szCs w:val="32"/>
        </w:rPr>
        <w:t>，</w:t>
      </w:r>
      <w:r>
        <w:rPr>
          <w:rFonts w:hint="eastAsia"/>
          <w:sz w:val="32"/>
          <w:szCs w:val="32"/>
        </w:rPr>
        <w:t>应提交有效的营业执照</w:t>
      </w:r>
      <w:r>
        <w:rPr>
          <w:sz w:val="32"/>
          <w:szCs w:val="32"/>
        </w:rPr>
        <w:t>、事业和社团法人登记证书等复印件（加盖单位公章）</w:t>
      </w:r>
      <w:r>
        <w:rPr>
          <w:rFonts w:hint="eastAsia"/>
          <w:sz w:val="32"/>
          <w:szCs w:val="32"/>
        </w:rPr>
        <w:t>复印件、授权委托书</w:t>
      </w:r>
      <w:r>
        <w:rPr>
          <w:sz w:val="32"/>
          <w:szCs w:val="32"/>
        </w:rPr>
        <w:t>、</w:t>
      </w:r>
      <w:r>
        <w:rPr>
          <w:rFonts w:hint="eastAsia"/>
          <w:sz w:val="32"/>
          <w:szCs w:val="32"/>
        </w:rPr>
        <w:t>法定代表人身份证明书及其身份证复印件</w:t>
      </w:r>
      <w:r>
        <w:rPr>
          <w:sz w:val="32"/>
          <w:szCs w:val="32"/>
        </w:rPr>
        <w:t>。</w:t>
      </w:r>
      <w:r>
        <w:rPr>
          <w:rFonts w:hint="eastAsia"/>
          <w:sz w:val="32"/>
          <w:szCs w:val="32"/>
        </w:rPr>
        <w:t>如果是金融机构的，还需提供有效的《金融许可证》《经营金融业务许可证》等金融业资格的证明。</w:t>
      </w:r>
      <w:r>
        <w:rPr>
          <w:sz w:val="32"/>
          <w:szCs w:val="32"/>
        </w:rPr>
        <w:t>如发生单位名称变更或法定代表人变更</w:t>
      </w:r>
      <w:r>
        <w:rPr>
          <w:rFonts w:hint="eastAsia"/>
          <w:sz w:val="32"/>
          <w:szCs w:val="32"/>
        </w:rPr>
        <w:t>，导致其与申报的债权材料记载不符</w:t>
      </w:r>
      <w:r>
        <w:rPr>
          <w:sz w:val="32"/>
          <w:szCs w:val="32"/>
        </w:rPr>
        <w:t>的，必须提交变更的法律文件和证明文件。</w:t>
      </w:r>
    </w:p>
    <w:p>
      <w:pPr>
        <w:pStyle w:val="16"/>
        <w:numPr>
          <w:ilvl w:val="0"/>
          <w:numId w:val="2"/>
        </w:numPr>
        <w:spacing w:line="360" w:lineRule="auto"/>
        <w:ind w:firstLine="640"/>
        <w:jc w:val="both"/>
        <w:rPr>
          <w:sz w:val="32"/>
          <w:szCs w:val="32"/>
        </w:rPr>
      </w:pPr>
      <w:r>
        <w:rPr>
          <w:rFonts w:hint="eastAsia"/>
          <w:sz w:val="32"/>
          <w:szCs w:val="32"/>
        </w:rPr>
        <w:t>申报人为自然人的</w:t>
      </w:r>
      <w:r>
        <w:rPr>
          <w:sz w:val="32"/>
          <w:szCs w:val="32"/>
        </w:rPr>
        <w:t>，</w:t>
      </w:r>
      <w:r>
        <w:rPr>
          <w:rFonts w:hint="eastAsia"/>
          <w:sz w:val="32"/>
          <w:szCs w:val="32"/>
        </w:rPr>
        <w:t>应提交申报人身份证等个人有效证件复印件</w:t>
      </w:r>
      <w:r>
        <w:rPr>
          <w:sz w:val="32"/>
          <w:szCs w:val="32"/>
        </w:rPr>
        <w:t>。</w:t>
      </w:r>
    </w:p>
    <w:p>
      <w:pPr>
        <w:pStyle w:val="16"/>
        <w:numPr>
          <w:ilvl w:val="0"/>
          <w:numId w:val="2"/>
        </w:numPr>
        <w:spacing w:line="360" w:lineRule="auto"/>
        <w:ind w:firstLine="640"/>
        <w:jc w:val="both"/>
        <w:rPr>
          <w:sz w:val="32"/>
          <w:szCs w:val="32"/>
        </w:rPr>
      </w:pPr>
      <w:r>
        <w:rPr>
          <w:rFonts w:hint="eastAsia"/>
          <w:sz w:val="32"/>
          <w:szCs w:val="32"/>
        </w:rPr>
        <w:t>申报人委托代理人申报债权的</w:t>
      </w:r>
      <w:r>
        <w:rPr>
          <w:sz w:val="32"/>
          <w:szCs w:val="32"/>
        </w:rPr>
        <w:t>，</w:t>
      </w:r>
      <w:r>
        <w:rPr>
          <w:rFonts w:hint="eastAsia"/>
          <w:sz w:val="32"/>
          <w:szCs w:val="32"/>
        </w:rPr>
        <w:t>除提供上述材料外，还须提交授权委托书及受托人的有效身份证件。其中受托人为律师的，须提交律师事务所函、律师执业证复印件</w:t>
      </w:r>
      <w:r>
        <w:rPr>
          <w:sz w:val="32"/>
          <w:szCs w:val="32"/>
        </w:rPr>
        <w:t>。</w:t>
      </w:r>
    </w:p>
    <w:p>
      <w:pPr>
        <w:pStyle w:val="16"/>
        <w:spacing w:line="360" w:lineRule="auto"/>
        <w:ind w:firstLine="643"/>
        <w:jc w:val="both"/>
        <w:outlineLvl w:val="1"/>
        <w:rPr>
          <w:b/>
          <w:sz w:val="32"/>
          <w:szCs w:val="32"/>
        </w:rPr>
      </w:pPr>
      <w:r>
        <w:rPr>
          <w:rFonts w:hint="eastAsia"/>
          <w:b/>
          <w:sz w:val="32"/>
          <w:szCs w:val="32"/>
        </w:rPr>
        <w:t>（三）证明债权发生的事实和债权金额的证据材料</w:t>
      </w:r>
    </w:p>
    <w:p>
      <w:pPr>
        <w:pStyle w:val="16"/>
        <w:spacing w:line="360" w:lineRule="auto"/>
        <w:ind w:firstLine="640"/>
        <w:jc w:val="both"/>
        <w:rPr>
          <w:sz w:val="32"/>
          <w:szCs w:val="32"/>
        </w:rPr>
      </w:pPr>
      <w:r>
        <w:rPr>
          <w:sz w:val="32"/>
          <w:szCs w:val="32"/>
        </w:rPr>
        <w:t>债权人申报债权应提交能够证明债权成立及债权金额、性质的全部书面证据材料，包括但不限于</w:t>
      </w:r>
      <w:r>
        <w:rPr>
          <w:rFonts w:hint="eastAsia"/>
          <w:sz w:val="32"/>
          <w:szCs w:val="32"/>
        </w:rPr>
        <w:t>：</w:t>
      </w:r>
    </w:p>
    <w:p>
      <w:pPr>
        <w:pStyle w:val="16"/>
        <w:numPr>
          <w:ilvl w:val="0"/>
          <w:numId w:val="3"/>
        </w:numPr>
        <w:spacing w:line="360" w:lineRule="auto"/>
        <w:ind w:firstLineChars="0"/>
        <w:jc w:val="both"/>
        <w:rPr>
          <w:sz w:val="32"/>
          <w:szCs w:val="32"/>
        </w:rPr>
      </w:pPr>
      <w:r>
        <w:rPr>
          <w:sz w:val="32"/>
          <w:szCs w:val="32"/>
        </w:rPr>
        <w:t>各类合同书（</w:t>
      </w:r>
      <w:r>
        <w:rPr>
          <w:rFonts w:hint="eastAsia"/>
          <w:sz w:val="32"/>
          <w:szCs w:val="32"/>
        </w:rPr>
        <w:t>包括但不限于</w:t>
      </w:r>
      <w:r>
        <w:rPr>
          <w:sz w:val="32"/>
          <w:szCs w:val="32"/>
        </w:rPr>
        <w:t>借/贷款合同，购/销货合同</w:t>
      </w:r>
      <w:r>
        <w:rPr>
          <w:rFonts w:hint="eastAsia"/>
          <w:sz w:val="32"/>
          <w:szCs w:val="32"/>
        </w:rPr>
        <w:t>等</w:t>
      </w:r>
      <w:r>
        <w:rPr>
          <w:sz w:val="32"/>
          <w:szCs w:val="32"/>
        </w:rPr>
        <w:t>）等债权形成的基础性材料</w:t>
      </w:r>
      <w:r>
        <w:rPr>
          <w:rFonts w:hint="eastAsia"/>
          <w:sz w:val="32"/>
          <w:szCs w:val="32"/>
        </w:rPr>
        <w:t>原件</w:t>
      </w:r>
      <w:r>
        <w:rPr>
          <w:sz w:val="32"/>
          <w:szCs w:val="32"/>
        </w:rPr>
        <w:t>（</w:t>
      </w:r>
      <w:r>
        <w:rPr>
          <w:rFonts w:hint="eastAsia"/>
          <w:sz w:val="32"/>
          <w:szCs w:val="32"/>
        </w:rPr>
        <w:t>核对后归还</w:t>
      </w:r>
      <w:r>
        <w:rPr>
          <w:sz w:val="32"/>
          <w:szCs w:val="32"/>
        </w:rPr>
        <w:t>）</w:t>
      </w:r>
      <w:r>
        <w:rPr>
          <w:rFonts w:hint="eastAsia"/>
          <w:sz w:val="32"/>
          <w:szCs w:val="32"/>
        </w:rPr>
        <w:t>及复印件</w:t>
      </w:r>
      <w:r>
        <w:rPr>
          <w:sz w:val="32"/>
          <w:szCs w:val="32"/>
        </w:rPr>
        <w:t>；</w:t>
      </w:r>
    </w:p>
    <w:p>
      <w:pPr>
        <w:pStyle w:val="16"/>
        <w:numPr>
          <w:ilvl w:val="0"/>
          <w:numId w:val="3"/>
        </w:numPr>
        <w:spacing w:line="360" w:lineRule="auto"/>
        <w:ind w:firstLineChars="0"/>
        <w:jc w:val="both"/>
        <w:rPr>
          <w:sz w:val="32"/>
          <w:szCs w:val="32"/>
        </w:rPr>
      </w:pPr>
      <w:r>
        <w:rPr>
          <w:sz w:val="32"/>
          <w:szCs w:val="32"/>
        </w:rPr>
        <w:t>相关票据、划账单、汇款单、对账单、提货单、物流单等合同履行的凭证（</w:t>
      </w:r>
      <w:r>
        <w:rPr>
          <w:rFonts w:hint="eastAsia"/>
          <w:sz w:val="32"/>
          <w:szCs w:val="32"/>
        </w:rPr>
        <w:t>核对后归还</w:t>
      </w:r>
      <w:r>
        <w:rPr>
          <w:sz w:val="32"/>
          <w:szCs w:val="32"/>
        </w:rPr>
        <w:t>）</w:t>
      </w:r>
      <w:r>
        <w:rPr>
          <w:rFonts w:hint="eastAsia"/>
          <w:sz w:val="32"/>
          <w:szCs w:val="32"/>
        </w:rPr>
        <w:t>及复印件</w:t>
      </w:r>
      <w:r>
        <w:rPr>
          <w:sz w:val="32"/>
          <w:szCs w:val="32"/>
        </w:rPr>
        <w:t>；</w:t>
      </w:r>
    </w:p>
    <w:p>
      <w:pPr>
        <w:pStyle w:val="16"/>
        <w:numPr>
          <w:ilvl w:val="0"/>
          <w:numId w:val="3"/>
        </w:numPr>
        <w:spacing w:line="360" w:lineRule="auto"/>
        <w:ind w:firstLineChars="0"/>
        <w:jc w:val="both"/>
        <w:rPr>
          <w:sz w:val="32"/>
          <w:szCs w:val="32"/>
        </w:rPr>
      </w:pPr>
      <w:r>
        <w:rPr>
          <w:sz w:val="32"/>
          <w:szCs w:val="32"/>
        </w:rPr>
        <w:t>债权如有担保的，须提交抵押合同、质押合同、保证合同、担保物清单以及相关的抵押、质押登记证明（包括但不限于他项权利证明）等担保材料（</w:t>
      </w:r>
      <w:r>
        <w:rPr>
          <w:rFonts w:hint="eastAsia"/>
          <w:sz w:val="32"/>
          <w:szCs w:val="32"/>
        </w:rPr>
        <w:t>核对后归还</w:t>
      </w:r>
      <w:r>
        <w:rPr>
          <w:sz w:val="32"/>
          <w:szCs w:val="32"/>
        </w:rPr>
        <w:t>）</w:t>
      </w:r>
      <w:r>
        <w:rPr>
          <w:rFonts w:hint="eastAsia"/>
          <w:sz w:val="32"/>
          <w:szCs w:val="32"/>
        </w:rPr>
        <w:t>及复印件</w:t>
      </w:r>
      <w:r>
        <w:rPr>
          <w:sz w:val="32"/>
          <w:szCs w:val="32"/>
        </w:rPr>
        <w:t>。如担保物的物权凭证（如房产证、土地证、行驶证等）由债权人一并保管的，应在申报债权时将原件单独交还至管理人处，</w:t>
      </w:r>
      <w:r>
        <w:rPr>
          <w:rFonts w:hint="eastAsia"/>
          <w:sz w:val="32"/>
          <w:szCs w:val="32"/>
        </w:rPr>
        <w:t>原件</w:t>
      </w:r>
      <w:r>
        <w:rPr>
          <w:sz w:val="32"/>
          <w:szCs w:val="32"/>
        </w:rPr>
        <w:t>（</w:t>
      </w:r>
      <w:r>
        <w:rPr>
          <w:rFonts w:hint="eastAsia"/>
          <w:sz w:val="32"/>
          <w:szCs w:val="32"/>
        </w:rPr>
        <w:t>核对后归还</w:t>
      </w:r>
      <w:r>
        <w:rPr>
          <w:sz w:val="32"/>
          <w:szCs w:val="32"/>
        </w:rPr>
        <w:t>）；</w:t>
      </w:r>
    </w:p>
    <w:p>
      <w:pPr>
        <w:pStyle w:val="16"/>
        <w:numPr>
          <w:ilvl w:val="0"/>
          <w:numId w:val="3"/>
        </w:numPr>
        <w:spacing w:line="360" w:lineRule="auto"/>
        <w:ind w:firstLineChars="0"/>
        <w:jc w:val="both"/>
        <w:rPr>
          <w:sz w:val="32"/>
          <w:szCs w:val="32"/>
        </w:rPr>
      </w:pPr>
      <w:r>
        <w:rPr>
          <w:sz w:val="32"/>
          <w:szCs w:val="32"/>
        </w:rPr>
        <w:t>债权的发生、变更（包括但不限于债权转让、债务承担、合同转让、债务重组、抵销、部分清偿）及存续等原始材料</w:t>
      </w:r>
      <w:r>
        <w:rPr>
          <w:rFonts w:hint="eastAsia"/>
          <w:sz w:val="32"/>
          <w:szCs w:val="32"/>
        </w:rPr>
        <w:t>原件</w:t>
      </w:r>
      <w:r>
        <w:rPr>
          <w:sz w:val="32"/>
          <w:szCs w:val="32"/>
        </w:rPr>
        <w:t>（</w:t>
      </w:r>
      <w:r>
        <w:rPr>
          <w:rFonts w:hint="eastAsia"/>
          <w:sz w:val="32"/>
          <w:szCs w:val="32"/>
        </w:rPr>
        <w:t>核对后归还</w:t>
      </w:r>
      <w:r>
        <w:rPr>
          <w:sz w:val="32"/>
          <w:szCs w:val="32"/>
        </w:rPr>
        <w:t>）</w:t>
      </w:r>
      <w:r>
        <w:rPr>
          <w:rFonts w:hint="eastAsia"/>
          <w:sz w:val="32"/>
          <w:szCs w:val="32"/>
        </w:rPr>
        <w:t>及复印件</w:t>
      </w:r>
      <w:r>
        <w:rPr>
          <w:sz w:val="32"/>
          <w:szCs w:val="32"/>
        </w:rPr>
        <w:t>；</w:t>
      </w:r>
    </w:p>
    <w:p>
      <w:pPr>
        <w:pStyle w:val="16"/>
        <w:numPr>
          <w:ilvl w:val="0"/>
          <w:numId w:val="3"/>
        </w:numPr>
        <w:spacing w:line="360" w:lineRule="auto"/>
        <w:ind w:firstLineChars="0"/>
        <w:jc w:val="both"/>
        <w:rPr>
          <w:sz w:val="32"/>
          <w:szCs w:val="32"/>
        </w:rPr>
      </w:pPr>
      <w:r>
        <w:rPr>
          <w:sz w:val="32"/>
          <w:szCs w:val="32"/>
        </w:rPr>
        <w:t>债权人主张债权的相关证明资料，如催款、催收通知等</w:t>
      </w:r>
      <w:r>
        <w:rPr>
          <w:rFonts w:hint="eastAsia"/>
          <w:color w:val="000000"/>
          <w:sz w:val="32"/>
          <w:szCs w:val="32"/>
        </w:rPr>
        <w:t>原件（核对后归还）及复印件</w:t>
      </w:r>
      <w:r>
        <w:rPr>
          <w:sz w:val="32"/>
          <w:szCs w:val="32"/>
        </w:rPr>
        <w:t>；</w:t>
      </w:r>
    </w:p>
    <w:p>
      <w:pPr>
        <w:pStyle w:val="16"/>
        <w:numPr>
          <w:ilvl w:val="0"/>
          <w:numId w:val="3"/>
        </w:numPr>
        <w:spacing w:line="360" w:lineRule="auto"/>
        <w:ind w:firstLineChars="0"/>
        <w:jc w:val="both"/>
        <w:rPr>
          <w:sz w:val="32"/>
          <w:szCs w:val="32"/>
        </w:rPr>
      </w:pPr>
      <w:r>
        <w:rPr>
          <w:sz w:val="32"/>
          <w:szCs w:val="32"/>
        </w:rPr>
        <w:t>相关公证文书（如有）</w:t>
      </w:r>
      <w:r>
        <w:rPr>
          <w:rFonts w:hint="eastAsia"/>
          <w:color w:val="000000"/>
          <w:sz w:val="32"/>
          <w:szCs w:val="32"/>
        </w:rPr>
        <w:t>原件（核对后归还）及复印件</w:t>
      </w:r>
      <w:r>
        <w:rPr>
          <w:sz w:val="32"/>
          <w:szCs w:val="32"/>
        </w:rPr>
        <w:t>；</w:t>
      </w:r>
    </w:p>
    <w:p>
      <w:pPr>
        <w:pStyle w:val="16"/>
        <w:numPr>
          <w:ilvl w:val="0"/>
          <w:numId w:val="3"/>
        </w:numPr>
        <w:spacing w:line="360" w:lineRule="auto"/>
        <w:ind w:firstLineChars="0"/>
        <w:jc w:val="both"/>
        <w:rPr>
          <w:sz w:val="32"/>
          <w:szCs w:val="32"/>
        </w:rPr>
      </w:pPr>
      <w:r>
        <w:rPr>
          <w:sz w:val="32"/>
          <w:szCs w:val="32"/>
        </w:rPr>
        <w:t>能够证明债权诉讼时效中止、中断、延长及债权金额等情况的其他材料</w:t>
      </w:r>
      <w:r>
        <w:rPr>
          <w:rFonts w:hint="eastAsia"/>
          <w:color w:val="000000"/>
          <w:sz w:val="32"/>
          <w:szCs w:val="32"/>
        </w:rPr>
        <w:t>原件（核对后归还）及复印件</w:t>
      </w:r>
      <w:r>
        <w:rPr>
          <w:sz w:val="32"/>
          <w:szCs w:val="32"/>
        </w:rPr>
        <w:t>；</w:t>
      </w:r>
    </w:p>
    <w:p>
      <w:pPr>
        <w:pStyle w:val="16"/>
        <w:numPr>
          <w:ilvl w:val="0"/>
          <w:numId w:val="3"/>
        </w:numPr>
        <w:spacing w:line="360" w:lineRule="auto"/>
        <w:ind w:firstLineChars="0"/>
        <w:jc w:val="both"/>
        <w:rPr>
          <w:sz w:val="32"/>
          <w:szCs w:val="32"/>
        </w:rPr>
      </w:pPr>
      <w:r>
        <w:rPr>
          <w:sz w:val="32"/>
          <w:szCs w:val="32"/>
        </w:rPr>
        <w:t>债权如涉及诉讼、仲裁、调解、保全、执行的，则须提交诉讼、仲裁、调解、保全、执行有关的文件（包括但不限于已经判决或裁决的正在执行或正在进行中</w:t>
      </w:r>
      <w:r>
        <w:rPr>
          <w:rFonts w:hint="eastAsia"/>
          <w:sz w:val="32"/>
          <w:szCs w:val="32"/>
        </w:rPr>
        <w:t>的</w:t>
      </w:r>
      <w:r>
        <w:rPr>
          <w:sz w:val="32"/>
          <w:szCs w:val="32"/>
        </w:rPr>
        <w:t>案件的起诉状、仲裁申请书、诉讼保全申请书、保全裁定书、生效判决书、调解书、裁决书、执行申请书、法院执行裁定书、法院执行案件通知书等）。法院出具的生效法律文书应加盖法律文书生效章，如果案件经过两级法院审理，一、二审法院出具的法律文书均需提供；仲裁机关出具的生效法律文书应附上仲裁机构关于法律文书已经生效的函件或双方当事人已签收的送达回执以及证据材料。如果债权人已申请人民法院强制执行的，还须提交人民法院执行立案通知书、执行裁定书等相关文件</w:t>
      </w:r>
      <w:r>
        <w:rPr>
          <w:rFonts w:hint="eastAsia"/>
          <w:color w:val="000000"/>
          <w:sz w:val="32"/>
          <w:szCs w:val="32"/>
        </w:rPr>
        <w:t>原件（核对后归还）及复印件</w:t>
      </w:r>
      <w:r>
        <w:rPr>
          <w:sz w:val="32"/>
          <w:szCs w:val="32"/>
        </w:rPr>
        <w:t>，并向管理人说明是否已领取部分执行款；</w:t>
      </w:r>
    </w:p>
    <w:p>
      <w:pPr>
        <w:pStyle w:val="16"/>
        <w:numPr>
          <w:ilvl w:val="0"/>
          <w:numId w:val="3"/>
        </w:numPr>
        <w:spacing w:line="360" w:lineRule="auto"/>
        <w:ind w:firstLineChars="0"/>
        <w:jc w:val="both"/>
        <w:rPr>
          <w:sz w:val="32"/>
          <w:szCs w:val="32"/>
        </w:rPr>
      </w:pPr>
      <w:r>
        <w:rPr>
          <w:sz w:val="32"/>
          <w:szCs w:val="32"/>
        </w:rPr>
        <w:t>债务如有清偿情形的，须提供清偿凭证、协议等文件</w:t>
      </w:r>
      <w:r>
        <w:rPr>
          <w:rFonts w:hint="eastAsia"/>
          <w:color w:val="000000"/>
          <w:sz w:val="32"/>
          <w:szCs w:val="32"/>
        </w:rPr>
        <w:t>原件（核对后归还）及复印件</w:t>
      </w:r>
      <w:r>
        <w:rPr>
          <w:sz w:val="32"/>
          <w:szCs w:val="32"/>
        </w:rPr>
        <w:t>。如该等债务清偿系由法院裁定认可的，须同时提交相关的生效法律文书</w:t>
      </w:r>
      <w:r>
        <w:rPr>
          <w:rFonts w:hint="eastAsia"/>
          <w:color w:val="000000"/>
          <w:sz w:val="32"/>
          <w:szCs w:val="32"/>
        </w:rPr>
        <w:t>原件（核对后归还）及复印件</w:t>
      </w:r>
      <w:r>
        <w:rPr>
          <w:sz w:val="32"/>
          <w:szCs w:val="32"/>
        </w:rPr>
        <w:t>。本项义务不随着债权申报工作的结束而终止。如前述情况一经发生，债权人应及时通知管理人并补充提供前述资料。</w:t>
      </w:r>
    </w:p>
    <w:p>
      <w:pPr>
        <w:pStyle w:val="16"/>
        <w:numPr>
          <w:ilvl w:val="0"/>
          <w:numId w:val="3"/>
        </w:numPr>
        <w:spacing w:line="360" w:lineRule="auto"/>
        <w:ind w:firstLineChars="0"/>
        <w:jc w:val="both"/>
        <w:rPr>
          <w:color w:val="000000"/>
          <w:sz w:val="32"/>
          <w:szCs w:val="32"/>
        </w:rPr>
      </w:pPr>
      <w:r>
        <w:rPr>
          <w:rFonts w:hint="eastAsia"/>
          <w:color w:val="000000"/>
          <w:sz w:val="32"/>
          <w:szCs w:val="32"/>
        </w:rPr>
        <w:t>债权如涉及对建筑工程的争议，须提交建筑工程审计报告原件（核对后归还）及复印件。</w:t>
      </w:r>
    </w:p>
    <w:p>
      <w:pPr>
        <w:pStyle w:val="16"/>
        <w:numPr>
          <w:ilvl w:val="0"/>
          <w:numId w:val="3"/>
        </w:numPr>
        <w:spacing w:line="360" w:lineRule="auto"/>
        <w:ind w:firstLineChars="0"/>
        <w:jc w:val="both"/>
        <w:rPr>
          <w:b/>
          <w:bCs/>
          <w:sz w:val="32"/>
          <w:szCs w:val="32"/>
          <w:u w:val="single"/>
        </w:rPr>
      </w:pPr>
      <w:r>
        <w:rPr>
          <w:rFonts w:hint="eastAsia"/>
          <w:sz w:val="32"/>
          <w:szCs w:val="32"/>
        </w:rPr>
        <w:t>利息计算方法及计算过程的书面说明，管理人特别提示，根据《破产法》第四十六条第二款，附利息的债权自破产申请受理时起停止计息，请各位债权人在申报债权时注意利息计算截止日期</w:t>
      </w:r>
      <w:r>
        <w:rPr>
          <w:rFonts w:hint="eastAsia"/>
          <w:b/>
          <w:bCs/>
          <w:sz w:val="32"/>
          <w:szCs w:val="32"/>
          <w:u w:val="single"/>
        </w:rPr>
        <w:t>为2024年1月</w:t>
      </w:r>
      <w:r>
        <w:rPr>
          <w:rFonts w:hint="eastAsia"/>
          <w:b/>
          <w:bCs/>
          <w:sz w:val="32"/>
          <w:szCs w:val="32"/>
          <w:u w:val="single"/>
          <w:lang w:val="en-US" w:eastAsia="zh-CN"/>
        </w:rPr>
        <w:t>29</w:t>
      </w:r>
      <w:r>
        <w:rPr>
          <w:rFonts w:hint="eastAsia"/>
          <w:b/>
          <w:bCs/>
          <w:sz w:val="32"/>
          <w:szCs w:val="32"/>
          <w:u w:val="single"/>
        </w:rPr>
        <w:t>日。</w:t>
      </w:r>
    </w:p>
    <w:p>
      <w:pPr>
        <w:pStyle w:val="16"/>
        <w:numPr>
          <w:ilvl w:val="0"/>
          <w:numId w:val="3"/>
        </w:numPr>
        <w:spacing w:line="360" w:lineRule="auto"/>
        <w:ind w:firstLineChars="0"/>
        <w:jc w:val="both"/>
        <w:rPr>
          <w:sz w:val="32"/>
          <w:szCs w:val="32"/>
        </w:rPr>
      </w:pPr>
      <w:r>
        <w:rPr>
          <w:rFonts w:hint="eastAsia"/>
          <w:sz w:val="32"/>
          <w:szCs w:val="32"/>
        </w:rPr>
        <w:t>债权人提交申报债权材料</w:t>
      </w:r>
      <w:r>
        <w:rPr>
          <w:rFonts w:hint="eastAsia"/>
          <w:b/>
          <w:bCs/>
          <w:sz w:val="32"/>
          <w:szCs w:val="32"/>
        </w:rPr>
        <w:t>一式二份</w:t>
      </w:r>
      <w:r>
        <w:rPr>
          <w:rFonts w:hint="eastAsia"/>
          <w:sz w:val="32"/>
          <w:szCs w:val="32"/>
        </w:rPr>
        <w:t>，请在每页材料上进行签字或盖章</w:t>
      </w:r>
      <w:r>
        <w:rPr>
          <w:rFonts w:hint="eastAsia"/>
          <w:b/>
          <w:bCs/>
          <w:sz w:val="32"/>
          <w:szCs w:val="32"/>
        </w:rPr>
        <w:t>（骑缝章）</w:t>
      </w:r>
      <w:r>
        <w:rPr>
          <w:rFonts w:hint="eastAsia"/>
          <w:sz w:val="32"/>
          <w:szCs w:val="32"/>
        </w:rPr>
        <w:t>。</w:t>
      </w:r>
    </w:p>
    <w:p>
      <w:pPr>
        <w:pStyle w:val="16"/>
        <w:spacing w:line="360" w:lineRule="auto"/>
        <w:ind w:firstLine="640"/>
        <w:jc w:val="both"/>
        <w:rPr>
          <w:sz w:val="32"/>
          <w:szCs w:val="32"/>
        </w:rPr>
      </w:pPr>
      <w:r>
        <w:rPr>
          <w:rFonts w:hint="eastAsia"/>
          <w:sz w:val="32"/>
          <w:szCs w:val="32"/>
        </w:rPr>
        <w:t>以上证明债权成立及债权金额、性质的材料，如是网络申报</w:t>
      </w:r>
      <w:r>
        <w:rPr>
          <w:sz w:val="32"/>
          <w:szCs w:val="32"/>
        </w:rPr>
        <w:t>，</w:t>
      </w:r>
      <w:r>
        <w:rPr>
          <w:rFonts w:hint="eastAsia"/>
          <w:sz w:val="32"/>
          <w:szCs w:val="32"/>
        </w:rPr>
        <w:t>请于网络申报系统上传加盖公章/签字按捺手印的复印件（PDF格式）。</w:t>
      </w:r>
    </w:p>
    <w:p>
      <w:pPr>
        <w:pStyle w:val="16"/>
        <w:spacing w:line="360" w:lineRule="auto"/>
        <w:ind w:firstLine="643"/>
        <w:jc w:val="both"/>
        <w:outlineLvl w:val="1"/>
        <w:rPr>
          <w:b/>
          <w:sz w:val="32"/>
          <w:szCs w:val="32"/>
        </w:rPr>
      </w:pPr>
      <w:r>
        <w:rPr>
          <w:rFonts w:hint="eastAsia"/>
          <w:b/>
          <w:sz w:val="32"/>
          <w:szCs w:val="32"/>
        </w:rPr>
        <w:t>（四）债权人认为需要提交的其他材料</w:t>
      </w:r>
    </w:p>
    <w:p>
      <w:pPr>
        <w:pStyle w:val="16"/>
        <w:spacing w:line="360" w:lineRule="auto"/>
        <w:ind w:firstLine="640"/>
        <w:jc w:val="both"/>
        <w:rPr>
          <w:bCs/>
          <w:sz w:val="32"/>
          <w:szCs w:val="32"/>
        </w:rPr>
      </w:pPr>
      <w:r>
        <w:rPr>
          <w:bCs/>
          <w:sz w:val="32"/>
          <w:szCs w:val="32"/>
        </w:rPr>
        <w:t>如债权人认为需提交其他材料的，可参照前述标准补充提供相关材料，</w:t>
      </w:r>
      <w:r>
        <w:rPr>
          <w:rFonts w:hint="eastAsia"/>
          <w:bCs/>
          <w:sz w:val="32"/>
          <w:szCs w:val="32"/>
        </w:rPr>
        <w:t>如是网络申报的</w:t>
      </w:r>
      <w:r>
        <w:rPr>
          <w:bCs/>
          <w:sz w:val="32"/>
          <w:szCs w:val="32"/>
        </w:rPr>
        <w:t>上传PDF扫描件。</w:t>
      </w:r>
    </w:p>
    <w:p>
      <w:pPr>
        <w:pStyle w:val="16"/>
        <w:numPr>
          <w:ilvl w:val="0"/>
          <w:numId w:val="4"/>
        </w:numPr>
        <w:spacing w:line="360" w:lineRule="auto"/>
        <w:ind w:firstLine="643"/>
        <w:jc w:val="both"/>
        <w:outlineLvl w:val="1"/>
        <w:rPr>
          <w:b/>
          <w:sz w:val="32"/>
          <w:szCs w:val="32"/>
        </w:rPr>
      </w:pPr>
      <w:r>
        <w:rPr>
          <w:rFonts w:hint="eastAsia"/>
          <w:b/>
          <w:sz w:val="32"/>
          <w:szCs w:val="32"/>
        </w:rPr>
        <w:t>提交材料时的有关注意事项</w:t>
      </w:r>
    </w:p>
    <w:p>
      <w:pPr>
        <w:pStyle w:val="16"/>
        <w:spacing w:line="360" w:lineRule="auto"/>
        <w:ind w:firstLine="640"/>
        <w:jc w:val="both"/>
        <w:rPr>
          <w:sz w:val="32"/>
          <w:szCs w:val="32"/>
        </w:rPr>
      </w:pPr>
      <w:r>
        <w:rPr>
          <w:sz w:val="32"/>
          <w:szCs w:val="32"/>
        </w:rPr>
        <w:t xml:space="preserve"> </w:t>
      </w:r>
      <w:r>
        <w:rPr>
          <w:rFonts w:hint="eastAsia"/>
          <w:sz w:val="32"/>
          <w:szCs w:val="32"/>
        </w:rPr>
        <w:t>1.债权人提交的申报材料中，《债权申报表》需提交两份原件，其他材料须带原件核对，并提交原件核对相符的复印件一式二份，原件核对后退还。对于债权人提交的材料复印件，债权人为单位的，在复印件每一页上加盖单位公章及骑缝章。债权人为自然人的，由债权人本人或代理人在复印件每一页上签字。</w:t>
      </w:r>
    </w:p>
    <w:p>
      <w:pPr>
        <w:pStyle w:val="16"/>
        <w:spacing w:line="360" w:lineRule="auto"/>
        <w:ind w:firstLine="640"/>
        <w:jc w:val="both"/>
        <w:rPr>
          <w:sz w:val="32"/>
          <w:szCs w:val="32"/>
        </w:rPr>
      </w:pPr>
      <w:r>
        <w:rPr>
          <w:rFonts w:hint="eastAsia"/>
          <w:sz w:val="32"/>
          <w:szCs w:val="32"/>
        </w:rPr>
        <w:t>2.债权人无法提供原件核对的，需在复印件材料中签注“复印件与原件一致，否则一切法律后果自负”字样。</w:t>
      </w:r>
    </w:p>
    <w:p>
      <w:pPr>
        <w:pStyle w:val="16"/>
        <w:spacing w:line="360" w:lineRule="auto"/>
        <w:ind w:firstLine="640"/>
        <w:jc w:val="both"/>
        <w:rPr>
          <w:sz w:val="32"/>
          <w:szCs w:val="32"/>
        </w:rPr>
      </w:pPr>
      <w:r>
        <w:rPr>
          <w:rFonts w:hint="eastAsia"/>
          <w:sz w:val="32"/>
          <w:szCs w:val="32"/>
        </w:rPr>
        <w:t>3.债权人向管理人提供的外文资料，应当附有中文译本。</w:t>
      </w:r>
    </w:p>
    <w:p>
      <w:pPr>
        <w:pStyle w:val="16"/>
        <w:spacing w:line="360" w:lineRule="auto"/>
        <w:ind w:firstLine="640"/>
        <w:jc w:val="both"/>
        <w:rPr>
          <w:sz w:val="32"/>
          <w:szCs w:val="32"/>
        </w:rPr>
      </w:pPr>
      <w:r>
        <w:rPr>
          <w:rFonts w:hint="eastAsia"/>
          <w:sz w:val="32"/>
          <w:szCs w:val="32"/>
        </w:rPr>
        <w:t>4.在中华人民共和国领域内没有住所的债权人委托中华人民共和国律师或者其他人代理诉讼，从中华人民共和国领域外寄交或者托交的授权委托书，应当经所在国公证机关证明，并经中华人民共和国驻该国使领馆认证，或者履行中华人民共和国与该所在国订立的有关条约中规定的证明手续后，才具有效力。</w:t>
      </w:r>
    </w:p>
    <w:p>
      <w:pPr>
        <w:pStyle w:val="16"/>
        <w:spacing w:line="360" w:lineRule="auto"/>
        <w:ind w:firstLine="640"/>
        <w:jc w:val="both"/>
        <w:rPr>
          <w:sz w:val="32"/>
          <w:szCs w:val="32"/>
        </w:rPr>
      </w:pPr>
      <w:r>
        <w:rPr>
          <w:rFonts w:hint="eastAsia"/>
          <w:sz w:val="32"/>
          <w:szCs w:val="32"/>
        </w:rPr>
        <w:t>5.债权人向管理人提供的资料如在中华人民共和国领域外形成的，该资料应当经所在国公证机关予以证明，并经中华人民共和国驻该国使领馆予以认证，或者履行中华人民共和国与该所在国订立的有关条约中规定的证明手续。债权人向人民法院提供的证据是在香港、澳门、台湾地区形成的，应当履行相关的证明手续。</w:t>
      </w:r>
    </w:p>
    <w:p>
      <w:pPr>
        <w:pStyle w:val="16"/>
        <w:spacing w:line="360" w:lineRule="auto"/>
        <w:ind w:firstLine="640"/>
        <w:jc w:val="both"/>
        <w:rPr>
          <w:sz w:val="32"/>
          <w:szCs w:val="32"/>
        </w:rPr>
      </w:pPr>
      <w:r>
        <w:rPr>
          <w:rFonts w:hint="eastAsia"/>
          <w:sz w:val="32"/>
          <w:szCs w:val="32"/>
        </w:rPr>
        <w:t>6.债权人及其委托代理人务必在债权申报材料中注明有效的联系方式，包括但不限于固定电话、手机电话、传真、邮寄地址及邮政编码等。管理人将相关文件邮寄到指定地址、通过传真发送至指定号码或以电子邮件方式发至指定邮箱均视为有效送达。</w:t>
      </w:r>
    </w:p>
    <w:p>
      <w:pPr>
        <w:pStyle w:val="16"/>
        <w:spacing w:line="360" w:lineRule="auto"/>
        <w:ind w:firstLine="640"/>
        <w:jc w:val="both"/>
        <w:rPr>
          <w:sz w:val="32"/>
          <w:szCs w:val="32"/>
        </w:rPr>
      </w:pPr>
      <w:r>
        <w:rPr>
          <w:rFonts w:hint="eastAsia"/>
          <w:sz w:val="32"/>
          <w:szCs w:val="32"/>
        </w:rPr>
        <w:t>7.提供材料纸张统一为复印纸A4型。</w:t>
      </w:r>
    </w:p>
    <w:p>
      <w:pPr>
        <w:pStyle w:val="16"/>
        <w:spacing w:line="360" w:lineRule="auto"/>
        <w:ind w:firstLine="643"/>
        <w:jc w:val="both"/>
        <w:outlineLvl w:val="0"/>
        <w:rPr>
          <w:b/>
          <w:sz w:val="32"/>
          <w:szCs w:val="32"/>
        </w:rPr>
      </w:pPr>
      <w:r>
        <w:rPr>
          <w:rFonts w:hint="eastAsia"/>
          <w:b/>
          <w:sz w:val="32"/>
          <w:szCs w:val="32"/>
        </w:rPr>
        <w:t>四、关于网络申报的特别提示</w:t>
      </w:r>
    </w:p>
    <w:p>
      <w:pPr>
        <w:pStyle w:val="16"/>
        <w:spacing w:line="360" w:lineRule="auto"/>
        <w:ind w:firstLine="640"/>
        <w:jc w:val="both"/>
        <w:rPr>
          <w:bCs/>
          <w:color w:val="000000" w:themeColor="text1"/>
          <w:sz w:val="32"/>
          <w:szCs w:val="32"/>
          <w14:textFill>
            <w14:solidFill>
              <w14:schemeClr w14:val="tx1"/>
            </w14:solidFill>
          </w14:textFill>
        </w:rPr>
      </w:pPr>
      <w:r>
        <w:rPr>
          <w:rFonts w:hint="eastAsia"/>
          <w:bCs/>
          <w:sz w:val="32"/>
          <w:szCs w:val="32"/>
        </w:rPr>
        <w:t>如为网络申报</w:t>
      </w:r>
      <w:r>
        <w:rPr>
          <w:bCs/>
          <w:sz w:val="32"/>
          <w:szCs w:val="32"/>
        </w:rPr>
        <w:t>，债权人</w:t>
      </w:r>
      <w:r>
        <w:rPr>
          <w:rFonts w:hint="eastAsia"/>
          <w:bCs/>
          <w:sz w:val="32"/>
          <w:szCs w:val="32"/>
        </w:rPr>
        <w:t>按网站提示完成线上网络提交后，管理人将尽快进行材料的形式审查。（1）形式审查通过的，管理人将通知债权人邮寄相关材料，请债权人接到【管理人通知】后，及时将相关材料邮寄至管理人处，以便管理人开始实质审查。（2）形式审查不通过的，管理人亦会通知债权人补充提交材料、修改相关信息。需要补充提交材料、修改相关信息的债权人，请勿新建债权人信息或债权笔数，只需要在原有已提交的信息中进行补充、修改即可。</w:t>
      </w:r>
    </w:p>
    <w:p>
      <w:pPr>
        <w:pStyle w:val="16"/>
        <w:spacing w:line="360" w:lineRule="auto"/>
        <w:ind w:firstLine="640"/>
        <w:jc w:val="both"/>
        <w:rPr>
          <w:b/>
          <w:color w:val="000000" w:themeColor="text1"/>
          <w:sz w:val="32"/>
          <w:szCs w:val="32"/>
          <w14:textFill>
            <w14:solidFill>
              <w14:schemeClr w14:val="tx1"/>
            </w14:solidFill>
          </w14:textFill>
        </w:rPr>
      </w:pPr>
      <w:r>
        <w:rPr>
          <w:bCs/>
          <w:color w:val="000000" w:themeColor="text1"/>
          <w:sz w:val="32"/>
          <w:szCs w:val="32"/>
          <w14:textFill>
            <w14:solidFill>
              <w14:schemeClr w14:val="tx1"/>
            </w14:solidFill>
          </w14:textFill>
        </w:rPr>
        <w:t>纸质材料</w:t>
      </w:r>
      <w:r>
        <w:rPr>
          <w:rFonts w:hint="eastAsia"/>
          <w:bCs/>
          <w:color w:val="000000" w:themeColor="text1"/>
          <w:sz w:val="32"/>
          <w:szCs w:val="32"/>
          <w14:textFill>
            <w14:solidFill>
              <w14:schemeClr w14:val="tx1"/>
            </w14:solidFill>
          </w14:textFill>
        </w:rPr>
        <w:t>应符合本指引第三部分的要求</w:t>
      </w:r>
      <w:r>
        <w:rPr>
          <w:rFonts w:hint="eastAsia"/>
          <w:b/>
          <w:color w:val="000000" w:themeColor="text1"/>
          <w:sz w:val="32"/>
          <w:szCs w:val="32"/>
          <w14:textFill>
            <w14:solidFill>
              <w14:schemeClr w14:val="tx1"/>
            </w14:solidFill>
          </w14:textFill>
        </w:rPr>
        <w:t>，提交的所有材料均应当签字/盖章/捺印。</w:t>
      </w:r>
    </w:p>
    <w:p>
      <w:pPr>
        <w:pStyle w:val="16"/>
        <w:spacing w:line="360" w:lineRule="auto"/>
        <w:ind w:firstLine="643"/>
        <w:jc w:val="both"/>
        <w:rPr>
          <w:b/>
          <w:color w:val="000000" w:themeColor="text1"/>
          <w:sz w:val="32"/>
          <w:szCs w:val="32"/>
          <w14:textFill>
            <w14:solidFill>
              <w14:schemeClr w14:val="tx1"/>
            </w14:solidFill>
          </w14:textFill>
        </w:rPr>
      </w:pPr>
      <w:r>
        <w:rPr>
          <w:rFonts w:hint="eastAsia"/>
          <w:b/>
          <w:color w:val="000000" w:themeColor="text1"/>
          <w:sz w:val="32"/>
          <w:szCs w:val="32"/>
          <w14:textFill>
            <w14:solidFill>
              <w14:schemeClr w14:val="tx1"/>
            </w14:solidFill>
          </w14:textFill>
        </w:rPr>
        <w:t>注意：（1）使用过程中有任何疑问，可联系网站的技术支持人员（技术运维电话：0459-8105930，工作日周一至周五</w:t>
      </w:r>
      <w:r>
        <w:rPr>
          <w:rFonts w:hint="eastAsia"/>
          <w:b/>
          <w:color w:val="000000" w:themeColor="text1"/>
          <w:sz w:val="32"/>
          <w:szCs w:val="32"/>
          <w:lang w:val="en-US" w:eastAsia="zh-CN"/>
          <w14:textFill>
            <w14:solidFill>
              <w14:schemeClr w14:val="tx1"/>
            </w14:solidFill>
          </w14:textFill>
        </w:rPr>
        <w:t>8</w:t>
      </w:r>
      <w:r>
        <w:rPr>
          <w:rFonts w:hint="eastAsia"/>
          <w:b/>
          <w:color w:val="000000" w:themeColor="text1"/>
          <w:sz w:val="32"/>
          <w:szCs w:val="32"/>
          <w14:textFill>
            <w14:solidFill>
              <w14:schemeClr w14:val="tx1"/>
            </w14:solidFill>
          </w14:textFill>
        </w:rPr>
        <w:t>：</w:t>
      </w:r>
      <w:r>
        <w:rPr>
          <w:rFonts w:hint="eastAsia"/>
          <w:b/>
          <w:color w:val="000000" w:themeColor="text1"/>
          <w:sz w:val="32"/>
          <w:szCs w:val="32"/>
          <w:lang w:val="en-US" w:eastAsia="zh-CN"/>
          <w14:textFill>
            <w14:solidFill>
              <w14:schemeClr w14:val="tx1"/>
            </w14:solidFill>
          </w14:textFill>
        </w:rPr>
        <w:t>3</w:t>
      </w:r>
      <w:r>
        <w:rPr>
          <w:rFonts w:hint="eastAsia"/>
          <w:b/>
          <w:color w:val="000000" w:themeColor="text1"/>
          <w:sz w:val="32"/>
          <w:szCs w:val="32"/>
          <w14:textFill>
            <w14:solidFill>
              <w14:schemeClr w14:val="tx1"/>
            </w14:solidFill>
          </w14:textFill>
        </w:rPr>
        <w:t>0-1</w:t>
      </w:r>
      <w:r>
        <w:rPr>
          <w:rFonts w:hint="eastAsia"/>
          <w:b/>
          <w:color w:val="000000" w:themeColor="text1"/>
          <w:sz w:val="32"/>
          <w:szCs w:val="32"/>
          <w:lang w:val="en-US" w:eastAsia="zh-CN"/>
          <w14:textFill>
            <w14:solidFill>
              <w14:schemeClr w14:val="tx1"/>
            </w14:solidFill>
          </w14:textFill>
        </w:rPr>
        <w:t>6</w:t>
      </w:r>
      <w:r>
        <w:rPr>
          <w:rFonts w:hint="eastAsia"/>
          <w:b/>
          <w:color w:val="000000" w:themeColor="text1"/>
          <w:sz w:val="32"/>
          <w:szCs w:val="32"/>
          <w14:textFill>
            <w14:solidFill>
              <w14:schemeClr w14:val="tx1"/>
            </w14:solidFill>
          </w14:textFill>
        </w:rPr>
        <w:t>：</w:t>
      </w:r>
      <w:r>
        <w:rPr>
          <w:rFonts w:hint="eastAsia"/>
          <w:b/>
          <w:color w:val="000000" w:themeColor="text1"/>
          <w:sz w:val="32"/>
          <w:szCs w:val="32"/>
          <w:lang w:val="en-US" w:eastAsia="zh-CN"/>
          <w14:textFill>
            <w14:solidFill>
              <w14:schemeClr w14:val="tx1"/>
            </w14:solidFill>
          </w14:textFill>
        </w:rPr>
        <w:t>3</w:t>
      </w:r>
      <w:r>
        <w:rPr>
          <w:rFonts w:hint="eastAsia"/>
          <w:b/>
          <w:color w:val="000000" w:themeColor="text1"/>
          <w:sz w:val="32"/>
          <w:szCs w:val="32"/>
          <w14:textFill>
            <w14:solidFill>
              <w14:schemeClr w14:val="tx1"/>
            </w14:solidFill>
          </w14:textFill>
        </w:rPr>
        <w:t>0）。</w:t>
      </w:r>
    </w:p>
    <w:p>
      <w:pPr>
        <w:pStyle w:val="16"/>
        <w:spacing w:line="360" w:lineRule="auto"/>
        <w:ind w:firstLine="643"/>
        <w:jc w:val="both"/>
        <w:outlineLvl w:val="0"/>
        <w:rPr>
          <w:b/>
          <w:color w:val="000000" w:themeColor="text1"/>
          <w:sz w:val="32"/>
          <w:szCs w:val="32"/>
          <w14:textFill>
            <w14:solidFill>
              <w14:schemeClr w14:val="tx1"/>
            </w14:solidFill>
          </w14:textFill>
        </w:rPr>
      </w:pPr>
      <w:r>
        <w:rPr>
          <w:rFonts w:hint="eastAsia"/>
          <w:b/>
          <w:color w:val="000000" w:themeColor="text1"/>
          <w:sz w:val="32"/>
          <w:szCs w:val="32"/>
          <w14:textFill>
            <w14:solidFill>
              <w14:schemeClr w14:val="tx1"/>
            </w14:solidFill>
          </w14:textFill>
        </w:rPr>
        <w:t>五</w:t>
      </w:r>
      <w:r>
        <w:rPr>
          <w:b/>
          <w:color w:val="000000" w:themeColor="text1"/>
          <w:sz w:val="32"/>
          <w:szCs w:val="32"/>
          <w14:textFill>
            <w14:solidFill>
              <w14:schemeClr w14:val="tx1"/>
            </w14:solidFill>
          </w14:textFill>
        </w:rPr>
        <w:t>、</w:t>
      </w:r>
      <w:r>
        <w:rPr>
          <w:rFonts w:hint="eastAsia"/>
          <w:b/>
          <w:color w:val="000000" w:themeColor="text1"/>
          <w:sz w:val="32"/>
          <w:szCs w:val="32"/>
          <w14:textFill>
            <w14:solidFill>
              <w14:schemeClr w14:val="tx1"/>
            </w14:solidFill>
          </w14:textFill>
        </w:rPr>
        <w:t>管理人联系方式</w:t>
      </w:r>
    </w:p>
    <w:p>
      <w:pPr>
        <w:pStyle w:val="16"/>
        <w:spacing w:line="360" w:lineRule="auto"/>
        <w:ind w:firstLine="640"/>
        <w:jc w:val="both"/>
        <w:rPr>
          <w:bCs/>
          <w:color w:val="000000" w:themeColor="text1"/>
          <w:sz w:val="32"/>
          <w:szCs w:val="32"/>
          <w14:textFill>
            <w14:solidFill>
              <w14:schemeClr w14:val="tx1"/>
            </w14:solidFill>
          </w14:textFill>
        </w:rPr>
      </w:pPr>
      <w:r>
        <w:rPr>
          <w:bCs/>
          <w:color w:val="000000" w:themeColor="text1"/>
          <w:sz w:val="32"/>
          <w:szCs w:val="32"/>
          <w14:textFill>
            <w14:solidFill>
              <w14:schemeClr w14:val="tx1"/>
            </w14:solidFill>
          </w14:textFill>
        </w:rPr>
        <w:t>（</w:t>
      </w:r>
      <w:r>
        <w:rPr>
          <w:rFonts w:hint="eastAsia"/>
          <w:bCs/>
          <w:color w:val="000000" w:themeColor="text1"/>
          <w:sz w:val="32"/>
          <w:szCs w:val="32"/>
          <w14:textFill>
            <w14:solidFill>
              <w14:schemeClr w14:val="tx1"/>
            </w14:solidFill>
          </w14:textFill>
        </w:rPr>
        <w:t>一</w:t>
      </w:r>
      <w:r>
        <w:rPr>
          <w:bCs/>
          <w:color w:val="000000" w:themeColor="text1"/>
          <w:sz w:val="32"/>
          <w:szCs w:val="32"/>
          <w14:textFill>
            <w14:solidFill>
              <w14:schemeClr w14:val="tx1"/>
            </w14:solidFill>
          </w14:textFill>
        </w:rPr>
        <w:t>）</w:t>
      </w:r>
      <w:r>
        <w:rPr>
          <w:rFonts w:hint="eastAsia"/>
          <w:bCs/>
          <w:color w:val="000000" w:themeColor="text1"/>
          <w:sz w:val="32"/>
          <w:szCs w:val="32"/>
          <w14:textFill>
            <w14:solidFill>
              <w14:schemeClr w14:val="tx1"/>
            </w14:solidFill>
          </w14:textFill>
        </w:rPr>
        <w:t>通讯及现场申报地址</w:t>
      </w:r>
      <w:r>
        <w:rPr>
          <w:bCs/>
          <w:color w:val="000000" w:themeColor="text1"/>
          <w:sz w:val="32"/>
          <w:szCs w:val="32"/>
          <w14:textFill>
            <w14:solidFill>
              <w14:schemeClr w14:val="tx1"/>
            </w14:solidFill>
          </w14:textFill>
        </w:rPr>
        <w:t>：</w:t>
      </w:r>
      <w:r>
        <w:rPr>
          <w:rFonts w:hint="eastAsia"/>
          <w:bCs/>
          <w:color w:val="000000" w:themeColor="text1"/>
          <w:sz w:val="32"/>
          <w:szCs w:val="32"/>
          <w14:textFill>
            <w14:solidFill>
              <w14:schemeClr w14:val="tx1"/>
            </w14:solidFill>
          </w14:textFill>
        </w:rPr>
        <w:t>黑龙江省哈尔滨市南岗区长江路368号1楼106室</w:t>
      </w:r>
      <w:r>
        <w:rPr>
          <w:bCs/>
          <w:color w:val="000000" w:themeColor="text1"/>
          <w:sz w:val="32"/>
          <w:szCs w:val="32"/>
          <w14:textFill>
            <w14:solidFill>
              <w14:schemeClr w14:val="tx1"/>
            </w14:solidFill>
          </w14:textFill>
        </w:rPr>
        <w:t>（快递建议使用中国邮政速递EMS，邮费寄付</w:t>
      </w:r>
      <w:r>
        <w:rPr>
          <w:rFonts w:hint="eastAsia"/>
          <w:bCs/>
          <w:color w:val="000000" w:themeColor="text1"/>
          <w:sz w:val="32"/>
          <w:szCs w:val="32"/>
          <w14:textFill>
            <w14:solidFill>
              <w14:schemeClr w14:val="tx1"/>
            </w14:solidFill>
          </w14:textFill>
        </w:rPr>
        <w:t>；</w:t>
      </w:r>
      <w:r>
        <w:rPr>
          <w:rFonts w:hint="eastAsia"/>
          <w:b/>
          <w:bCs/>
          <w:color w:val="000000" w:themeColor="text1"/>
          <w:sz w:val="32"/>
          <w:szCs w:val="32"/>
          <w:u w:val="single"/>
          <w14:textFill>
            <w14:solidFill>
              <w14:schemeClr w14:val="tx1"/>
            </w14:solidFill>
          </w14:textFill>
        </w:rPr>
        <w:t>快递封皮标注“债权申报”</w:t>
      </w:r>
      <w:r>
        <w:rPr>
          <w:bCs/>
          <w:color w:val="000000" w:themeColor="text1"/>
          <w:sz w:val="32"/>
          <w:szCs w:val="32"/>
          <w14:textFill>
            <w14:solidFill>
              <w14:schemeClr w14:val="tx1"/>
            </w14:solidFill>
          </w14:textFill>
        </w:rPr>
        <w:t>）</w:t>
      </w:r>
    </w:p>
    <w:p>
      <w:pPr>
        <w:pStyle w:val="16"/>
        <w:spacing w:line="360" w:lineRule="auto"/>
        <w:ind w:firstLine="640"/>
        <w:jc w:val="both"/>
        <w:rPr>
          <w:bCs/>
          <w:sz w:val="32"/>
          <w:szCs w:val="32"/>
        </w:rPr>
      </w:pPr>
      <w:r>
        <w:rPr>
          <w:bCs/>
          <w:sz w:val="32"/>
          <w:szCs w:val="32"/>
        </w:rPr>
        <w:t>（</w:t>
      </w:r>
      <w:r>
        <w:rPr>
          <w:rFonts w:hint="eastAsia"/>
          <w:bCs/>
          <w:sz w:val="32"/>
          <w:szCs w:val="32"/>
        </w:rPr>
        <w:t>二</w:t>
      </w:r>
      <w:r>
        <w:rPr>
          <w:bCs/>
          <w:sz w:val="32"/>
          <w:szCs w:val="32"/>
        </w:rPr>
        <w:t>）</w:t>
      </w:r>
      <w:r>
        <w:rPr>
          <w:rFonts w:hint="eastAsia"/>
          <w:bCs/>
          <w:sz w:val="32"/>
          <w:szCs w:val="32"/>
        </w:rPr>
        <w:t>联系人</w:t>
      </w:r>
      <w:r>
        <w:rPr>
          <w:bCs/>
          <w:sz w:val="32"/>
          <w:szCs w:val="32"/>
        </w:rPr>
        <w:t>：</w:t>
      </w:r>
      <w:r>
        <w:rPr>
          <w:rFonts w:hint="eastAsia"/>
          <w:sz w:val="32"/>
          <w:szCs w:val="32"/>
        </w:rPr>
        <w:t>邓女士、曹先生</w:t>
      </w:r>
    </w:p>
    <w:p>
      <w:pPr>
        <w:pStyle w:val="16"/>
        <w:spacing w:line="360" w:lineRule="auto"/>
        <w:ind w:firstLine="640"/>
        <w:jc w:val="both"/>
        <w:rPr>
          <w:sz w:val="32"/>
          <w:szCs w:val="32"/>
        </w:rPr>
      </w:pPr>
      <w:r>
        <w:rPr>
          <w:bCs/>
          <w:sz w:val="32"/>
          <w:szCs w:val="32"/>
        </w:rPr>
        <w:t>（</w:t>
      </w:r>
      <w:r>
        <w:rPr>
          <w:rFonts w:hint="eastAsia"/>
          <w:bCs/>
          <w:sz w:val="32"/>
          <w:szCs w:val="32"/>
        </w:rPr>
        <w:t>三</w:t>
      </w:r>
      <w:r>
        <w:rPr>
          <w:bCs/>
          <w:sz w:val="32"/>
          <w:szCs w:val="32"/>
        </w:rPr>
        <w:t>）</w:t>
      </w:r>
      <w:r>
        <w:rPr>
          <w:rFonts w:hint="eastAsia"/>
          <w:bCs/>
          <w:sz w:val="32"/>
          <w:szCs w:val="32"/>
        </w:rPr>
        <w:t>联系电话</w:t>
      </w:r>
      <w:r>
        <w:rPr>
          <w:bCs/>
          <w:sz w:val="32"/>
          <w:szCs w:val="32"/>
        </w:rPr>
        <w:t>：</w:t>
      </w:r>
      <w:r>
        <w:rPr>
          <w:rFonts w:hint="eastAsia"/>
          <w:bCs/>
          <w:sz w:val="32"/>
          <w:szCs w:val="32"/>
        </w:rPr>
        <w:t>15146616417</w:t>
      </w:r>
      <w:r>
        <w:rPr>
          <w:rFonts w:hint="eastAsia"/>
          <w:bCs/>
          <w:sz w:val="32"/>
          <w:szCs w:val="32"/>
          <w:lang w:eastAsia="zh-CN"/>
        </w:rPr>
        <w:t>、</w:t>
      </w:r>
      <w:r>
        <w:rPr>
          <w:rFonts w:hint="eastAsia"/>
          <w:sz w:val="32"/>
          <w:szCs w:val="32"/>
        </w:rPr>
        <w:t>15045043175</w:t>
      </w:r>
    </w:p>
    <w:p>
      <w:pPr>
        <w:pStyle w:val="16"/>
        <w:spacing w:line="360" w:lineRule="auto"/>
        <w:ind w:firstLine="640"/>
        <w:jc w:val="both"/>
        <w:rPr>
          <w:bCs/>
          <w:sz w:val="32"/>
          <w:szCs w:val="32"/>
        </w:rPr>
      </w:pPr>
      <w:r>
        <w:rPr>
          <w:bCs/>
          <w:sz w:val="32"/>
          <w:szCs w:val="32"/>
        </w:rPr>
        <w:t>（</w:t>
      </w:r>
      <w:r>
        <w:rPr>
          <w:rFonts w:hint="eastAsia"/>
          <w:bCs/>
          <w:sz w:val="32"/>
          <w:szCs w:val="32"/>
        </w:rPr>
        <w:t>四</w:t>
      </w:r>
      <w:r>
        <w:rPr>
          <w:bCs/>
          <w:sz w:val="32"/>
          <w:szCs w:val="32"/>
        </w:rPr>
        <w:t>）</w:t>
      </w:r>
      <w:r>
        <w:rPr>
          <w:rFonts w:hint="eastAsia"/>
          <w:bCs/>
          <w:sz w:val="32"/>
          <w:szCs w:val="32"/>
        </w:rPr>
        <w:t>办公时间</w:t>
      </w:r>
      <w:r>
        <w:rPr>
          <w:bCs/>
          <w:sz w:val="32"/>
          <w:szCs w:val="32"/>
        </w:rPr>
        <w:t>：</w:t>
      </w:r>
      <w:r>
        <w:rPr>
          <w:rFonts w:hint="eastAsia"/>
          <w:bCs/>
          <w:sz w:val="32"/>
          <w:szCs w:val="32"/>
        </w:rPr>
        <w:t>周一至周五</w:t>
      </w:r>
      <w:r>
        <w:rPr>
          <w:bCs/>
          <w:sz w:val="32"/>
          <w:szCs w:val="32"/>
        </w:rPr>
        <w:t>，</w:t>
      </w:r>
      <w:r>
        <w:rPr>
          <w:rFonts w:hint="eastAsia"/>
          <w:bCs/>
          <w:sz w:val="32"/>
          <w:szCs w:val="32"/>
        </w:rPr>
        <w:t>上午</w:t>
      </w:r>
      <w:r>
        <w:rPr>
          <w:bCs/>
          <w:sz w:val="32"/>
          <w:szCs w:val="32"/>
        </w:rPr>
        <w:t>9</w:t>
      </w:r>
      <w:r>
        <w:rPr>
          <w:rFonts w:hint="eastAsia"/>
          <w:bCs/>
          <w:sz w:val="32"/>
          <w:szCs w:val="32"/>
        </w:rPr>
        <w:t>：</w:t>
      </w:r>
      <w:r>
        <w:rPr>
          <w:bCs/>
          <w:sz w:val="32"/>
          <w:szCs w:val="32"/>
        </w:rPr>
        <w:t>30-11</w:t>
      </w:r>
      <w:r>
        <w:rPr>
          <w:rFonts w:hint="eastAsia"/>
          <w:bCs/>
          <w:sz w:val="32"/>
          <w:szCs w:val="32"/>
        </w:rPr>
        <w:t>：</w:t>
      </w:r>
      <w:r>
        <w:rPr>
          <w:bCs/>
          <w:sz w:val="32"/>
          <w:szCs w:val="32"/>
        </w:rPr>
        <w:t>30，</w:t>
      </w:r>
      <w:r>
        <w:rPr>
          <w:rFonts w:hint="eastAsia"/>
          <w:bCs/>
          <w:sz w:val="32"/>
          <w:szCs w:val="32"/>
        </w:rPr>
        <w:t>下午</w:t>
      </w:r>
      <w:r>
        <w:rPr>
          <w:bCs/>
          <w:sz w:val="32"/>
          <w:szCs w:val="32"/>
        </w:rPr>
        <w:t>14</w:t>
      </w:r>
      <w:r>
        <w:rPr>
          <w:rFonts w:hint="eastAsia"/>
          <w:bCs/>
          <w:sz w:val="32"/>
          <w:szCs w:val="32"/>
        </w:rPr>
        <w:t>：</w:t>
      </w:r>
      <w:r>
        <w:rPr>
          <w:bCs/>
          <w:sz w:val="32"/>
          <w:szCs w:val="32"/>
        </w:rPr>
        <w:t>00-16</w:t>
      </w:r>
      <w:r>
        <w:rPr>
          <w:rFonts w:hint="eastAsia"/>
          <w:bCs/>
          <w:sz w:val="32"/>
          <w:szCs w:val="32"/>
        </w:rPr>
        <w:t>：</w:t>
      </w:r>
      <w:r>
        <w:rPr>
          <w:bCs/>
          <w:sz w:val="32"/>
          <w:szCs w:val="32"/>
        </w:rPr>
        <w:t>30，</w:t>
      </w:r>
      <w:r>
        <w:rPr>
          <w:rFonts w:hint="eastAsia"/>
          <w:bCs/>
          <w:sz w:val="32"/>
          <w:szCs w:val="32"/>
        </w:rPr>
        <w:t>国家法定节假日除外</w:t>
      </w:r>
      <w:r>
        <w:rPr>
          <w:bCs/>
          <w:sz w:val="32"/>
          <w:szCs w:val="32"/>
        </w:rPr>
        <w:t>。</w:t>
      </w:r>
    </w:p>
    <w:p>
      <w:pPr>
        <w:pStyle w:val="16"/>
        <w:spacing w:line="360" w:lineRule="auto"/>
        <w:ind w:firstLine="640"/>
        <w:jc w:val="both"/>
        <w:rPr>
          <w:bCs/>
          <w:sz w:val="32"/>
          <w:szCs w:val="32"/>
        </w:rPr>
      </w:pPr>
    </w:p>
    <w:p>
      <w:pPr>
        <w:spacing w:line="360" w:lineRule="auto"/>
        <w:ind w:firstLine="640" w:firstLineChars="200"/>
        <w:jc w:val="both"/>
        <w:rPr>
          <w:sz w:val="32"/>
          <w:szCs w:val="32"/>
        </w:rPr>
      </w:pPr>
    </w:p>
    <w:p>
      <w:pPr>
        <w:spacing w:line="360" w:lineRule="auto"/>
        <w:ind w:firstLine="640" w:firstLineChars="200"/>
        <w:jc w:val="right"/>
        <w:rPr>
          <w:sz w:val="32"/>
          <w:szCs w:val="32"/>
        </w:rPr>
      </w:pPr>
      <w:r>
        <w:rPr>
          <w:rFonts w:hint="eastAsia"/>
          <w:sz w:val="32"/>
          <w:szCs w:val="32"/>
        </w:rPr>
        <w:t>哈飞汽车股份有限公司管理人</w:t>
      </w:r>
    </w:p>
    <w:p>
      <w:pPr>
        <w:spacing w:line="360" w:lineRule="auto"/>
        <w:ind w:firstLine="640" w:firstLineChars="200"/>
        <w:jc w:val="right"/>
        <w:rPr>
          <w:sz w:val="32"/>
          <w:szCs w:val="32"/>
        </w:rPr>
      </w:pPr>
    </w:p>
    <w:p>
      <w:pPr>
        <w:wordWrap w:val="0"/>
        <w:spacing w:line="360" w:lineRule="auto"/>
        <w:ind w:firstLine="640" w:firstLineChars="200"/>
        <w:jc w:val="right"/>
      </w:pPr>
      <w:r>
        <w:rPr>
          <w:rFonts w:hint="eastAsia"/>
          <w:sz w:val="32"/>
          <w:szCs w:val="32"/>
        </w:rPr>
        <w:t xml:space="preserve">二〇二四年二月七日   </w:t>
      </w:r>
    </w:p>
    <w:bookmarkEnd w:id="0"/>
    <w:sectPr>
      <w:headerReference r:id="rId3" w:type="default"/>
      <w:footerReference r:id="rId4" w:type="default"/>
      <w:pgSz w:w="11900" w:h="16840"/>
      <w:pgMar w:top="1440" w:right="1800" w:bottom="1440" w:left="1800" w:header="720" w:footer="720" w:gutter="0"/>
      <w:cols w:space="720" w:num="1"/>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微软雅黑">
    <w:altName w:val="汉仪旗黑"/>
    <w:panose1 w:val="020B0503020204020204"/>
    <w:charset w:val="86"/>
    <w:family w:val="swiss"/>
    <w:pitch w:val="default"/>
    <w:sig w:usb0="00000000" w:usb1="00000000" w:usb2="00000016" w:usb3="00000000" w:csb0="0004001F" w:csb1="00000000"/>
  </w:font>
  <w:font w:name="DejaVu Sans">
    <w:altName w:val="苹方-简"/>
    <w:panose1 w:val="00000000000000000000"/>
    <w:charset w:val="00"/>
    <w:family w:val="roman"/>
    <w:pitch w:val="default"/>
    <w:sig w:usb0="00000000" w:usb1="00000000" w:usb2="00000008" w:usb3="00000000" w:csb0="000001FF"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苹方-简">
    <w:panose1 w:val="020B0400000000000000"/>
    <w:charset w:val="86"/>
    <w:family w:val="auto"/>
    <w:pitch w:val="default"/>
    <w:sig w:usb0="A00002FF" w:usb1="7ACFFDFB" w:usb2="00000017" w:usb3="00000000" w:csb0="00040001" w:csb1="00000000"/>
  </w:font>
  <w:font w:name="汉仪旗黑">
    <w:panose1 w:val="00020600040101010101"/>
    <w:charset w:val="86"/>
    <w:family w:val="auto"/>
    <w:pitch w:val="default"/>
    <w:sig w:usb0="A00002BF" w:usb1="1ACF7CFA" w:usb2="00000016" w:usb3="00000000" w:csb0="0004009F" w:csb1="DFD70000"/>
  </w:font>
  <w:font w:name="Helvetica Neue">
    <w:panose1 w:val="02000503000000020004"/>
    <w:charset w:val="00"/>
    <w:family w:val="auto"/>
    <w:pitch w:val="default"/>
    <w:sig w:usb0="E50002FF" w:usb1="500079DB" w:usb2="00000010" w:usb3="00000000" w:csb0="00000000" w:csb1="00000000"/>
  </w:font>
  <w:font w:name="宋体-简">
    <w:panose1 w:val="02010800040101010101"/>
    <w:charset w:val="86"/>
    <w:family w:val="auto"/>
    <w:pitch w:val="default"/>
    <w:sig w:usb0="00000001" w:usb1="080F0000" w:usb2="00000000" w:usb3="00000000" w:csb0="0004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rFonts w:hint="eastAsia"/>
      </w:rPr>
      <w:t>第</w:t>
    </w:r>
    <w:r>
      <w:fldChar w:fldCharType="begin"/>
    </w:r>
    <w:r>
      <w:instrText xml:space="preserve"> </w:instrText>
    </w:r>
    <w:r>
      <w:rPr>
        <w:rFonts w:hint="eastAsia"/>
      </w:rPr>
      <w:instrText xml:space="preserve">PAGE  \* MERGEFORMAT</w:instrText>
    </w:r>
    <w:r>
      <w:instrText xml:space="preserve"> </w:instrText>
    </w:r>
    <w:r>
      <w:fldChar w:fldCharType="separate"/>
    </w:r>
    <w:r>
      <w:t>1</w:t>
    </w:r>
    <w:r>
      <w:fldChar w:fldCharType="end"/>
    </w:r>
    <w:r>
      <w:rPr>
        <w:rFonts w:hint="eastAsia"/>
      </w:rPr>
      <w:t>页 共</w:t>
    </w:r>
    <w:r>
      <w:fldChar w:fldCharType="begin"/>
    </w:r>
    <w:r>
      <w:instrText xml:space="preserve"> NUMPAGES  \* MERGEFORMAT </w:instrText>
    </w:r>
    <w:r>
      <w:fldChar w:fldCharType="separate"/>
    </w:r>
    <w:r>
      <w:t>5</w:t>
    </w:r>
    <w:r>
      <w:fldChar w:fldCharType="end"/>
    </w:r>
    <w:r>
      <w:rPr>
        <w:rFonts w:hint="eastAsia"/>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5"/>
      <w:numFmt w:val="chineseCounting"/>
      <w:suff w:val="nothing"/>
      <w:lvlText w:val="（%1）"/>
      <w:lvlJc w:val="left"/>
      <w:rPr>
        <w:rFonts w:hint="eastAsia"/>
      </w:rPr>
    </w:lvl>
  </w:abstractNum>
  <w:abstractNum w:abstractNumId="1">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2">
    <w:nsid w:val="00000003"/>
    <w:multiLevelType w:val="singleLevel"/>
    <w:tmpl w:val="00000003"/>
    <w:lvl w:ilvl="0" w:tentative="0">
      <w:start w:val="1"/>
      <w:numFmt w:val="chineseCounting"/>
      <w:suff w:val="nothing"/>
      <w:lvlText w:val="%1、"/>
      <w:lvlJc w:val="left"/>
    </w:lvl>
  </w:abstractNum>
  <w:abstractNum w:abstractNumId="3">
    <w:nsid w:val="0053208E"/>
    <w:multiLevelType w:val="singleLevel"/>
    <w:tmpl w:val="0053208E"/>
    <w:lvl w:ilvl="0" w:tentative="0">
      <w:start w:val="1"/>
      <w:numFmt w:val="decimal"/>
      <w:suff w:val="nothing"/>
      <w:lvlText w:val="%1．"/>
      <w:lvlJc w:val="left"/>
      <w:pPr>
        <w:ind w:left="0" w:firstLine="400"/>
      </w:pPr>
      <w:rPr>
        <w:rFont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trackRevisions w:val="1"/>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llMmE4MWIzZjVhZjNhNjQxMTBiMGE4NTliMDVkZjUifQ=="/>
  </w:docVars>
  <w:rsids>
    <w:rsidRoot w:val="0026031E"/>
    <w:rsid w:val="0026031E"/>
    <w:rsid w:val="00592AEA"/>
    <w:rsid w:val="009D2003"/>
    <w:rsid w:val="331271A2"/>
    <w:rsid w:val="DDB3CE5F"/>
    <w:rsid w:val="FEFD7C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pPr>
    <w:rPr>
      <w:rFonts w:ascii="仿宋" w:hAnsi="仿宋" w:eastAsia="仿宋" w:cs="仿宋"/>
      <w:sz w:val="22"/>
      <w:szCs w:val="22"/>
      <w:lang w:val="en-US" w:eastAsia="zh-CN" w:bidi="ar-SA"/>
    </w:rPr>
  </w:style>
  <w:style w:type="paragraph" w:styleId="2">
    <w:name w:val="heading 1"/>
    <w:basedOn w:val="1"/>
    <w:next w:val="1"/>
    <w:qFormat/>
    <w:uiPriority w:val="9"/>
    <w:pPr>
      <w:spacing w:line="652" w:lineRule="exact"/>
      <w:ind w:left="2"/>
      <w:jc w:val="center"/>
      <w:outlineLvl w:val="0"/>
    </w:pPr>
    <w:rPr>
      <w:rFonts w:ascii="微软雅黑" w:hAnsi="微软雅黑" w:eastAsia="微软雅黑" w:cs="微软雅黑"/>
      <w:b/>
      <w:bCs/>
      <w:sz w:val="36"/>
      <w:szCs w:val="36"/>
    </w:rPr>
  </w:style>
  <w:style w:type="paragraph" w:styleId="3">
    <w:name w:val="heading 2"/>
    <w:basedOn w:val="1"/>
    <w:next w:val="1"/>
    <w:semiHidden/>
    <w:unhideWhenUsed/>
    <w:qFormat/>
    <w:uiPriority w:val="9"/>
    <w:pPr>
      <w:spacing w:before="24"/>
      <w:ind w:left="4232" w:right="1561" w:hanging="2622"/>
      <w:outlineLvl w:val="1"/>
    </w:pPr>
    <w:rPr>
      <w:rFonts w:ascii="微软雅黑" w:hAnsi="微软雅黑" w:eastAsia="微软雅黑" w:cs="微软雅黑"/>
      <w:b/>
      <w:bCs/>
      <w:sz w:val="32"/>
      <w:szCs w:val="32"/>
    </w:rPr>
  </w:style>
  <w:style w:type="paragraph" w:styleId="4">
    <w:name w:val="heading 3"/>
    <w:basedOn w:val="1"/>
    <w:next w:val="1"/>
    <w:semiHidden/>
    <w:unhideWhenUsed/>
    <w:qFormat/>
    <w:uiPriority w:val="9"/>
    <w:pPr>
      <w:ind w:left="1442"/>
      <w:outlineLvl w:val="2"/>
    </w:pPr>
    <w:rPr>
      <w:b/>
      <w:bCs/>
      <w:sz w:val="28"/>
      <w:szCs w:val="28"/>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qFormat/>
    <w:uiPriority w:val="0"/>
  </w:style>
  <w:style w:type="paragraph" w:styleId="6">
    <w:name w:val="Body Text"/>
    <w:basedOn w:val="1"/>
    <w:qFormat/>
    <w:uiPriority w:val="1"/>
    <w:rPr>
      <w:sz w:val="28"/>
      <w:szCs w:val="28"/>
    </w:rPr>
  </w:style>
  <w:style w:type="paragraph" w:styleId="7">
    <w:name w:val="footer"/>
    <w:basedOn w:val="1"/>
    <w:qFormat/>
    <w:uiPriority w:val="0"/>
    <w:pPr>
      <w:tabs>
        <w:tab w:val="center" w:pos="4153"/>
        <w:tab w:val="right" w:pos="8306"/>
      </w:tabs>
      <w:snapToGrid w:val="0"/>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rFonts w:ascii="DejaVu Sans" w:hAnsi="DejaVu Sans"/>
      <w:sz w:val="18"/>
    </w:rPr>
  </w:style>
  <w:style w:type="character" w:styleId="11">
    <w:name w:val="FollowedHyperlink"/>
    <w:basedOn w:val="10"/>
    <w:qFormat/>
    <w:uiPriority w:val="0"/>
    <w:rPr>
      <w:color w:val="800080"/>
      <w:u w:val="single"/>
    </w:rPr>
  </w:style>
  <w:style w:type="character" w:styleId="12">
    <w:name w:val="Hyperlink"/>
    <w:basedOn w:val="10"/>
    <w:qFormat/>
    <w:uiPriority w:val="0"/>
    <w:rPr>
      <w:color w:val="0000FF"/>
      <w:u w:val="single"/>
    </w:rPr>
  </w:style>
  <w:style w:type="table" w:customStyle="1" w:styleId="13">
    <w:name w:val="Table Normal"/>
    <w:qFormat/>
    <w:uiPriority w:val="2"/>
    <w:tblPr>
      <w:tblCellMar>
        <w:top w:w="0" w:type="dxa"/>
        <w:left w:w="0" w:type="dxa"/>
        <w:bottom w:w="0" w:type="dxa"/>
        <w:right w:w="0" w:type="dxa"/>
      </w:tblCellMar>
    </w:tblPr>
  </w:style>
  <w:style w:type="paragraph" w:customStyle="1" w:styleId="14">
    <w:name w:val="列表段落1"/>
    <w:basedOn w:val="1"/>
    <w:qFormat/>
    <w:uiPriority w:val="1"/>
    <w:pPr>
      <w:spacing w:before="1"/>
      <w:ind w:left="880" w:hanging="280"/>
    </w:pPr>
  </w:style>
  <w:style w:type="paragraph" w:customStyle="1" w:styleId="15">
    <w:name w:val="Table Paragraph"/>
    <w:basedOn w:val="1"/>
    <w:qFormat/>
    <w:uiPriority w:val="1"/>
  </w:style>
  <w:style w:type="paragraph" w:customStyle="1" w:styleId="16">
    <w:name w:val="_Style 1"/>
    <w:basedOn w:val="1"/>
    <w:qFormat/>
    <w:uiPriority w:val="99"/>
    <w:pPr>
      <w:ind w:firstLine="420" w:firstLineChars="200"/>
    </w:pPr>
  </w:style>
  <w:style w:type="character" w:customStyle="1" w:styleId="17">
    <w:name w:val="未处理的提及1"/>
    <w:basedOn w:val="10"/>
    <w:qFormat/>
    <w:uiPriority w:val="99"/>
    <w:rPr>
      <w:color w:val="605E5C"/>
      <w:shd w:val="clear" w:color="auto" w:fill="E1DFDD"/>
    </w:rPr>
  </w:style>
  <w:style w:type="paragraph" w:customStyle="1" w:styleId="18">
    <w:name w:val="Revision"/>
    <w:hidden/>
    <w:semiHidden/>
    <w:qFormat/>
    <w:uiPriority w:val="99"/>
    <w:rPr>
      <w:rFonts w:ascii="仿宋" w:hAnsi="仿宋" w:eastAsia="仿宋" w:cs="仿宋"/>
      <w:sz w:val="22"/>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625</Words>
  <Characters>3568</Characters>
  <Lines>29</Lines>
  <Paragraphs>8</Paragraphs>
  <TotalTime>7</TotalTime>
  <ScaleCrop>false</ScaleCrop>
  <LinksUpToDate>false</LinksUpToDate>
  <CharactersWithSpaces>4185</CharactersWithSpaces>
  <Application>WPS Office_6.5.2.8766_F1E327BC-269C-435d-A152-05C5408002CA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2023-07-22T13:29:00Z</dcterms:created>
  <dc:creator>Data</dc:creator>
  <cp:lastModifiedBy>姜丽雪</cp:lastModifiedBy>
  <dcterms:modified xsi:type="dcterms:W3CDTF">2024-03-12T15:01:52Z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1C5C2261CA304BEF99B7F72232E285CC_13</vt:lpwstr>
  </property>
</Properties>
</file>