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tabs>
          <w:tab w:val="left" w:pos="1661"/>
        </w:tabs>
        <w:spacing w:before="0" w:line="600" w:lineRule="exact"/>
        <w:ind w:left="0" w:firstLine="0"/>
        <w:jc w:val="both"/>
        <w:rPr>
          <w:sz w:val="32"/>
          <w:szCs w:val="32"/>
          <w:lang w:val="en-US"/>
        </w:rPr>
      </w:pPr>
      <w:r>
        <w:rPr>
          <w:rFonts w:hint="eastAsia"/>
          <w:sz w:val="32"/>
          <w:szCs w:val="32"/>
          <w:lang w:val="en-US"/>
        </w:rPr>
        <w:t>附件2：</w:t>
      </w:r>
    </w:p>
    <w:p>
      <w:pPr>
        <w:pStyle w:val="11"/>
        <w:tabs>
          <w:tab w:val="left" w:pos="1661"/>
        </w:tabs>
        <w:spacing w:before="0" w:line="600" w:lineRule="exact"/>
        <w:ind w:left="0" w:firstLine="0"/>
        <w:jc w:val="center"/>
        <w:rPr>
          <w:rFonts w:ascii="华文中宋" w:hAnsi="华文中宋" w:eastAsia="华文中宋" w:cs="华文中宋"/>
          <w:b/>
          <w:bCs/>
          <w:sz w:val="44"/>
          <w:szCs w:val="44"/>
          <w:lang w:val="en-US"/>
        </w:rPr>
      </w:pPr>
      <w:r>
        <w:rPr>
          <w:rFonts w:hint="eastAsia" w:ascii="华文中宋" w:hAnsi="华文中宋" w:eastAsia="华文中宋" w:cs="华文中宋"/>
          <w:b/>
          <w:bCs/>
          <w:sz w:val="44"/>
          <w:szCs w:val="44"/>
          <w:lang w:val="en-US"/>
        </w:rPr>
        <w:t>比选规则</w:t>
      </w:r>
    </w:p>
    <w:p>
      <w:pPr>
        <w:pStyle w:val="11"/>
        <w:tabs>
          <w:tab w:val="left" w:pos="1661"/>
        </w:tabs>
        <w:spacing w:before="0" w:line="600" w:lineRule="exact"/>
        <w:ind w:left="0" w:firstLine="0"/>
        <w:jc w:val="both"/>
        <w:rPr>
          <w:b/>
          <w:bCs/>
          <w:sz w:val="32"/>
          <w:szCs w:val="32"/>
          <w:lang w:val="en-US"/>
        </w:rPr>
      </w:pPr>
    </w:p>
    <w:p>
      <w:pPr>
        <w:pStyle w:val="5"/>
        <w:keepLines/>
        <w:widowControl/>
        <w:spacing w:before="156" w:beforeLines="50" w:after="156" w:afterLines="50" w:line="600" w:lineRule="exact"/>
        <w:ind w:left="0" w:firstLine="643" w:firstLineChars="200"/>
        <w:jc w:val="both"/>
        <w:rPr>
          <w:b/>
          <w:bCs/>
          <w:lang w:val="en-US"/>
        </w:rPr>
      </w:pPr>
      <w:r>
        <w:rPr>
          <w:rFonts w:hint="eastAsia"/>
          <w:b/>
          <w:bCs/>
          <w:lang w:val="en-US"/>
        </w:rPr>
        <w:t>一、总则</w:t>
      </w:r>
    </w:p>
    <w:p>
      <w:pPr>
        <w:pStyle w:val="11"/>
        <w:widowControl/>
        <w:tabs>
          <w:tab w:val="left" w:pos="1661"/>
        </w:tabs>
        <w:autoSpaceDN/>
        <w:spacing w:before="0" w:line="600" w:lineRule="exact"/>
        <w:ind w:left="0" w:firstLine="643" w:firstLineChars="200"/>
        <w:jc w:val="both"/>
        <w:rPr>
          <w:b/>
          <w:bCs/>
          <w:sz w:val="32"/>
          <w:szCs w:val="32"/>
          <w:lang w:val="en-US"/>
        </w:rPr>
      </w:pPr>
      <w:r>
        <w:rPr>
          <w:rFonts w:hint="eastAsia"/>
          <w:b/>
          <w:bCs/>
          <w:sz w:val="32"/>
          <w:szCs w:val="32"/>
          <w:lang w:val="en-US"/>
        </w:rPr>
        <w:t>1、说明</w:t>
      </w:r>
    </w:p>
    <w:p>
      <w:pPr>
        <w:pStyle w:val="11"/>
        <w:widowControl/>
        <w:tabs>
          <w:tab w:val="left" w:pos="1661"/>
        </w:tabs>
        <w:autoSpaceDN/>
        <w:spacing w:before="0" w:line="600" w:lineRule="exact"/>
        <w:ind w:left="0" w:firstLineChars="200"/>
        <w:jc w:val="both"/>
        <w:rPr>
          <w:sz w:val="32"/>
          <w:szCs w:val="32"/>
          <w:lang w:val="en-US"/>
        </w:rPr>
      </w:pPr>
      <w:r>
        <w:rPr>
          <w:rFonts w:hint="eastAsia"/>
          <w:sz w:val="32"/>
          <w:szCs w:val="32"/>
          <w:lang w:val="en-US"/>
        </w:rPr>
        <w:t>本项目的比选人为</w:t>
      </w:r>
      <w:r>
        <w:rPr>
          <w:rFonts w:hint="eastAsia"/>
          <w:sz w:val="32"/>
          <w:szCs w:val="32"/>
          <w:lang w:eastAsia="zh-CN"/>
        </w:rPr>
        <w:t>成都同捷汽车有限公司清算组</w:t>
      </w:r>
      <w:r>
        <w:rPr>
          <w:rFonts w:hint="eastAsia"/>
          <w:sz w:val="32"/>
          <w:szCs w:val="32"/>
          <w:lang w:val="en-US"/>
        </w:rPr>
        <w:t>，比选人组建的评选小组负责评选工作，必要时可邀请债务人、债权人代表、法院工作人员参与监督比选过程。</w:t>
      </w:r>
    </w:p>
    <w:p>
      <w:pPr>
        <w:pStyle w:val="11"/>
        <w:widowControl/>
        <w:tabs>
          <w:tab w:val="left" w:pos="1661"/>
        </w:tabs>
        <w:autoSpaceDN/>
        <w:spacing w:before="0" w:line="600" w:lineRule="exact"/>
        <w:ind w:left="0" w:firstLine="643" w:firstLineChars="200"/>
        <w:jc w:val="both"/>
        <w:rPr>
          <w:b/>
          <w:bCs/>
          <w:sz w:val="32"/>
          <w:szCs w:val="32"/>
          <w:lang w:val="en-US"/>
        </w:rPr>
      </w:pPr>
      <w:r>
        <w:rPr>
          <w:rFonts w:hint="eastAsia"/>
          <w:b/>
          <w:bCs/>
          <w:sz w:val="32"/>
          <w:szCs w:val="32"/>
          <w:lang w:val="en-US"/>
        </w:rPr>
        <w:t>2、服务范围及工作要求</w:t>
      </w:r>
    </w:p>
    <w:p>
      <w:pPr>
        <w:pStyle w:val="11"/>
        <w:widowControl/>
        <w:numPr>
          <w:ilvl w:val="-1"/>
          <w:numId w:val="0"/>
        </w:numPr>
        <w:tabs>
          <w:tab w:val="left" w:pos="1661"/>
        </w:tabs>
        <w:autoSpaceDN/>
        <w:spacing w:before="0" w:line="600" w:lineRule="exact"/>
        <w:ind w:left="0" w:leftChars="0" w:firstLine="640" w:firstLineChars="200"/>
        <w:jc w:val="both"/>
        <w:rPr>
          <w:rFonts w:hint="eastAsia"/>
          <w:sz w:val="32"/>
          <w:szCs w:val="32"/>
          <w:lang w:val="en-US" w:eastAsia="zh-CN"/>
        </w:rPr>
      </w:pPr>
      <w:r>
        <w:rPr>
          <w:rFonts w:hint="eastAsia"/>
          <w:sz w:val="32"/>
          <w:szCs w:val="32"/>
          <w:lang w:val="zh-CN" w:eastAsia="zh-CN" w:bidi="ar"/>
        </w:rPr>
        <w:t>（</w:t>
      </w:r>
      <w:r>
        <w:rPr>
          <w:rFonts w:hint="eastAsia"/>
          <w:sz w:val="32"/>
          <w:szCs w:val="32"/>
          <w:lang w:val="en-US" w:eastAsia="zh-CN" w:bidi="ar"/>
        </w:rPr>
        <w:t>1）</w:t>
      </w:r>
      <w:r>
        <w:rPr>
          <w:rFonts w:hint="eastAsia"/>
          <w:sz w:val="32"/>
          <w:szCs w:val="32"/>
          <w:lang w:val="zh-CN" w:eastAsia="zh-CN" w:bidi="ar"/>
        </w:rPr>
        <w:t>调查标的物现状，勘察勘验标的物，查明标的物现状及瑕疵情况，交易过户流程、条件、税费等情况，负责记录、资料收集、档案整理等事务性工作；</w:t>
      </w:r>
    </w:p>
    <w:p>
      <w:pPr>
        <w:pStyle w:val="11"/>
        <w:widowControl/>
        <w:numPr>
          <w:ilvl w:val="-1"/>
          <w:numId w:val="0"/>
        </w:numPr>
        <w:tabs>
          <w:tab w:val="left" w:pos="1661"/>
        </w:tabs>
        <w:autoSpaceDN/>
        <w:spacing w:before="0" w:line="600" w:lineRule="exact"/>
        <w:ind w:left="0" w:leftChars="0" w:firstLine="640" w:firstLineChars="200"/>
        <w:jc w:val="both"/>
        <w:rPr>
          <w:rFonts w:hint="eastAsia"/>
          <w:sz w:val="32"/>
          <w:szCs w:val="32"/>
          <w:lang w:val="en-US" w:eastAsia="zh-CN"/>
        </w:rPr>
      </w:pPr>
      <w:r>
        <w:rPr>
          <w:rFonts w:hint="eastAsia"/>
          <w:sz w:val="32"/>
          <w:szCs w:val="32"/>
          <w:lang w:val="en-US" w:eastAsia="zh-CN"/>
        </w:rPr>
        <w:t>（2）拍摄照片、视频、 VR 视频，制作标的物文字介绍、标的物展示及推介等工作；</w:t>
      </w:r>
    </w:p>
    <w:p>
      <w:pPr>
        <w:pStyle w:val="11"/>
        <w:widowControl/>
        <w:numPr>
          <w:ilvl w:val="-1"/>
          <w:numId w:val="0"/>
        </w:numPr>
        <w:tabs>
          <w:tab w:val="left" w:pos="1661"/>
        </w:tabs>
        <w:autoSpaceDN/>
        <w:spacing w:before="0" w:line="600" w:lineRule="exact"/>
        <w:ind w:left="0" w:leftChars="0" w:firstLine="640" w:firstLineChars="200"/>
        <w:jc w:val="both"/>
        <w:rPr>
          <w:rFonts w:hint="eastAsia"/>
          <w:sz w:val="32"/>
          <w:szCs w:val="32"/>
          <w:lang w:val="en-US" w:eastAsia="zh-CN"/>
        </w:rPr>
      </w:pPr>
      <w:r>
        <w:rPr>
          <w:rFonts w:hint="eastAsia"/>
          <w:sz w:val="32"/>
          <w:szCs w:val="32"/>
          <w:lang w:val="en-US" w:eastAsia="zh-CN"/>
        </w:rPr>
        <w:t>（3）制作强制清算拍卖公告、竞买须知等需上传破产资产拍卖平台的文件和资料，并对制作的文件、资料的真实、合法及有效性负责。如因相关文件、资料披露不充分、不完全或披露错误等产生的责任及纠纷，由辅拍机构承担由此产生的责任；</w:t>
      </w:r>
    </w:p>
    <w:p>
      <w:pPr>
        <w:pStyle w:val="11"/>
        <w:widowControl/>
        <w:numPr>
          <w:ilvl w:val="-1"/>
          <w:numId w:val="0"/>
        </w:numPr>
        <w:tabs>
          <w:tab w:val="left" w:pos="1661"/>
        </w:tabs>
        <w:autoSpaceDN/>
        <w:spacing w:before="0" w:line="600" w:lineRule="exact"/>
        <w:ind w:left="0" w:leftChars="0" w:firstLine="640" w:firstLineChars="200"/>
        <w:jc w:val="both"/>
        <w:rPr>
          <w:rFonts w:hint="eastAsia"/>
          <w:sz w:val="32"/>
          <w:szCs w:val="32"/>
          <w:lang w:val="en-US" w:eastAsia="zh-CN"/>
        </w:rPr>
      </w:pPr>
      <w:r>
        <w:rPr>
          <w:rFonts w:hint="eastAsia"/>
          <w:sz w:val="32"/>
          <w:szCs w:val="32"/>
          <w:lang w:val="en-US" w:eastAsia="zh-CN"/>
        </w:rPr>
        <w:t>（4）对需拍卖的资产进行公开宣传，通过网站、微信、微博等方式发布资产拍卖相关信息，或者通过其他方式扩大资产拍卖宣传范围；</w:t>
      </w:r>
    </w:p>
    <w:p>
      <w:pPr>
        <w:pStyle w:val="11"/>
        <w:widowControl/>
        <w:numPr>
          <w:ilvl w:val="-1"/>
          <w:numId w:val="0"/>
        </w:numPr>
        <w:tabs>
          <w:tab w:val="left" w:pos="1661"/>
        </w:tabs>
        <w:autoSpaceDN/>
        <w:spacing w:before="0" w:line="600" w:lineRule="exact"/>
        <w:ind w:left="0" w:leftChars="0" w:firstLine="640" w:firstLineChars="200"/>
        <w:jc w:val="both"/>
        <w:rPr>
          <w:rFonts w:hint="eastAsia"/>
          <w:sz w:val="32"/>
          <w:szCs w:val="32"/>
          <w:lang w:val="en-US" w:eastAsia="zh-CN"/>
        </w:rPr>
      </w:pPr>
      <w:r>
        <w:rPr>
          <w:rFonts w:hint="eastAsia"/>
          <w:sz w:val="32"/>
          <w:szCs w:val="32"/>
          <w:lang w:val="en-US" w:eastAsia="zh-CN"/>
        </w:rPr>
        <w:t>（5）根据资产特点向潜在竞买人推荐拍卖信息；</w:t>
      </w:r>
    </w:p>
    <w:p>
      <w:pPr>
        <w:pStyle w:val="11"/>
        <w:widowControl/>
        <w:numPr>
          <w:ilvl w:val="-1"/>
          <w:numId w:val="0"/>
        </w:numPr>
        <w:tabs>
          <w:tab w:val="left" w:pos="1661"/>
        </w:tabs>
        <w:autoSpaceDN/>
        <w:spacing w:before="0" w:line="600" w:lineRule="exact"/>
        <w:ind w:left="0" w:leftChars="0" w:firstLine="640" w:firstLineChars="200"/>
        <w:jc w:val="both"/>
        <w:rPr>
          <w:rFonts w:hint="eastAsia"/>
          <w:sz w:val="32"/>
          <w:szCs w:val="32"/>
          <w:lang w:val="en-US" w:eastAsia="zh-CN"/>
        </w:rPr>
      </w:pPr>
      <w:r>
        <w:rPr>
          <w:rFonts w:hint="eastAsia"/>
          <w:sz w:val="32"/>
          <w:szCs w:val="32"/>
          <w:lang w:val="en-US" w:eastAsia="zh-CN"/>
        </w:rPr>
        <w:t>（6）接受咨询(电话、现场等咨询),宣传网络司法拍卖有关法律、司法解释的规定，辅导竞买人参与竞拍，引领看样</w:t>
      </w:r>
      <w:r>
        <w:rPr>
          <w:rFonts w:hint="eastAsia"/>
          <w:sz w:val="32"/>
          <w:szCs w:val="32"/>
          <w:lang w:val="en-US"/>
        </w:rPr>
        <w:t>（看样地点涉及成都及</w:t>
      </w:r>
      <w:r>
        <w:rPr>
          <w:rFonts w:hint="eastAsia"/>
          <w:sz w:val="32"/>
          <w:szCs w:val="32"/>
          <w:lang w:val="en-US" w:eastAsia="zh-CN"/>
        </w:rPr>
        <w:t>包括上海、江苏、浙江、安徽、河北等在内的</w:t>
      </w:r>
      <w:r>
        <w:rPr>
          <w:rFonts w:hint="eastAsia"/>
          <w:sz w:val="32"/>
          <w:szCs w:val="32"/>
          <w:lang w:val="en-US"/>
        </w:rPr>
        <w:t>成都以外地区）</w:t>
      </w:r>
      <w:r>
        <w:rPr>
          <w:rFonts w:hint="eastAsia"/>
          <w:sz w:val="32"/>
          <w:szCs w:val="32"/>
          <w:lang w:val="en-US" w:eastAsia="zh-CN"/>
        </w:rPr>
        <w:t>等；</w:t>
      </w:r>
    </w:p>
    <w:p>
      <w:pPr>
        <w:pStyle w:val="11"/>
        <w:widowControl/>
        <w:numPr>
          <w:ilvl w:val="-1"/>
          <w:numId w:val="0"/>
        </w:numPr>
        <w:tabs>
          <w:tab w:val="left" w:pos="1661"/>
        </w:tabs>
        <w:autoSpaceDN/>
        <w:spacing w:before="0" w:line="600" w:lineRule="exact"/>
        <w:ind w:left="0" w:leftChars="0" w:firstLine="640" w:firstLineChars="200"/>
        <w:jc w:val="both"/>
        <w:rPr>
          <w:rFonts w:hint="eastAsia"/>
          <w:sz w:val="32"/>
          <w:szCs w:val="32"/>
          <w:lang w:val="en-US" w:eastAsia="zh-CN"/>
        </w:rPr>
      </w:pPr>
      <w:r>
        <w:rPr>
          <w:rFonts w:hint="eastAsia"/>
          <w:sz w:val="32"/>
          <w:szCs w:val="32"/>
          <w:lang w:val="en-US" w:eastAsia="zh-CN"/>
        </w:rPr>
        <w:t>（7）协助清算组、买受人办理清场、搬运、破锁等；</w:t>
      </w:r>
    </w:p>
    <w:p>
      <w:pPr>
        <w:pStyle w:val="11"/>
        <w:widowControl/>
        <w:numPr>
          <w:ilvl w:val="-1"/>
          <w:numId w:val="0"/>
        </w:numPr>
        <w:tabs>
          <w:tab w:val="left" w:pos="1661"/>
        </w:tabs>
        <w:autoSpaceDN/>
        <w:spacing w:before="0" w:line="600" w:lineRule="exact"/>
        <w:ind w:left="0" w:leftChars="0" w:firstLine="640" w:firstLineChars="200"/>
        <w:jc w:val="both"/>
        <w:rPr>
          <w:rFonts w:hint="eastAsia"/>
          <w:sz w:val="32"/>
          <w:szCs w:val="32"/>
          <w:lang w:val="en-US" w:eastAsia="zh-CN"/>
        </w:rPr>
      </w:pPr>
      <w:r>
        <w:rPr>
          <w:rFonts w:hint="eastAsia"/>
          <w:sz w:val="32"/>
          <w:szCs w:val="32"/>
          <w:lang w:val="en-US" w:eastAsia="zh-CN"/>
        </w:rPr>
        <w:t>（8）督促缴纳拍卖款，辅助办理过户、交付；</w:t>
      </w:r>
    </w:p>
    <w:p>
      <w:pPr>
        <w:pStyle w:val="11"/>
        <w:widowControl/>
        <w:numPr>
          <w:ilvl w:val="-1"/>
          <w:numId w:val="0"/>
        </w:numPr>
        <w:tabs>
          <w:tab w:val="left" w:pos="1661"/>
        </w:tabs>
        <w:autoSpaceDN/>
        <w:spacing w:before="0" w:line="600" w:lineRule="exact"/>
        <w:ind w:left="0" w:leftChars="0" w:firstLine="640" w:firstLineChars="200"/>
        <w:jc w:val="both"/>
        <w:rPr>
          <w:rFonts w:hint="eastAsia"/>
          <w:sz w:val="32"/>
          <w:szCs w:val="32"/>
          <w:lang w:val="en-US" w:eastAsia="zh-CN"/>
        </w:rPr>
      </w:pPr>
      <w:r>
        <w:rPr>
          <w:rFonts w:hint="eastAsia"/>
          <w:sz w:val="32"/>
          <w:szCs w:val="32"/>
          <w:lang w:val="en-US" w:eastAsia="zh-CN"/>
        </w:rPr>
        <w:t>（9）清算组委托的其他辅助拍卖工作，直至拟处置资产全部拍卖并完成交付、过户工作；</w:t>
      </w:r>
    </w:p>
    <w:p>
      <w:pPr>
        <w:pStyle w:val="11"/>
        <w:widowControl/>
        <w:numPr>
          <w:ilvl w:val="-1"/>
          <w:numId w:val="0"/>
        </w:numPr>
        <w:tabs>
          <w:tab w:val="left" w:pos="1661"/>
        </w:tabs>
        <w:autoSpaceDN/>
        <w:spacing w:before="0" w:line="600" w:lineRule="exact"/>
        <w:ind w:left="0" w:leftChars="0" w:firstLine="640" w:firstLineChars="200"/>
        <w:jc w:val="both"/>
        <w:rPr>
          <w:rFonts w:hint="eastAsia"/>
          <w:sz w:val="32"/>
          <w:szCs w:val="32"/>
          <w:lang w:val="en-US" w:eastAsia="zh-CN"/>
        </w:rPr>
      </w:pPr>
      <w:r>
        <w:rPr>
          <w:rFonts w:hint="eastAsia"/>
          <w:sz w:val="32"/>
          <w:szCs w:val="32"/>
          <w:lang w:val="en-US" w:eastAsia="zh-CN"/>
        </w:rPr>
        <w:t>（10）拍卖成交后，辅助拍卖机构向买受人收取服务费用，清算组不承担拍卖相关的任何费用。资产通过以物抵债或其他非现金方式处置的，辅助拍卖机构承诺不收取任何费用；</w:t>
      </w:r>
    </w:p>
    <w:p>
      <w:pPr>
        <w:pStyle w:val="11"/>
        <w:widowControl/>
        <w:numPr>
          <w:ilvl w:val="-1"/>
          <w:numId w:val="0"/>
        </w:numPr>
        <w:tabs>
          <w:tab w:val="left" w:pos="1661"/>
        </w:tabs>
        <w:autoSpaceDN/>
        <w:spacing w:before="0" w:line="600" w:lineRule="exact"/>
        <w:ind w:left="0" w:leftChars="0" w:firstLine="640" w:firstLineChars="200"/>
        <w:jc w:val="both"/>
      </w:pPr>
      <w:r>
        <w:rPr>
          <w:rFonts w:hint="eastAsia"/>
          <w:sz w:val="32"/>
          <w:szCs w:val="32"/>
          <w:lang w:val="en-US" w:eastAsia="zh-CN"/>
        </w:rPr>
        <w:t>（11）按照清算组财产变价方案及清算组要求开展其他拍卖辅助工作。</w:t>
      </w:r>
    </w:p>
    <w:p>
      <w:pPr>
        <w:pStyle w:val="11"/>
        <w:tabs>
          <w:tab w:val="left" w:pos="1661"/>
        </w:tabs>
        <w:spacing w:before="0" w:line="600" w:lineRule="exact"/>
        <w:ind w:left="0" w:firstLine="643" w:firstLineChars="200"/>
        <w:jc w:val="both"/>
        <w:rPr>
          <w:b/>
          <w:bCs/>
          <w:sz w:val="32"/>
          <w:szCs w:val="32"/>
          <w:lang w:val="en-US"/>
        </w:rPr>
      </w:pPr>
      <w:r>
        <w:rPr>
          <w:rFonts w:hint="eastAsia"/>
          <w:b/>
          <w:bCs/>
          <w:sz w:val="32"/>
          <w:szCs w:val="32"/>
          <w:lang w:val="en-US"/>
        </w:rPr>
        <w:t>3</w:t>
      </w:r>
      <w:r>
        <w:rPr>
          <w:rFonts w:hint="eastAsia"/>
          <w:b/>
          <w:bCs/>
          <w:sz w:val="32"/>
          <w:szCs w:val="32"/>
          <w:lang w:val="en-US" w:eastAsia="zh-CN"/>
        </w:rPr>
        <w:t>、</w:t>
      </w:r>
      <w:r>
        <w:rPr>
          <w:rFonts w:hint="eastAsia"/>
          <w:b/>
          <w:bCs/>
          <w:sz w:val="32"/>
          <w:szCs w:val="32"/>
          <w:lang w:val="en-US"/>
        </w:rPr>
        <w:t>申请人资格要求</w:t>
      </w:r>
    </w:p>
    <w:p>
      <w:pPr>
        <w:numPr>
          <w:ilvl w:val="-1"/>
          <w:numId w:val="0"/>
        </w:numPr>
        <w:ind w:left="0" w:leftChars="0" w:firstLine="640" w:firstLineChars="200"/>
        <w:rPr>
          <w:rFonts w:hint="eastAsia"/>
          <w:sz w:val="32"/>
          <w:szCs w:val="32"/>
          <w:lang w:bidi="ar"/>
        </w:rPr>
      </w:pPr>
      <w:r>
        <w:rPr>
          <w:rFonts w:hint="eastAsia"/>
          <w:sz w:val="32"/>
          <w:szCs w:val="32"/>
          <w:lang w:eastAsia="zh-CN" w:bidi="ar"/>
        </w:rPr>
        <w:t>（</w:t>
      </w:r>
      <w:r>
        <w:rPr>
          <w:rFonts w:hint="eastAsia"/>
          <w:sz w:val="32"/>
          <w:szCs w:val="32"/>
          <w:lang w:val="en-US" w:eastAsia="zh-CN" w:bidi="ar"/>
        </w:rPr>
        <w:t>1）</w:t>
      </w:r>
      <w:r>
        <w:rPr>
          <w:rFonts w:hint="eastAsia"/>
          <w:sz w:val="32"/>
          <w:szCs w:val="32"/>
          <w:lang w:bidi="ar"/>
        </w:rPr>
        <w:t>在中华人民共和国境内注册，具有独立法人资格；</w:t>
      </w:r>
    </w:p>
    <w:p>
      <w:pPr>
        <w:numPr>
          <w:ilvl w:val="-1"/>
          <w:numId w:val="0"/>
        </w:numPr>
        <w:ind w:left="0" w:leftChars="0" w:firstLine="640" w:firstLineChars="200"/>
        <w:rPr>
          <w:rFonts w:hint="eastAsia"/>
          <w:sz w:val="32"/>
          <w:szCs w:val="32"/>
          <w:lang w:bidi="ar"/>
        </w:rPr>
      </w:pPr>
      <w:r>
        <w:rPr>
          <w:rFonts w:hint="eastAsia"/>
          <w:sz w:val="32"/>
          <w:szCs w:val="32"/>
          <w:lang w:eastAsia="zh-CN" w:bidi="ar"/>
        </w:rPr>
        <w:t>（</w:t>
      </w:r>
      <w:r>
        <w:rPr>
          <w:rFonts w:hint="eastAsia"/>
          <w:sz w:val="32"/>
          <w:szCs w:val="32"/>
          <w:lang w:val="en-US" w:eastAsia="zh-CN" w:bidi="ar"/>
        </w:rPr>
        <w:t>2）</w:t>
      </w:r>
      <w:r>
        <w:rPr>
          <w:rFonts w:hint="eastAsia"/>
          <w:sz w:val="32"/>
          <w:szCs w:val="32"/>
          <w:lang w:bidi="ar"/>
        </w:rPr>
        <w:t>在2020年1月1日之前在四川省依法登记设立，取得有拍卖经营批准证书的具有独立法人资格的机构，具备相关执业资格证书；</w:t>
      </w:r>
    </w:p>
    <w:p>
      <w:pPr>
        <w:numPr>
          <w:ilvl w:val="-1"/>
          <w:numId w:val="0"/>
        </w:numPr>
        <w:ind w:left="0" w:leftChars="0" w:firstLine="640" w:firstLineChars="200"/>
        <w:rPr>
          <w:rFonts w:hint="eastAsia"/>
          <w:sz w:val="32"/>
          <w:szCs w:val="32"/>
          <w:lang w:bidi="ar"/>
        </w:rPr>
      </w:pPr>
      <w:r>
        <w:rPr>
          <w:rFonts w:hint="eastAsia"/>
          <w:sz w:val="32"/>
          <w:szCs w:val="32"/>
          <w:lang w:eastAsia="zh-CN" w:bidi="ar"/>
        </w:rPr>
        <w:t>（</w:t>
      </w:r>
      <w:r>
        <w:rPr>
          <w:rFonts w:hint="eastAsia"/>
          <w:sz w:val="32"/>
          <w:szCs w:val="32"/>
          <w:lang w:val="en-US" w:eastAsia="zh-CN" w:bidi="ar"/>
        </w:rPr>
        <w:t>3）</w:t>
      </w:r>
      <w:r>
        <w:rPr>
          <w:rFonts w:hint="eastAsia"/>
          <w:sz w:val="32"/>
          <w:szCs w:val="32"/>
          <w:lang w:bidi="ar"/>
        </w:rPr>
        <w:t>在2020年1月1日以来未受到相关行政主管部门行政处罚或市场禁入，且机构工作人员在辅助拍卖过程中未受到行业自律惩戒、行业主管部门给予的不良记录或行政处罚，未被司法机关判处承担与其执行辅助拍卖业务相关的法律责任；</w:t>
      </w:r>
    </w:p>
    <w:p>
      <w:pPr>
        <w:numPr>
          <w:ilvl w:val="-1"/>
          <w:numId w:val="0"/>
        </w:numPr>
        <w:ind w:left="0" w:leftChars="0" w:firstLine="640" w:firstLineChars="200"/>
        <w:rPr>
          <w:rFonts w:hint="eastAsia"/>
          <w:sz w:val="32"/>
          <w:szCs w:val="32"/>
          <w:lang w:bidi="ar"/>
        </w:rPr>
      </w:pPr>
      <w:r>
        <w:rPr>
          <w:rFonts w:hint="eastAsia"/>
          <w:sz w:val="32"/>
          <w:szCs w:val="32"/>
          <w:lang w:eastAsia="zh-CN" w:bidi="ar"/>
        </w:rPr>
        <w:t>（</w:t>
      </w:r>
      <w:r>
        <w:rPr>
          <w:rFonts w:hint="eastAsia"/>
          <w:sz w:val="32"/>
          <w:szCs w:val="32"/>
          <w:lang w:val="en-US" w:eastAsia="zh-CN" w:bidi="ar"/>
        </w:rPr>
        <w:t>4）</w:t>
      </w:r>
      <w:r>
        <w:rPr>
          <w:rFonts w:hint="eastAsia"/>
          <w:sz w:val="32"/>
          <w:szCs w:val="32"/>
          <w:lang w:bidi="ar"/>
        </w:rPr>
        <w:t>机构是入驻阿里或京东破产平台的破产资产处置服务商；</w:t>
      </w:r>
    </w:p>
    <w:p>
      <w:pPr>
        <w:numPr>
          <w:ilvl w:val="-1"/>
          <w:numId w:val="0"/>
        </w:numPr>
        <w:ind w:left="0" w:leftChars="0" w:firstLine="640" w:firstLineChars="200"/>
        <w:rPr>
          <w:rFonts w:hint="eastAsia"/>
          <w:sz w:val="32"/>
          <w:szCs w:val="32"/>
          <w:lang w:bidi="ar"/>
        </w:rPr>
      </w:pPr>
      <w:r>
        <w:rPr>
          <w:rFonts w:hint="eastAsia"/>
          <w:sz w:val="32"/>
          <w:szCs w:val="32"/>
          <w:lang w:eastAsia="zh-CN" w:bidi="ar"/>
        </w:rPr>
        <w:t>（</w:t>
      </w:r>
      <w:r>
        <w:rPr>
          <w:rFonts w:hint="eastAsia"/>
          <w:sz w:val="32"/>
          <w:szCs w:val="32"/>
          <w:lang w:val="en-US" w:eastAsia="zh-CN" w:bidi="ar"/>
        </w:rPr>
        <w:t>5）</w:t>
      </w:r>
      <w:r>
        <w:rPr>
          <w:rFonts w:hint="eastAsia"/>
          <w:sz w:val="32"/>
          <w:szCs w:val="32"/>
          <w:lang w:bidi="ar"/>
        </w:rPr>
        <w:t>机构须入选四川省高级人民法院网络司法拍卖辅助工作机构名单库或四川省内各中级人民法院辅拍类中介机构名单库；</w:t>
      </w:r>
    </w:p>
    <w:p>
      <w:pPr>
        <w:numPr>
          <w:ilvl w:val="-1"/>
          <w:numId w:val="0"/>
        </w:numPr>
        <w:ind w:left="0" w:leftChars="0" w:firstLine="640" w:firstLineChars="200"/>
        <w:rPr>
          <w:rFonts w:hint="eastAsia"/>
          <w:sz w:val="32"/>
          <w:szCs w:val="32"/>
          <w:lang w:bidi="ar"/>
        </w:rPr>
      </w:pPr>
      <w:r>
        <w:rPr>
          <w:rFonts w:hint="eastAsia"/>
          <w:sz w:val="32"/>
          <w:szCs w:val="32"/>
          <w:lang w:eastAsia="zh-CN" w:bidi="ar"/>
        </w:rPr>
        <w:t>（</w:t>
      </w:r>
      <w:r>
        <w:rPr>
          <w:rFonts w:hint="eastAsia"/>
          <w:sz w:val="32"/>
          <w:szCs w:val="32"/>
          <w:lang w:val="en-US" w:eastAsia="zh-CN" w:bidi="ar"/>
        </w:rPr>
        <w:t>6）</w:t>
      </w:r>
      <w:r>
        <w:rPr>
          <w:rFonts w:hint="eastAsia"/>
          <w:sz w:val="32"/>
          <w:szCs w:val="32"/>
          <w:lang w:bidi="ar"/>
        </w:rPr>
        <w:t>三年内，没有违法违规行未或行政处罚记录，且与债务人不存在利害关系；</w:t>
      </w:r>
    </w:p>
    <w:p>
      <w:pPr>
        <w:numPr>
          <w:ilvl w:val="-1"/>
          <w:numId w:val="0"/>
        </w:numPr>
        <w:ind w:left="0" w:leftChars="0" w:firstLine="640" w:firstLineChars="200"/>
        <w:rPr>
          <w:rFonts w:hint="eastAsia"/>
          <w:sz w:val="32"/>
          <w:szCs w:val="32"/>
          <w:lang w:bidi="ar"/>
        </w:rPr>
      </w:pPr>
      <w:r>
        <w:rPr>
          <w:rFonts w:hint="eastAsia"/>
          <w:sz w:val="32"/>
          <w:szCs w:val="32"/>
          <w:lang w:eastAsia="zh-CN" w:bidi="ar"/>
        </w:rPr>
        <w:t>（</w:t>
      </w:r>
      <w:r>
        <w:rPr>
          <w:rFonts w:hint="eastAsia"/>
          <w:sz w:val="32"/>
          <w:szCs w:val="32"/>
          <w:lang w:val="en-US" w:eastAsia="zh-CN" w:bidi="ar"/>
        </w:rPr>
        <w:t>7）</w:t>
      </w:r>
      <w:r>
        <w:rPr>
          <w:rFonts w:hint="eastAsia"/>
          <w:sz w:val="32"/>
          <w:szCs w:val="32"/>
          <w:lang w:bidi="ar"/>
        </w:rPr>
        <w:t>有</w:t>
      </w:r>
      <w:r>
        <w:rPr>
          <w:rFonts w:hint="eastAsia"/>
          <w:sz w:val="32"/>
          <w:szCs w:val="32"/>
          <w:lang w:val="en-US" w:eastAsia="zh-CN" w:bidi="ar"/>
        </w:rPr>
        <w:t>强制清算案件</w:t>
      </w:r>
      <w:r>
        <w:rPr>
          <w:rFonts w:hint="eastAsia"/>
          <w:sz w:val="32"/>
          <w:szCs w:val="32"/>
          <w:lang w:bidi="ar"/>
        </w:rPr>
        <w:t>拍卖辅助工作经验优先，提供已完成的相同或类似案例者优先；</w:t>
      </w:r>
    </w:p>
    <w:p>
      <w:pPr>
        <w:numPr>
          <w:ilvl w:val="-1"/>
          <w:numId w:val="0"/>
        </w:numPr>
        <w:ind w:left="0" w:leftChars="0" w:firstLine="640" w:firstLineChars="200"/>
        <w:rPr>
          <w:rFonts w:hint="eastAsia"/>
          <w:sz w:val="32"/>
          <w:szCs w:val="32"/>
          <w:lang w:bidi="ar"/>
        </w:rPr>
      </w:pPr>
      <w:r>
        <w:rPr>
          <w:rFonts w:hint="eastAsia"/>
          <w:sz w:val="32"/>
          <w:szCs w:val="32"/>
          <w:lang w:eastAsia="zh-CN" w:bidi="ar"/>
        </w:rPr>
        <w:t>（</w:t>
      </w:r>
      <w:r>
        <w:rPr>
          <w:rFonts w:hint="eastAsia"/>
          <w:sz w:val="32"/>
          <w:szCs w:val="32"/>
          <w:lang w:val="en-US" w:eastAsia="zh-CN" w:bidi="ar"/>
        </w:rPr>
        <w:t>8）</w:t>
      </w:r>
      <w:r>
        <w:rPr>
          <w:rFonts w:hint="eastAsia"/>
          <w:sz w:val="32"/>
          <w:szCs w:val="32"/>
          <w:lang w:bidi="ar"/>
        </w:rPr>
        <w:t>具有与开展业务相适应的法律、估价、摄影、视频剪辑、VR 拍摄及制作等方面的专业人才和固定工作人员；</w:t>
      </w:r>
    </w:p>
    <w:p>
      <w:pPr>
        <w:numPr>
          <w:ilvl w:val="-1"/>
          <w:numId w:val="0"/>
        </w:numPr>
        <w:ind w:left="0" w:leftChars="0" w:firstLine="640" w:firstLineChars="200"/>
        <w:rPr>
          <w:rFonts w:hint="eastAsia"/>
          <w:sz w:val="32"/>
          <w:szCs w:val="32"/>
          <w:lang w:bidi="ar"/>
        </w:rPr>
      </w:pPr>
      <w:r>
        <w:rPr>
          <w:rFonts w:hint="eastAsia"/>
          <w:sz w:val="32"/>
          <w:szCs w:val="32"/>
          <w:lang w:eastAsia="zh-CN" w:bidi="ar"/>
        </w:rPr>
        <w:t>（</w:t>
      </w:r>
      <w:r>
        <w:rPr>
          <w:rFonts w:hint="eastAsia"/>
          <w:sz w:val="32"/>
          <w:szCs w:val="32"/>
          <w:lang w:val="en-US" w:eastAsia="zh-CN" w:bidi="ar"/>
        </w:rPr>
        <w:t>9）</w:t>
      </w:r>
      <w:r>
        <w:rPr>
          <w:rFonts w:hint="eastAsia"/>
          <w:sz w:val="32"/>
          <w:szCs w:val="32"/>
          <w:lang w:bidi="ar"/>
        </w:rPr>
        <w:t>独立参选，本次比选不接受联合体参选。</w:t>
      </w:r>
    </w:p>
    <w:p>
      <w:pPr>
        <w:pStyle w:val="11"/>
        <w:tabs>
          <w:tab w:val="left" w:pos="1661"/>
        </w:tabs>
        <w:spacing w:before="0" w:line="600" w:lineRule="exact"/>
        <w:ind w:left="0" w:firstLine="643" w:firstLineChars="200"/>
        <w:jc w:val="both"/>
        <w:rPr>
          <w:b/>
          <w:bCs/>
          <w:sz w:val="32"/>
          <w:szCs w:val="32"/>
          <w:lang w:val="en-US"/>
        </w:rPr>
      </w:pPr>
      <w:r>
        <w:rPr>
          <w:rFonts w:hint="eastAsia"/>
          <w:b/>
          <w:bCs/>
          <w:sz w:val="32"/>
          <w:szCs w:val="32"/>
          <w:lang w:val="en-US"/>
        </w:rPr>
        <w:t>4、比选费用</w:t>
      </w:r>
    </w:p>
    <w:p>
      <w:pPr>
        <w:pStyle w:val="11"/>
        <w:tabs>
          <w:tab w:val="left" w:pos="1661"/>
        </w:tabs>
        <w:spacing w:before="0" w:line="600" w:lineRule="exact"/>
        <w:ind w:left="0" w:firstLineChars="200"/>
        <w:jc w:val="both"/>
        <w:rPr>
          <w:sz w:val="32"/>
          <w:szCs w:val="32"/>
          <w:lang w:val="en-US"/>
        </w:rPr>
      </w:pPr>
      <w:r>
        <w:rPr>
          <w:rFonts w:hint="eastAsia"/>
          <w:sz w:val="32"/>
          <w:szCs w:val="32"/>
          <w:lang w:val="en-US"/>
        </w:rPr>
        <w:t>本次比选，比选人不收取任何费用。但参选人应自行承担其编制比选申请文件及递交比选申请文件所涉及的一切费用。无论比选结果如何，比选人对上述费用不负任何责任。</w:t>
      </w:r>
    </w:p>
    <w:p>
      <w:pPr>
        <w:pStyle w:val="11"/>
        <w:tabs>
          <w:tab w:val="left" w:pos="1661"/>
        </w:tabs>
        <w:spacing w:before="0" w:line="600" w:lineRule="exact"/>
        <w:ind w:left="0" w:firstLine="643" w:firstLineChars="200"/>
        <w:jc w:val="both"/>
        <w:rPr>
          <w:b/>
          <w:bCs/>
          <w:sz w:val="32"/>
          <w:szCs w:val="32"/>
          <w:lang w:val="en-US"/>
        </w:rPr>
      </w:pPr>
      <w:r>
        <w:rPr>
          <w:rFonts w:hint="eastAsia"/>
          <w:b/>
          <w:bCs/>
          <w:sz w:val="32"/>
          <w:szCs w:val="32"/>
          <w:lang w:val="en-US"/>
        </w:rPr>
        <w:t>5、备选机构接替条件</w:t>
      </w:r>
    </w:p>
    <w:p>
      <w:pPr>
        <w:pStyle w:val="11"/>
        <w:tabs>
          <w:tab w:val="left" w:pos="1661"/>
        </w:tabs>
        <w:spacing w:before="0" w:line="600" w:lineRule="exact"/>
        <w:ind w:left="0" w:firstLineChars="200"/>
        <w:jc w:val="both"/>
        <w:rPr>
          <w:rFonts w:hint="eastAsia" w:eastAsia="仿宋"/>
          <w:sz w:val="32"/>
          <w:szCs w:val="32"/>
          <w:lang w:val="en-US" w:eastAsia="zh-CN"/>
        </w:rPr>
      </w:pPr>
      <w:r>
        <w:rPr>
          <w:rFonts w:hint="eastAsia"/>
          <w:sz w:val="32"/>
          <w:szCs w:val="32"/>
          <w:lang w:val="en-US"/>
        </w:rPr>
        <w:t>（1）中选机构在比选截止日期后，在比选有效期内撤回比选或中选机构在收到中选通知书后，由于自身原因未能 在约定的时间内与比选人进行合同谈判，其中选资格将被取消，并由备选机构接替</w:t>
      </w:r>
      <w:r>
        <w:rPr>
          <w:rFonts w:hint="eastAsia"/>
          <w:sz w:val="32"/>
          <w:szCs w:val="32"/>
          <w:lang w:val="en-US" w:eastAsia="zh-CN"/>
        </w:rPr>
        <w:t>；</w:t>
      </w:r>
    </w:p>
    <w:p>
      <w:pPr>
        <w:pStyle w:val="11"/>
        <w:tabs>
          <w:tab w:val="left" w:pos="1661"/>
        </w:tabs>
        <w:spacing w:before="0" w:line="600" w:lineRule="exact"/>
        <w:ind w:left="0" w:firstLineChars="200"/>
        <w:jc w:val="both"/>
        <w:rPr>
          <w:sz w:val="32"/>
          <w:szCs w:val="32"/>
          <w:lang w:val="en-US"/>
        </w:rPr>
      </w:pPr>
      <w:r>
        <w:rPr>
          <w:rFonts w:hint="eastAsia"/>
          <w:sz w:val="32"/>
          <w:szCs w:val="32"/>
          <w:lang w:val="en-US"/>
        </w:rPr>
        <w:t>（2）中选机构如存在不当行为（包括但不限于逾期完成工作任务、拒不整改、虽整改后仍不符合要求、违反保密义务、违反职业准则等），法院、</w:t>
      </w:r>
      <w:r>
        <w:rPr>
          <w:rFonts w:hint="eastAsia"/>
          <w:sz w:val="32"/>
          <w:szCs w:val="32"/>
          <w:lang w:val="en-US" w:eastAsia="zh-CN"/>
        </w:rPr>
        <w:t>清算组</w:t>
      </w:r>
      <w:r>
        <w:rPr>
          <w:rFonts w:hint="eastAsia"/>
          <w:sz w:val="32"/>
          <w:szCs w:val="32"/>
          <w:lang w:val="en-US"/>
        </w:rPr>
        <w:t>有权终止与其的服务合同，并由备选机构接替。</w:t>
      </w:r>
    </w:p>
    <w:p>
      <w:pPr>
        <w:pStyle w:val="5"/>
        <w:keepLines/>
        <w:widowControl/>
        <w:spacing w:before="156" w:beforeLines="50" w:after="156" w:afterLines="50" w:line="600" w:lineRule="exact"/>
        <w:ind w:left="0" w:firstLine="643" w:firstLineChars="200"/>
        <w:jc w:val="both"/>
        <w:rPr>
          <w:b/>
          <w:bCs/>
          <w:lang w:val="en-US"/>
        </w:rPr>
      </w:pPr>
      <w:r>
        <w:rPr>
          <w:rFonts w:hint="eastAsia"/>
          <w:b/>
          <w:bCs/>
          <w:lang w:val="en-US"/>
        </w:rPr>
        <w:t>二、比选文件</w:t>
      </w:r>
    </w:p>
    <w:p>
      <w:pPr>
        <w:pStyle w:val="11"/>
        <w:tabs>
          <w:tab w:val="left" w:pos="1661"/>
        </w:tabs>
        <w:spacing w:before="0" w:line="600" w:lineRule="exact"/>
        <w:ind w:left="0" w:firstLine="643" w:firstLineChars="200"/>
        <w:jc w:val="both"/>
        <w:rPr>
          <w:b/>
          <w:bCs/>
          <w:sz w:val="32"/>
          <w:szCs w:val="32"/>
          <w:lang w:val="en-US"/>
        </w:rPr>
      </w:pPr>
      <w:r>
        <w:rPr>
          <w:rFonts w:hint="eastAsia"/>
          <w:b/>
          <w:bCs/>
          <w:sz w:val="32"/>
          <w:szCs w:val="32"/>
          <w:lang w:val="en-US"/>
        </w:rPr>
        <w:t>1、比选文件的组成</w:t>
      </w:r>
    </w:p>
    <w:p>
      <w:pPr>
        <w:pStyle w:val="11"/>
        <w:tabs>
          <w:tab w:val="left" w:pos="1661"/>
        </w:tabs>
        <w:spacing w:before="0" w:line="600" w:lineRule="exact"/>
        <w:ind w:left="0" w:firstLineChars="200"/>
        <w:jc w:val="both"/>
        <w:rPr>
          <w:rFonts w:hint="eastAsia" w:eastAsia="仿宋"/>
          <w:sz w:val="32"/>
          <w:szCs w:val="32"/>
          <w:lang w:val="en-US" w:eastAsia="zh-CN"/>
        </w:rPr>
      </w:pPr>
      <w:r>
        <w:rPr>
          <w:rFonts w:hint="eastAsia"/>
          <w:sz w:val="32"/>
          <w:szCs w:val="32"/>
          <w:lang w:val="en-US"/>
        </w:rPr>
        <w:t>（1）比选文件包括：比选公告、比选须知、比选规则、 比选申请文件格式</w:t>
      </w:r>
      <w:r>
        <w:rPr>
          <w:rFonts w:hint="eastAsia"/>
          <w:sz w:val="32"/>
          <w:szCs w:val="32"/>
          <w:lang w:val="en-US" w:eastAsia="zh-CN"/>
        </w:rPr>
        <w:t>；</w:t>
      </w:r>
    </w:p>
    <w:p>
      <w:pPr>
        <w:pStyle w:val="11"/>
        <w:tabs>
          <w:tab w:val="left" w:pos="1661"/>
        </w:tabs>
        <w:spacing w:before="0" w:line="600" w:lineRule="exact"/>
        <w:ind w:left="0" w:firstLineChars="200"/>
        <w:jc w:val="both"/>
        <w:rPr>
          <w:rFonts w:hint="eastAsia" w:eastAsia="仿宋"/>
          <w:sz w:val="32"/>
          <w:szCs w:val="32"/>
          <w:lang w:val="en-US" w:eastAsia="zh-CN"/>
        </w:rPr>
      </w:pPr>
      <w:r>
        <w:rPr>
          <w:rFonts w:hint="eastAsia"/>
          <w:sz w:val="32"/>
          <w:szCs w:val="32"/>
          <w:lang w:val="en-US"/>
        </w:rPr>
        <w:t>（2）除（1）条列明的内容外，参选人在提交比选申请文件前，比选人以书面形式发出的对比选文件的澄清或修改内容，均视为比选文件的组成部分</w:t>
      </w:r>
      <w:r>
        <w:rPr>
          <w:rFonts w:hint="eastAsia"/>
          <w:sz w:val="32"/>
          <w:szCs w:val="32"/>
          <w:lang w:val="en-US" w:eastAsia="zh-CN"/>
        </w:rPr>
        <w:t>；</w:t>
      </w:r>
    </w:p>
    <w:p>
      <w:pPr>
        <w:pStyle w:val="11"/>
        <w:tabs>
          <w:tab w:val="left" w:pos="1661"/>
        </w:tabs>
        <w:spacing w:before="0" w:line="600" w:lineRule="exact"/>
        <w:ind w:left="0" w:firstLineChars="200"/>
        <w:jc w:val="both"/>
        <w:rPr>
          <w:rFonts w:hint="eastAsia" w:eastAsia="仿宋"/>
          <w:sz w:val="32"/>
          <w:szCs w:val="32"/>
          <w:highlight w:val="yellow"/>
          <w:lang w:val="en-US" w:eastAsia="zh-CN"/>
        </w:rPr>
      </w:pPr>
      <w:r>
        <w:rPr>
          <w:rFonts w:hint="eastAsia"/>
          <w:sz w:val="32"/>
          <w:szCs w:val="32"/>
          <w:lang w:val="en-US"/>
        </w:rPr>
        <w:t>（3）参选人收到比选文件时，应检查页数。参选人发现任何页数的遗缺、任何数字或词汇模糊不清、任何词义含混或意义不清，应通知比选人补全或澄清。参选人应认真审阅比选文件中所有的比选须知及比选规则，如果参选人编制的比选申请文件不符合规定的要求，其比选申请文件将被视为不合格的比选申请文件</w:t>
      </w:r>
      <w:r>
        <w:rPr>
          <w:rFonts w:hint="eastAsia"/>
          <w:sz w:val="32"/>
          <w:szCs w:val="32"/>
          <w:lang w:val="en-US" w:eastAsia="zh-CN"/>
        </w:rPr>
        <w:t>；</w:t>
      </w:r>
    </w:p>
    <w:p>
      <w:pPr>
        <w:pStyle w:val="11"/>
        <w:tabs>
          <w:tab w:val="left" w:pos="1661"/>
        </w:tabs>
        <w:spacing w:before="0" w:line="600" w:lineRule="exact"/>
        <w:ind w:left="0" w:firstLineChars="200"/>
        <w:jc w:val="both"/>
        <w:rPr>
          <w:sz w:val="32"/>
          <w:szCs w:val="32"/>
          <w:lang w:val="en-US"/>
        </w:rPr>
      </w:pPr>
      <w:r>
        <w:rPr>
          <w:rFonts w:hint="eastAsia"/>
          <w:sz w:val="32"/>
          <w:szCs w:val="32"/>
          <w:lang w:val="en-US"/>
        </w:rPr>
        <w:t>（4）比选文件及补充资料前后有矛盾的，以时间在后的为准。</w:t>
      </w:r>
    </w:p>
    <w:p>
      <w:pPr>
        <w:pStyle w:val="11"/>
        <w:tabs>
          <w:tab w:val="left" w:pos="1661"/>
        </w:tabs>
        <w:spacing w:before="0" w:line="600" w:lineRule="exact"/>
        <w:ind w:left="0" w:firstLine="643" w:firstLineChars="200"/>
        <w:jc w:val="both"/>
        <w:rPr>
          <w:b/>
          <w:bCs/>
          <w:sz w:val="32"/>
          <w:szCs w:val="32"/>
          <w:lang w:val="en-US"/>
        </w:rPr>
      </w:pPr>
      <w:r>
        <w:rPr>
          <w:rFonts w:hint="eastAsia"/>
          <w:b/>
          <w:bCs/>
          <w:sz w:val="32"/>
          <w:szCs w:val="32"/>
          <w:lang w:val="en-US"/>
        </w:rPr>
        <w:t>2、比选文件的澄清</w:t>
      </w:r>
    </w:p>
    <w:p>
      <w:pPr>
        <w:pStyle w:val="11"/>
        <w:tabs>
          <w:tab w:val="left" w:pos="1661"/>
        </w:tabs>
        <w:spacing w:before="0" w:line="600" w:lineRule="exact"/>
        <w:ind w:left="0" w:firstLineChars="200"/>
        <w:jc w:val="both"/>
        <w:rPr>
          <w:rFonts w:hint="eastAsia" w:eastAsia="仿宋"/>
          <w:sz w:val="32"/>
          <w:szCs w:val="32"/>
          <w:lang w:val="en-US" w:eastAsia="zh-CN"/>
        </w:rPr>
      </w:pPr>
      <w:r>
        <w:rPr>
          <w:rFonts w:hint="eastAsia"/>
          <w:sz w:val="32"/>
          <w:szCs w:val="32"/>
          <w:lang w:val="en-US"/>
        </w:rPr>
        <w:t>（1）任何要求对比选文件提出澄清的参选人，应以书面或传真形式（须加盖公章）提出</w:t>
      </w:r>
      <w:r>
        <w:rPr>
          <w:rFonts w:hint="eastAsia"/>
          <w:sz w:val="32"/>
          <w:szCs w:val="32"/>
          <w:lang w:val="en-US" w:eastAsia="zh-CN"/>
        </w:rPr>
        <w:t>；</w:t>
      </w:r>
    </w:p>
    <w:p>
      <w:pPr>
        <w:pStyle w:val="11"/>
        <w:tabs>
          <w:tab w:val="left" w:pos="1661"/>
        </w:tabs>
        <w:spacing w:before="0" w:line="600" w:lineRule="exact"/>
        <w:ind w:left="0" w:firstLineChars="200"/>
        <w:jc w:val="both"/>
        <w:rPr>
          <w:sz w:val="32"/>
          <w:szCs w:val="32"/>
          <w:lang w:val="en-US"/>
        </w:rPr>
      </w:pPr>
      <w:r>
        <w:rPr>
          <w:rFonts w:hint="eastAsia"/>
          <w:sz w:val="32"/>
          <w:szCs w:val="32"/>
          <w:lang w:val="en-US"/>
        </w:rPr>
        <w:t>（2）本比选文件由比选人负责解释。</w:t>
      </w:r>
    </w:p>
    <w:p>
      <w:pPr>
        <w:pStyle w:val="5"/>
        <w:keepLines/>
        <w:widowControl/>
        <w:spacing w:before="156" w:beforeLines="50" w:after="156" w:afterLines="50" w:line="600" w:lineRule="exact"/>
        <w:ind w:left="0" w:firstLine="643" w:firstLineChars="200"/>
        <w:jc w:val="both"/>
        <w:rPr>
          <w:b/>
          <w:bCs/>
          <w:lang w:val="en-US"/>
        </w:rPr>
      </w:pPr>
      <w:r>
        <w:rPr>
          <w:rFonts w:hint="eastAsia"/>
          <w:b/>
          <w:bCs/>
          <w:lang w:val="en-US"/>
        </w:rPr>
        <w:t>三、比选申请文件的编制</w:t>
      </w:r>
    </w:p>
    <w:p>
      <w:pPr>
        <w:pStyle w:val="11"/>
        <w:tabs>
          <w:tab w:val="left" w:pos="1661"/>
        </w:tabs>
        <w:spacing w:before="0" w:line="600" w:lineRule="exact"/>
        <w:ind w:left="0" w:firstLine="643" w:firstLineChars="200"/>
        <w:jc w:val="both"/>
        <w:rPr>
          <w:b/>
          <w:bCs/>
          <w:sz w:val="32"/>
          <w:szCs w:val="32"/>
          <w:lang w:val="en-US"/>
        </w:rPr>
      </w:pPr>
      <w:r>
        <w:rPr>
          <w:rFonts w:hint="eastAsia"/>
          <w:b/>
          <w:bCs/>
          <w:sz w:val="32"/>
          <w:szCs w:val="32"/>
          <w:lang w:val="en-US"/>
        </w:rPr>
        <w:t>1、比选申请文件的语言</w:t>
      </w:r>
    </w:p>
    <w:p>
      <w:pPr>
        <w:pStyle w:val="11"/>
        <w:tabs>
          <w:tab w:val="left" w:pos="1661"/>
        </w:tabs>
        <w:spacing w:before="0" w:line="600" w:lineRule="exact"/>
        <w:ind w:left="0" w:firstLineChars="200"/>
        <w:jc w:val="both"/>
        <w:rPr>
          <w:sz w:val="32"/>
          <w:szCs w:val="32"/>
          <w:lang w:val="en-US"/>
        </w:rPr>
      </w:pPr>
      <w:r>
        <w:rPr>
          <w:rFonts w:hint="eastAsia"/>
          <w:sz w:val="32"/>
          <w:szCs w:val="32"/>
          <w:lang w:val="en-US"/>
        </w:rPr>
        <w:t>比选申请文件及比选人与参选人之间与比选有关的函件和文件均应使用汉语言文字。</w:t>
      </w:r>
    </w:p>
    <w:p>
      <w:pPr>
        <w:pStyle w:val="11"/>
        <w:tabs>
          <w:tab w:val="left" w:pos="1661"/>
        </w:tabs>
        <w:spacing w:before="0" w:line="600" w:lineRule="exact"/>
        <w:ind w:left="0" w:firstLine="643" w:firstLineChars="200"/>
        <w:jc w:val="both"/>
        <w:rPr>
          <w:b/>
          <w:bCs/>
          <w:sz w:val="32"/>
          <w:szCs w:val="32"/>
          <w:lang w:val="en-US"/>
        </w:rPr>
      </w:pPr>
      <w:r>
        <w:rPr>
          <w:rFonts w:hint="eastAsia"/>
          <w:b/>
          <w:bCs/>
          <w:sz w:val="32"/>
          <w:szCs w:val="32"/>
          <w:lang w:val="en-US"/>
        </w:rPr>
        <w:t>2、比选申请文件的组成及填制要求</w:t>
      </w:r>
    </w:p>
    <w:p>
      <w:pPr>
        <w:pStyle w:val="11"/>
        <w:tabs>
          <w:tab w:val="left" w:pos="1661"/>
        </w:tabs>
        <w:spacing w:before="0" w:line="600" w:lineRule="exact"/>
        <w:ind w:left="0" w:firstLineChars="200"/>
        <w:jc w:val="both"/>
        <w:rPr>
          <w:rFonts w:hint="eastAsia" w:eastAsia="仿宋"/>
          <w:sz w:val="32"/>
          <w:szCs w:val="32"/>
          <w:lang w:val="en-US" w:eastAsia="zh-CN"/>
        </w:rPr>
      </w:pPr>
      <w:r>
        <w:rPr>
          <w:rFonts w:hint="eastAsia"/>
          <w:sz w:val="32"/>
          <w:szCs w:val="32"/>
          <w:lang w:val="en-US"/>
        </w:rPr>
        <w:t>（1）比选申请文件一式两份，正本一份，副本一份；在每一份比选申请文件上要明确注明“正本”或“副本”字样，一旦正本和副本有差异，以正本为准</w:t>
      </w:r>
      <w:r>
        <w:rPr>
          <w:rFonts w:hint="eastAsia"/>
          <w:sz w:val="32"/>
          <w:szCs w:val="32"/>
          <w:lang w:val="en-US" w:eastAsia="zh-CN"/>
        </w:rPr>
        <w:t>；</w:t>
      </w:r>
    </w:p>
    <w:p>
      <w:pPr>
        <w:pStyle w:val="11"/>
        <w:tabs>
          <w:tab w:val="left" w:pos="1661"/>
        </w:tabs>
        <w:spacing w:before="0" w:line="600" w:lineRule="exact"/>
        <w:ind w:left="0" w:firstLineChars="200"/>
        <w:jc w:val="both"/>
        <w:rPr>
          <w:sz w:val="32"/>
          <w:szCs w:val="32"/>
          <w:lang w:val="en-US"/>
        </w:rPr>
      </w:pPr>
      <w:r>
        <w:rPr>
          <w:rFonts w:hint="eastAsia"/>
          <w:sz w:val="32"/>
          <w:szCs w:val="32"/>
          <w:lang w:val="en-US"/>
        </w:rPr>
        <w:t xml:space="preserve">（2）比选人的比选申请文件主要清单见附件 </w:t>
      </w:r>
      <w:r>
        <w:rPr>
          <w:rFonts w:hint="eastAsia"/>
          <w:sz w:val="32"/>
          <w:szCs w:val="32"/>
          <w:lang w:val="en-US" w:eastAsia="zh-CN"/>
        </w:rPr>
        <w:t>3</w:t>
      </w:r>
      <w:r>
        <w:rPr>
          <w:rFonts w:hint="eastAsia"/>
          <w:sz w:val="32"/>
          <w:szCs w:val="32"/>
          <w:lang w:val="en-US"/>
        </w:rPr>
        <w:t>《比选申请文件格式》；</w:t>
      </w:r>
    </w:p>
    <w:p>
      <w:pPr>
        <w:pStyle w:val="11"/>
        <w:tabs>
          <w:tab w:val="left" w:pos="1661"/>
        </w:tabs>
        <w:spacing w:before="0" w:line="600" w:lineRule="exact"/>
        <w:ind w:left="0" w:firstLineChars="200"/>
        <w:jc w:val="both"/>
        <w:rPr>
          <w:rFonts w:hint="eastAsia" w:eastAsia="仿宋"/>
          <w:sz w:val="32"/>
          <w:szCs w:val="32"/>
          <w:lang w:val="en-US" w:eastAsia="zh-CN"/>
        </w:rPr>
      </w:pPr>
      <w:r>
        <w:rPr>
          <w:rFonts w:hint="eastAsia"/>
          <w:sz w:val="32"/>
          <w:szCs w:val="32"/>
          <w:lang w:val="en-US"/>
        </w:rPr>
        <w:t>（3）比选申请文件的正、副本应用不褪色的墨水（墨粉）书写或打印、复印，并按比选文件要求，由法定代表人或委托代理人做相应的签字、加盖机构公章</w:t>
      </w:r>
      <w:r>
        <w:rPr>
          <w:rFonts w:hint="eastAsia"/>
          <w:sz w:val="32"/>
          <w:szCs w:val="32"/>
          <w:lang w:val="en-US" w:eastAsia="zh-CN"/>
        </w:rPr>
        <w:t>；</w:t>
      </w:r>
    </w:p>
    <w:p>
      <w:pPr>
        <w:pStyle w:val="11"/>
        <w:tabs>
          <w:tab w:val="left" w:pos="1661"/>
        </w:tabs>
        <w:spacing w:before="0" w:line="600" w:lineRule="exact"/>
        <w:ind w:left="0" w:firstLineChars="200"/>
        <w:jc w:val="both"/>
        <w:rPr>
          <w:rFonts w:hint="eastAsia" w:eastAsia="仿宋"/>
          <w:sz w:val="32"/>
          <w:szCs w:val="32"/>
          <w:lang w:val="en-US" w:eastAsia="zh-CN"/>
        </w:rPr>
      </w:pPr>
      <w:r>
        <w:rPr>
          <w:rFonts w:hint="eastAsia"/>
          <w:sz w:val="32"/>
          <w:szCs w:val="32"/>
          <w:lang w:val="en-US"/>
        </w:rPr>
        <w:t>（4）除比选申请人对错处作必要修改外，比选申请文件中不许有加行、涂抹或改写</w:t>
      </w:r>
      <w:r>
        <w:rPr>
          <w:rFonts w:hint="eastAsia"/>
          <w:sz w:val="32"/>
          <w:szCs w:val="32"/>
          <w:lang w:val="en-US" w:eastAsia="zh-CN"/>
        </w:rPr>
        <w:t>；</w:t>
      </w:r>
    </w:p>
    <w:p>
      <w:pPr>
        <w:pStyle w:val="11"/>
        <w:tabs>
          <w:tab w:val="left" w:pos="1661"/>
        </w:tabs>
        <w:spacing w:before="0" w:line="600" w:lineRule="exact"/>
        <w:ind w:left="0" w:firstLineChars="200"/>
        <w:jc w:val="both"/>
        <w:rPr>
          <w:sz w:val="32"/>
          <w:szCs w:val="32"/>
          <w:lang w:val="en-US"/>
        </w:rPr>
      </w:pPr>
      <w:r>
        <w:rPr>
          <w:rFonts w:hint="eastAsia"/>
          <w:sz w:val="32"/>
          <w:szCs w:val="32"/>
          <w:lang w:val="en-US"/>
        </w:rPr>
        <w:t>（5）无论比选结果如何，参选人的比选申请文件均不退回。</w:t>
      </w:r>
    </w:p>
    <w:p>
      <w:pPr>
        <w:pStyle w:val="11"/>
        <w:keepLines/>
        <w:widowControl/>
        <w:tabs>
          <w:tab w:val="left" w:pos="1821"/>
        </w:tabs>
        <w:spacing w:before="0" w:line="600" w:lineRule="exact"/>
        <w:ind w:left="0" w:firstLine="643" w:firstLineChars="200"/>
        <w:rPr>
          <w:b/>
          <w:bCs/>
          <w:sz w:val="32"/>
          <w:szCs w:val="32"/>
        </w:rPr>
      </w:pPr>
      <w:r>
        <w:rPr>
          <w:rFonts w:hint="eastAsia"/>
          <w:b/>
          <w:bCs/>
          <w:sz w:val="32"/>
          <w:szCs w:val="32"/>
          <w:lang w:val="en-US"/>
        </w:rPr>
        <w:t>3、</w:t>
      </w:r>
      <w:r>
        <w:rPr>
          <w:rFonts w:hint="eastAsia"/>
          <w:b/>
          <w:bCs/>
          <w:sz w:val="32"/>
          <w:szCs w:val="32"/>
        </w:rPr>
        <w:t>比选申请文件格式</w:t>
      </w:r>
    </w:p>
    <w:p>
      <w:pPr>
        <w:pStyle w:val="5"/>
        <w:keepLines/>
        <w:widowControl/>
        <w:spacing w:line="600" w:lineRule="exact"/>
        <w:ind w:left="0" w:firstLine="640" w:firstLineChars="200"/>
        <w:jc w:val="both"/>
      </w:pPr>
      <w:r>
        <w:rPr>
          <w:rFonts w:hint="eastAsia"/>
        </w:rPr>
        <w:t>参选人提交的比选申请文件应当使用比选文件所提供的比选申请文件全部格式和顺序。</w:t>
      </w:r>
    </w:p>
    <w:p>
      <w:pPr>
        <w:pStyle w:val="5"/>
        <w:keepLines/>
        <w:widowControl/>
        <w:spacing w:before="156" w:beforeLines="50" w:after="156" w:afterLines="50" w:line="600" w:lineRule="exact"/>
        <w:ind w:left="0" w:firstLine="643" w:firstLineChars="200"/>
        <w:jc w:val="both"/>
        <w:rPr>
          <w:b/>
          <w:bCs/>
        </w:rPr>
      </w:pPr>
      <w:r>
        <w:rPr>
          <w:rFonts w:hint="eastAsia"/>
          <w:b/>
          <w:bCs/>
        </w:rPr>
        <w:t>四、有关比选的特别说明</w:t>
      </w:r>
    </w:p>
    <w:p>
      <w:pPr>
        <w:pStyle w:val="5"/>
        <w:keepLines/>
        <w:widowControl/>
        <w:spacing w:line="600" w:lineRule="exact"/>
        <w:ind w:left="0" w:firstLine="643" w:firstLineChars="200"/>
        <w:jc w:val="both"/>
        <w:rPr>
          <w:b/>
          <w:bCs/>
        </w:rPr>
      </w:pPr>
      <w:r>
        <w:rPr>
          <w:rFonts w:hint="eastAsia"/>
          <w:b/>
          <w:bCs/>
          <w:lang w:val="en-US"/>
        </w:rPr>
        <w:t>1、</w:t>
      </w:r>
      <w:r>
        <w:rPr>
          <w:rFonts w:hint="eastAsia"/>
          <w:b/>
          <w:bCs/>
        </w:rPr>
        <w:t>比选申请报价</w:t>
      </w:r>
    </w:p>
    <w:p>
      <w:pPr>
        <w:pStyle w:val="5"/>
        <w:keepLines/>
        <w:widowControl/>
        <w:spacing w:line="600" w:lineRule="exact"/>
        <w:ind w:left="0" w:firstLine="640" w:firstLineChars="200"/>
        <w:jc w:val="both"/>
        <w:rPr>
          <w:rFonts w:hint="eastAsia" w:eastAsia="仿宋"/>
          <w:lang w:eastAsia="zh-CN"/>
        </w:rPr>
      </w:pPr>
      <w:r>
        <w:rPr>
          <w:rFonts w:hint="eastAsia"/>
        </w:rPr>
        <w:t>（1）参选人的比选报价应是比选文件所确定的服务范围内的全部工作内容的价格体现</w:t>
      </w:r>
      <w:r>
        <w:rPr>
          <w:rFonts w:hint="eastAsia"/>
          <w:lang w:eastAsia="zh-CN"/>
        </w:rPr>
        <w:t>；</w:t>
      </w:r>
    </w:p>
    <w:p>
      <w:pPr>
        <w:pStyle w:val="5"/>
        <w:keepLines/>
        <w:widowControl/>
        <w:spacing w:line="600" w:lineRule="exact"/>
        <w:ind w:left="0" w:firstLine="640" w:firstLineChars="200"/>
        <w:jc w:val="both"/>
      </w:pPr>
      <w:r>
        <w:rPr>
          <w:rFonts w:hint="eastAsia"/>
        </w:rPr>
        <w:t>（2）参选人的报价应是完成所有工作的费用。</w:t>
      </w:r>
    </w:p>
    <w:p>
      <w:pPr>
        <w:pStyle w:val="5"/>
        <w:keepLines/>
        <w:widowControl/>
        <w:spacing w:line="600" w:lineRule="exact"/>
        <w:ind w:left="0" w:firstLine="643" w:firstLineChars="200"/>
        <w:jc w:val="both"/>
        <w:rPr>
          <w:b/>
          <w:bCs/>
        </w:rPr>
      </w:pPr>
      <w:r>
        <w:rPr>
          <w:rFonts w:hint="eastAsia"/>
          <w:b/>
          <w:bCs/>
        </w:rPr>
        <w:t>2、比选货币</w:t>
      </w:r>
    </w:p>
    <w:p>
      <w:pPr>
        <w:pStyle w:val="5"/>
        <w:keepLines/>
        <w:widowControl/>
        <w:spacing w:line="600" w:lineRule="exact"/>
        <w:ind w:left="0" w:firstLine="640" w:firstLineChars="200"/>
        <w:jc w:val="both"/>
      </w:pPr>
      <w:r>
        <w:rPr>
          <w:rFonts w:hint="eastAsia"/>
        </w:rPr>
        <w:t>比选报价采用的币种为人民币。</w:t>
      </w:r>
    </w:p>
    <w:p>
      <w:pPr>
        <w:pStyle w:val="5"/>
        <w:keepLines/>
        <w:widowControl/>
        <w:spacing w:line="600" w:lineRule="exact"/>
        <w:ind w:left="0" w:firstLine="643" w:firstLineChars="200"/>
        <w:jc w:val="both"/>
        <w:rPr>
          <w:b/>
          <w:bCs/>
        </w:rPr>
      </w:pPr>
      <w:r>
        <w:rPr>
          <w:rFonts w:hint="eastAsia"/>
          <w:b/>
          <w:bCs/>
          <w:lang w:val="en-US"/>
        </w:rPr>
        <w:t>3、</w:t>
      </w:r>
      <w:r>
        <w:rPr>
          <w:rFonts w:hint="eastAsia"/>
          <w:b/>
          <w:bCs/>
        </w:rPr>
        <w:t>比选有效期</w:t>
      </w:r>
    </w:p>
    <w:p>
      <w:pPr>
        <w:pStyle w:val="5"/>
        <w:keepLines/>
        <w:widowControl/>
        <w:spacing w:line="600" w:lineRule="exact"/>
        <w:ind w:left="0" w:firstLine="640" w:firstLineChars="200"/>
        <w:jc w:val="both"/>
      </w:pPr>
      <w:r>
        <w:rPr>
          <w:rFonts w:hint="eastAsia"/>
        </w:rPr>
        <w:t>比选文件在</w:t>
      </w:r>
      <w:r>
        <w:t>比选申请文件递交后60日</w:t>
      </w:r>
      <w:r>
        <w:rPr>
          <w:rFonts w:hint="eastAsia"/>
        </w:rPr>
        <w:t>内有效。</w:t>
      </w:r>
    </w:p>
    <w:p>
      <w:pPr>
        <w:pStyle w:val="5"/>
        <w:keepLines/>
        <w:widowControl/>
        <w:spacing w:line="600" w:lineRule="exact"/>
        <w:ind w:left="0" w:firstLine="643" w:firstLineChars="200"/>
        <w:jc w:val="both"/>
        <w:rPr>
          <w:b/>
          <w:bCs/>
        </w:rPr>
      </w:pPr>
      <w:r>
        <w:rPr>
          <w:rFonts w:hint="eastAsia"/>
          <w:b/>
          <w:bCs/>
          <w:lang w:val="en-US"/>
        </w:rPr>
        <w:t>4、</w:t>
      </w:r>
      <w:r>
        <w:rPr>
          <w:rFonts w:hint="eastAsia"/>
          <w:b/>
          <w:bCs/>
        </w:rPr>
        <w:t>比选保证金</w:t>
      </w:r>
    </w:p>
    <w:p>
      <w:pPr>
        <w:pStyle w:val="5"/>
        <w:keepLines/>
        <w:widowControl/>
        <w:spacing w:line="600" w:lineRule="exact"/>
        <w:ind w:left="0" w:firstLine="640" w:firstLineChars="200"/>
        <w:jc w:val="both"/>
      </w:pPr>
      <w:r>
        <w:rPr>
          <w:rFonts w:hint="eastAsia"/>
        </w:rPr>
        <w:t>无</w:t>
      </w:r>
    </w:p>
    <w:p>
      <w:pPr>
        <w:pStyle w:val="5"/>
        <w:keepLines/>
        <w:widowControl/>
        <w:spacing w:before="156" w:beforeLines="50" w:after="156" w:afterLines="50" w:line="600" w:lineRule="exact"/>
        <w:ind w:left="0" w:firstLine="643" w:firstLineChars="200"/>
        <w:jc w:val="both"/>
        <w:rPr>
          <w:b/>
          <w:bCs/>
        </w:rPr>
      </w:pPr>
      <w:r>
        <w:rPr>
          <w:rFonts w:hint="eastAsia"/>
          <w:b/>
          <w:bCs/>
        </w:rPr>
        <w:t>五、比选申请文件的提交</w:t>
      </w:r>
    </w:p>
    <w:p>
      <w:pPr>
        <w:keepLines/>
        <w:widowControl/>
        <w:spacing w:line="600" w:lineRule="exact"/>
        <w:ind w:firstLine="643" w:firstLineChars="200"/>
        <w:rPr>
          <w:b/>
          <w:bCs/>
          <w:sz w:val="32"/>
          <w:szCs w:val="32"/>
        </w:rPr>
      </w:pPr>
      <w:r>
        <w:rPr>
          <w:rFonts w:hint="eastAsia"/>
          <w:b/>
          <w:bCs/>
          <w:sz w:val="32"/>
          <w:szCs w:val="32"/>
          <w:lang w:val="en-US"/>
        </w:rPr>
        <w:t>1、</w:t>
      </w:r>
      <w:r>
        <w:rPr>
          <w:rFonts w:hint="eastAsia"/>
          <w:b/>
          <w:bCs/>
          <w:sz w:val="32"/>
          <w:szCs w:val="32"/>
        </w:rPr>
        <w:t>比选申请文件的密封</w:t>
      </w:r>
    </w:p>
    <w:p>
      <w:pPr>
        <w:keepLines/>
        <w:widowControl/>
        <w:spacing w:line="600" w:lineRule="exact"/>
        <w:ind w:firstLine="640" w:firstLineChars="200"/>
        <w:jc w:val="both"/>
        <w:rPr>
          <w:sz w:val="32"/>
          <w:szCs w:val="32"/>
        </w:rPr>
      </w:pPr>
      <w:r>
        <w:rPr>
          <w:rFonts w:hint="eastAsia"/>
          <w:sz w:val="32"/>
          <w:szCs w:val="32"/>
        </w:rPr>
        <w:t>参选人应按“参选机构名称</w:t>
      </w:r>
      <w:r>
        <w:rPr>
          <w:rFonts w:hint="eastAsia"/>
          <w:sz w:val="32"/>
          <w:szCs w:val="32"/>
          <w:lang w:val="en-US"/>
        </w:rPr>
        <w:t>-参选文件-日期</w:t>
      </w:r>
      <w:r>
        <w:rPr>
          <w:rFonts w:hint="eastAsia"/>
          <w:sz w:val="32"/>
          <w:szCs w:val="32"/>
        </w:rPr>
        <w:t>”命名。</w:t>
      </w:r>
    </w:p>
    <w:p>
      <w:pPr>
        <w:keepLines/>
        <w:widowControl/>
        <w:spacing w:line="600" w:lineRule="exact"/>
        <w:ind w:firstLine="643" w:firstLineChars="200"/>
        <w:jc w:val="both"/>
        <w:rPr>
          <w:b/>
          <w:bCs/>
          <w:sz w:val="32"/>
          <w:szCs w:val="32"/>
        </w:rPr>
      </w:pPr>
      <w:r>
        <w:rPr>
          <w:rFonts w:hint="eastAsia"/>
          <w:b/>
          <w:bCs/>
          <w:sz w:val="32"/>
          <w:szCs w:val="32"/>
        </w:rPr>
        <w:t>2、比选申请文件的递交和截止时间</w:t>
      </w:r>
    </w:p>
    <w:p>
      <w:pPr>
        <w:keepLines/>
        <w:widowControl/>
        <w:spacing w:line="600" w:lineRule="exact"/>
        <w:ind w:firstLine="640" w:firstLineChars="200"/>
        <w:jc w:val="both"/>
        <w:rPr>
          <w:rFonts w:hint="eastAsia" w:eastAsia="仿宋"/>
          <w:sz w:val="32"/>
          <w:szCs w:val="32"/>
          <w:lang w:eastAsia="zh-CN"/>
        </w:rPr>
      </w:pPr>
      <w:r>
        <w:rPr>
          <w:rFonts w:hint="eastAsia"/>
          <w:sz w:val="32"/>
          <w:szCs w:val="32"/>
        </w:rPr>
        <w:t>（1）比选申请文件递交的截止时间见比选公告的规定</w:t>
      </w:r>
      <w:r>
        <w:rPr>
          <w:rFonts w:hint="eastAsia"/>
          <w:sz w:val="32"/>
          <w:szCs w:val="32"/>
          <w:lang w:eastAsia="zh-CN"/>
        </w:rPr>
        <w:t>；</w:t>
      </w:r>
    </w:p>
    <w:p>
      <w:pPr>
        <w:keepLines/>
        <w:widowControl/>
        <w:spacing w:line="600" w:lineRule="exact"/>
        <w:ind w:firstLine="640" w:firstLineChars="200"/>
        <w:jc w:val="both"/>
        <w:rPr>
          <w:rFonts w:hint="eastAsia" w:eastAsia="仿宋"/>
          <w:sz w:val="32"/>
          <w:szCs w:val="32"/>
          <w:lang w:eastAsia="zh-CN"/>
        </w:rPr>
      </w:pPr>
      <w:r>
        <w:rPr>
          <w:rFonts w:hint="eastAsia"/>
          <w:sz w:val="32"/>
          <w:szCs w:val="32"/>
        </w:rPr>
        <w:t>（2）比选人可按照本规则的规定以补充通知的方式，酌情延长递交比选文件的截止时间</w:t>
      </w:r>
      <w:r>
        <w:rPr>
          <w:rFonts w:hint="eastAsia"/>
          <w:sz w:val="32"/>
          <w:szCs w:val="32"/>
          <w:lang w:eastAsia="zh-CN"/>
        </w:rPr>
        <w:t>；</w:t>
      </w:r>
    </w:p>
    <w:p>
      <w:pPr>
        <w:keepLines/>
        <w:widowControl/>
        <w:spacing w:line="600" w:lineRule="exact"/>
        <w:ind w:firstLine="640" w:firstLineChars="200"/>
        <w:jc w:val="both"/>
        <w:rPr>
          <w:rFonts w:hint="eastAsia" w:eastAsia="仿宋"/>
          <w:sz w:val="32"/>
          <w:szCs w:val="32"/>
          <w:lang w:eastAsia="zh-CN"/>
        </w:rPr>
      </w:pPr>
      <w:r>
        <w:rPr>
          <w:rFonts w:hint="eastAsia"/>
          <w:sz w:val="32"/>
          <w:szCs w:val="32"/>
        </w:rPr>
        <w:t>（3）比选人将拒绝接受任何晚于递交比选申请文件截止时间递交的比选申请文件</w:t>
      </w:r>
      <w:r>
        <w:rPr>
          <w:rFonts w:hint="eastAsia"/>
          <w:sz w:val="32"/>
          <w:szCs w:val="32"/>
          <w:lang w:eastAsia="zh-CN"/>
        </w:rPr>
        <w:t>；</w:t>
      </w:r>
    </w:p>
    <w:p>
      <w:pPr>
        <w:keepLines/>
        <w:widowControl/>
        <w:spacing w:line="600" w:lineRule="exact"/>
        <w:ind w:firstLine="640" w:firstLineChars="200"/>
        <w:rPr>
          <w:sz w:val="32"/>
          <w:szCs w:val="32"/>
        </w:rPr>
      </w:pPr>
      <w:r>
        <w:rPr>
          <w:rFonts w:hint="eastAsia"/>
          <w:sz w:val="32"/>
          <w:szCs w:val="32"/>
        </w:rPr>
        <w:t>（4）比选人以收到比选申请文件邮件的时间为参选人提交比选申请文件的时间。</w:t>
      </w:r>
    </w:p>
    <w:p>
      <w:pPr>
        <w:pStyle w:val="5"/>
        <w:keepLines/>
        <w:widowControl/>
        <w:spacing w:before="156" w:beforeLines="50" w:after="156" w:afterLines="50" w:line="600" w:lineRule="exact"/>
        <w:ind w:left="0" w:firstLine="643" w:firstLineChars="200"/>
        <w:jc w:val="both"/>
        <w:rPr>
          <w:b/>
          <w:bCs/>
          <w:lang w:val="en-US"/>
        </w:rPr>
      </w:pPr>
      <w:r>
        <w:rPr>
          <w:rFonts w:hint="eastAsia"/>
          <w:b/>
          <w:bCs/>
        </w:rPr>
        <w:t>六、评选</w:t>
      </w:r>
    </w:p>
    <w:p>
      <w:pPr>
        <w:keepLines/>
        <w:widowControl/>
        <w:spacing w:line="600" w:lineRule="exact"/>
        <w:ind w:firstLine="643" w:firstLineChars="200"/>
        <w:rPr>
          <w:b/>
          <w:bCs/>
          <w:sz w:val="32"/>
          <w:szCs w:val="32"/>
          <w:lang w:val="en-US"/>
        </w:rPr>
      </w:pPr>
      <w:r>
        <w:rPr>
          <w:rFonts w:hint="eastAsia"/>
          <w:b/>
          <w:bCs/>
          <w:sz w:val="32"/>
          <w:szCs w:val="32"/>
          <w:lang w:val="en-US"/>
        </w:rPr>
        <w:t>1、评选小组与评选</w:t>
      </w:r>
    </w:p>
    <w:p>
      <w:pPr>
        <w:keepLines/>
        <w:widowControl/>
        <w:spacing w:line="600" w:lineRule="exact"/>
        <w:ind w:firstLine="640" w:firstLineChars="200"/>
        <w:jc w:val="both"/>
        <w:rPr>
          <w:rFonts w:hint="eastAsia" w:eastAsia="仿宋"/>
          <w:sz w:val="32"/>
          <w:szCs w:val="32"/>
          <w:lang w:val="en-US" w:eastAsia="zh-CN"/>
        </w:rPr>
      </w:pPr>
      <w:r>
        <w:rPr>
          <w:rFonts w:hint="eastAsia"/>
          <w:sz w:val="32"/>
          <w:szCs w:val="32"/>
          <w:lang w:val="en-US"/>
        </w:rPr>
        <w:t>（1）评选小组由比选人自行组建，负责评选活动，必要时可邀请债务人、债权人代表、法院工作人员参与监督</w:t>
      </w:r>
      <w:r>
        <w:rPr>
          <w:rFonts w:hint="eastAsia"/>
          <w:sz w:val="32"/>
          <w:szCs w:val="32"/>
          <w:lang w:val="en-US" w:eastAsia="zh-CN"/>
        </w:rPr>
        <w:t>；</w:t>
      </w:r>
    </w:p>
    <w:p>
      <w:pPr>
        <w:keepLines/>
        <w:widowControl/>
        <w:spacing w:line="600" w:lineRule="exact"/>
        <w:ind w:firstLine="640" w:firstLineChars="200"/>
        <w:jc w:val="both"/>
        <w:rPr>
          <w:sz w:val="32"/>
          <w:szCs w:val="32"/>
          <w:lang w:val="en-US"/>
        </w:rPr>
      </w:pPr>
      <w:r>
        <w:rPr>
          <w:rFonts w:hint="eastAsia"/>
          <w:sz w:val="32"/>
          <w:szCs w:val="32"/>
          <w:lang w:val="en-US"/>
        </w:rPr>
        <w:t>（2）整个评选过程采用保密方式进行。</w:t>
      </w:r>
    </w:p>
    <w:p>
      <w:pPr>
        <w:keepLines/>
        <w:widowControl/>
        <w:spacing w:line="600" w:lineRule="exact"/>
        <w:ind w:firstLine="643" w:firstLineChars="200"/>
        <w:rPr>
          <w:b/>
          <w:bCs/>
          <w:sz w:val="32"/>
          <w:szCs w:val="32"/>
          <w:lang w:val="en-US"/>
        </w:rPr>
      </w:pPr>
      <w:r>
        <w:rPr>
          <w:rFonts w:hint="eastAsia"/>
          <w:b/>
          <w:bCs/>
          <w:sz w:val="32"/>
          <w:szCs w:val="32"/>
          <w:lang w:val="en-US"/>
        </w:rPr>
        <w:t>2、评选过程的注意事项</w:t>
      </w:r>
    </w:p>
    <w:p>
      <w:pPr>
        <w:keepLines/>
        <w:widowControl/>
        <w:spacing w:line="600" w:lineRule="exact"/>
        <w:ind w:firstLine="640" w:firstLineChars="200"/>
        <w:jc w:val="both"/>
        <w:rPr>
          <w:rFonts w:hint="eastAsia" w:eastAsia="仿宋"/>
          <w:sz w:val="32"/>
          <w:szCs w:val="32"/>
          <w:lang w:val="en-US" w:eastAsia="zh-CN"/>
        </w:rPr>
      </w:pPr>
      <w:r>
        <w:rPr>
          <w:rFonts w:hint="eastAsia"/>
          <w:sz w:val="32"/>
          <w:szCs w:val="32"/>
          <w:lang w:val="en-US"/>
        </w:rPr>
        <w:t>（1）开选后，直至授予中选人合同为止，凡涉及对比选申请文件的审查、澄清、评价和比较的有关资料，以及其他与评选有关的任何情况均应严格保密</w:t>
      </w:r>
      <w:r>
        <w:rPr>
          <w:rFonts w:hint="eastAsia"/>
          <w:sz w:val="32"/>
          <w:szCs w:val="32"/>
          <w:lang w:val="en-US" w:eastAsia="zh-CN"/>
        </w:rPr>
        <w:t>；</w:t>
      </w:r>
    </w:p>
    <w:p>
      <w:pPr>
        <w:keepLines/>
        <w:widowControl/>
        <w:spacing w:line="600" w:lineRule="exact"/>
        <w:ind w:firstLine="640" w:firstLineChars="200"/>
        <w:jc w:val="both"/>
        <w:rPr>
          <w:rFonts w:hint="eastAsia" w:eastAsia="仿宋"/>
          <w:sz w:val="32"/>
          <w:szCs w:val="32"/>
          <w:lang w:val="en-US" w:eastAsia="zh-CN"/>
        </w:rPr>
      </w:pPr>
      <w:r>
        <w:rPr>
          <w:rFonts w:hint="eastAsia"/>
          <w:sz w:val="32"/>
          <w:szCs w:val="32"/>
          <w:lang w:val="en-US"/>
        </w:rPr>
        <w:t>（2）在比选申请文件的评审和比较以及授予合同的过程中，任何人向比选人和评选小组施加影响的任何行为，都将会导致其比选被拒绝</w:t>
      </w:r>
      <w:r>
        <w:rPr>
          <w:rFonts w:hint="eastAsia"/>
          <w:sz w:val="32"/>
          <w:szCs w:val="32"/>
          <w:lang w:val="en-US" w:eastAsia="zh-CN"/>
        </w:rPr>
        <w:t>；</w:t>
      </w:r>
      <w:bookmarkStart w:id="0" w:name="_GoBack"/>
      <w:bookmarkEnd w:id="0"/>
    </w:p>
    <w:p>
      <w:pPr>
        <w:keepLines/>
        <w:widowControl/>
        <w:spacing w:line="600" w:lineRule="exact"/>
        <w:ind w:firstLine="640" w:firstLineChars="200"/>
        <w:jc w:val="both"/>
        <w:rPr>
          <w:sz w:val="32"/>
          <w:szCs w:val="32"/>
          <w:lang w:val="en-US"/>
        </w:rPr>
      </w:pPr>
      <w:r>
        <w:rPr>
          <w:rFonts w:hint="eastAsia"/>
          <w:sz w:val="32"/>
          <w:szCs w:val="32"/>
          <w:lang w:val="en-US"/>
        </w:rPr>
        <w:t>（3）中选机构及备选机构确定后，比选人不对未中选人就评选过程以及未能中选原因作出任何解释。未中选人不得向评选小组组成人员或其它有关人员询问评选过程的情况和索取资料。</w:t>
      </w:r>
    </w:p>
    <w:p>
      <w:pPr>
        <w:keepLines/>
        <w:widowControl/>
        <w:spacing w:line="600" w:lineRule="exact"/>
        <w:ind w:firstLine="643" w:firstLineChars="200"/>
        <w:rPr>
          <w:b/>
          <w:bCs/>
          <w:sz w:val="32"/>
          <w:szCs w:val="32"/>
          <w:lang w:val="en-US"/>
        </w:rPr>
      </w:pPr>
      <w:r>
        <w:rPr>
          <w:rFonts w:hint="eastAsia"/>
          <w:b/>
          <w:bCs/>
          <w:sz w:val="32"/>
          <w:szCs w:val="32"/>
          <w:lang w:val="en-US"/>
        </w:rPr>
        <w:t>3、比选申请文件的澄清</w:t>
      </w:r>
    </w:p>
    <w:p>
      <w:pPr>
        <w:keepLines/>
        <w:widowControl/>
        <w:spacing w:line="600" w:lineRule="exact"/>
        <w:ind w:firstLine="640" w:firstLineChars="200"/>
        <w:jc w:val="both"/>
        <w:rPr>
          <w:sz w:val="32"/>
          <w:szCs w:val="32"/>
          <w:lang w:val="en-US"/>
        </w:rPr>
      </w:pPr>
      <w:r>
        <w:rPr>
          <w:rFonts w:hint="eastAsia"/>
          <w:sz w:val="32"/>
          <w:szCs w:val="32"/>
          <w:lang w:val="en-US"/>
        </w:rPr>
        <w:t>为了有助于比选申请文件的审查、评价和比较，评选小组有权要求参选人对比选申请文件中含义不明确的内容等问题作出澄清。澄清问题的答复将作为比选申请文件的组成部分。</w:t>
      </w:r>
    </w:p>
    <w:p>
      <w:pPr>
        <w:keepLines/>
        <w:widowControl/>
        <w:spacing w:line="600" w:lineRule="exact"/>
        <w:ind w:firstLine="643" w:firstLineChars="200"/>
        <w:rPr>
          <w:b/>
          <w:bCs/>
          <w:sz w:val="32"/>
          <w:szCs w:val="32"/>
          <w:lang w:val="en-US"/>
        </w:rPr>
      </w:pPr>
      <w:r>
        <w:rPr>
          <w:rFonts w:hint="eastAsia"/>
          <w:b/>
          <w:bCs/>
          <w:sz w:val="32"/>
          <w:szCs w:val="32"/>
          <w:lang w:val="en-US"/>
        </w:rPr>
        <w:t>4、评选方法和标准</w:t>
      </w:r>
    </w:p>
    <w:p>
      <w:pPr>
        <w:keepLines/>
        <w:widowControl/>
        <w:spacing w:line="600" w:lineRule="exact"/>
        <w:ind w:firstLine="640" w:firstLineChars="200"/>
        <w:rPr>
          <w:sz w:val="32"/>
          <w:szCs w:val="32"/>
          <w:lang w:val="en-US"/>
        </w:rPr>
      </w:pPr>
      <w:r>
        <w:rPr>
          <w:rFonts w:hint="eastAsia"/>
          <w:sz w:val="32"/>
          <w:szCs w:val="32"/>
          <w:lang w:val="en-US"/>
        </w:rPr>
        <w:t>（1）本项目采用综合评审法进行评选</w:t>
      </w:r>
    </w:p>
    <w:p>
      <w:pPr>
        <w:keepLines/>
        <w:widowControl/>
        <w:spacing w:line="600" w:lineRule="exact"/>
        <w:ind w:firstLine="640" w:firstLineChars="200"/>
        <w:jc w:val="both"/>
        <w:rPr>
          <w:sz w:val="32"/>
          <w:szCs w:val="32"/>
          <w:lang w:val="en-US"/>
        </w:rPr>
      </w:pPr>
      <w:r>
        <w:rPr>
          <w:rFonts w:hint="eastAsia"/>
          <w:sz w:val="32"/>
          <w:szCs w:val="32"/>
          <w:lang w:val="en-US"/>
        </w:rPr>
        <w:t>本项目评选以百分制计分，评选人员对各项目逐项评定计分，满分100分。评选工作由比选人组织进行。本次评选小组成员人数由3人以上（含3人）单数组成，评选小组组长由评选小组成员推举产生，主持整个评选工作，与评选小组其他成员有同等的表决权。</w:t>
      </w:r>
    </w:p>
    <w:p>
      <w:pPr>
        <w:keepLines/>
        <w:widowControl/>
        <w:spacing w:line="600" w:lineRule="exact"/>
        <w:ind w:firstLine="640" w:firstLineChars="200"/>
        <w:rPr>
          <w:sz w:val="32"/>
          <w:szCs w:val="32"/>
          <w:lang w:val="en-US"/>
        </w:rPr>
      </w:pPr>
      <w:r>
        <w:rPr>
          <w:rFonts w:hint="eastAsia"/>
          <w:sz w:val="32"/>
          <w:szCs w:val="32"/>
          <w:lang w:val="en-US"/>
        </w:rPr>
        <w:t>（2）本项目评选结果的确定</w:t>
      </w:r>
    </w:p>
    <w:p>
      <w:pPr>
        <w:keepLines/>
        <w:widowControl/>
        <w:spacing w:line="600" w:lineRule="exact"/>
        <w:ind w:firstLine="640" w:firstLineChars="200"/>
        <w:jc w:val="both"/>
        <w:rPr>
          <w:sz w:val="32"/>
          <w:szCs w:val="32"/>
          <w:lang w:val="en-US"/>
        </w:rPr>
      </w:pPr>
      <w:r>
        <w:rPr>
          <w:rFonts w:hint="eastAsia"/>
          <w:sz w:val="32"/>
          <w:szCs w:val="32"/>
          <w:lang w:val="en-US"/>
        </w:rPr>
        <w:t>根据评选组的评审结果，综合得分第一名的为中选机构，第二名为备选机构。</w:t>
      </w:r>
    </w:p>
    <w:p>
      <w:pPr>
        <w:spacing w:line="580" w:lineRule="exact"/>
        <w:ind w:firstLine="643" w:firstLineChars="200"/>
        <w:jc w:val="both"/>
        <w:rPr>
          <w:rFonts w:ascii="仿宋_GB2312" w:hAnsi="仿宋_GB2312" w:eastAsia="仿宋_GB2312" w:cs="仿宋_GB2312"/>
          <w:b/>
          <w:sz w:val="32"/>
          <w:szCs w:val="32"/>
          <w:lang w:val="en-US"/>
        </w:rPr>
      </w:pPr>
      <w:r>
        <w:rPr>
          <w:rFonts w:hint="eastAsia" w:ascii="仿宋_GB2312" w:hAnsi="仿宋_GB2312" w:eastAsia="仿宋_GB2312" w:cs="仿宋_GB2312"/>
          <w:b/>
          <w:sz w:val="32"/>
          <w:szCs w:val="32"/>
          <w:lang w:val="en-US"/>
        </w:rPr>
        <w:t>A.</w:t>
      </w:r>
      <w:r>
        <w:rPr>
          <w:rFonts w:hint="eastAsia" w:ascii="仿宋_GB2312" w:hAnsi="仿宋_GB2312" w:eastAsia="仿宋_GB2312" w:cs="仿宋_GB2312"/>
          <w:b/>
          <w:sz w:val="32"/>
          <w:szCs w:val="32"/>
        </w:rPr>
        <w:t>形式审查标准</w:t>
      </w:r>
    </w:p>
    <w:tbl>
      <w:tblPr>
        <w:tblStyle w:val="8"/>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03"/>
        <w:gridCol w:w="5244"/>
        <w:gridCol w:w="2166"/>
      </w:tblGrid>
      <w:tr>
        <w:trPr>
          <w:trHeight w:val="623" w:hRule="atLeast"/>
          <w:jc w:val="center"/>
        </w:trPr>
        <w:tc>
          <w:tcPr>
            <w:tcW w:w="543" w:type="pct"/>
            <w:vAlign w:val="center"/>
          </w:tcPr>
          <w:p>
            <w:pPr>
              <w:adjustRightInd w:val="0"/>
              <w:spacing w:line="58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3154" w:type="pct"/>
            <w:vAlign w:val="center"/>
          </w:tcPr>
          <w:p>
            <w:pPr>
              <w:adjustRightInd w:val="0"/>
              <w:spacing w:line="58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审查内容</w:t>
            </w:r>
          </w:p>
        </w:tc>
        <w:tc>
          <w:tcPr>
            <w:tcW w:w="1303" w:type="pct"/>
            <w:vAlign w:val="center"/>
          </w:tcPr>
          <w:p>
            <w:pPr>
              <w:adjustRightInd w:val="0"/>
              <w:spacing w:line="58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是否满足要求</w:t>
            </w:r>
          </w:p>
        </w:tc>
      </w:tr>
      <w:tr>
        <w:trPr>
          <w:trHeight w:val="90" w:hRule="atLeast"/>
          <w:jc w:val="center"/>
        </w:trPr>
        <w:tc>
          <w:tcPr>
            <w:tcW w:w="543" w:type="pct"/>
            <w:vAlign w:val="center"/>
          </w:tcPr>
          <w:p>
            <w:pPr>
              <w:adjustRightInd w:val="0"/>
              <w:spacing w:line="58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3154" w:type="pct"/>
            <w:vAlign w:val="center"/>
          </w:tcPr>
          <w:p>
            <w:pPr>
              <w:adjustRightInd w:val="0"/>
              <w:spacing w:line="58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营业执照合法有效</w:t>
            </w:r>
          </w:p>
        </w:tc>
        <w:tc>
          <w:tcPr>
            <w:tcW w:w="1303" w:type="pct"/>
            <w:vAlign w:val="center"/>
          </w:tcPr>
          <w:p>
            <w:pPr>
              <w:adjustRightInd w:val="0"/>
              <w:spacing w:line="580" w:lineRule="exact"/>
              <w:jc w:val="both"/>
              <w:rPr>
                <w:rFonts w:ascii="仿宋_GB2312" w:hAnsi="仿宋_GB2312" w:eastAsia="仿宋_GB2312" w:cs="仿宋_GB2312"/>
                <w:sz w:val="24"/>
                <w:szCs w:val="24"/>
              </w:rPr>
            </w:pPr>
          </w:p>
        </w:tc>
      </w:tr>
      <w:tr>
        <w:trPr>
          <w:trHeight w:val="623" w:hRule="atLeast"/>
          <w:jc w:val="center"/>
        </w:trPr>
        <w:tc>
          <w:tcPr>
            <w:tcW w:w="543" w:type="pct"/>
            <w:vAlign w:val="center"/>
          </w:tcPr>
          <w:p>
            <w:pPr>
              <w:adjustRightInd w:val="0"/>
              <w:spacing w:line="58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3154" w:type="pct"/>
            <w:vAlign w:val="center"/>
          </w:tcPr>
          <w:p>
            <w:pPr>
              <w:adjustRightInd w:val="0"/>
              <w:spacing w:line="58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参选人资质是否满足要求</w:t>
            </w:r>
          </w:p>
        </w:tc>
        <w:tc>
          <w:tcPr>
            <w:tcW w:w="1303" w:type="pct"/>
            <w:vAlign w:val="center"/>
          </w:tcPr>
          <w:p>
            <w:pPr>
              <w:adjustRightInd w:val="0"/>
              <w:spacing w:line="580" w:lineRule="exact"/>
              <w:jc w:val="both"/>
              <w:rPr>
                <w:rFonts w:ascii="仿宋_GB2312" w:hAnsi="仿宋_GB2312" w:eastAsia="仿宋_GB2312" w:cs="仿宋_GB2312"/>
                <w:sz w:val="24"/>
                <w:szCs w:val="24"/>
              </w:rPr>
            </w:pPr>
          </w:p>
        </w:tc>
      </w:tr>
      <w:tr>
        <w:trPr>
          <w:trHeight w:val="623" w:hRule="atLeast"/>
          <w:jc w:val="center"/>
        </w:trPr>
        <w:tc>
          <w:tcPr>
            <w:tcW w:w="543" w:type="pct"/>
            <w:vAlign w:val="center"/>
          </w:tcPr>
          <w:p>
            <w:pPr>
              <w:adjustRightInd w:val="0"/>
              <w:spacing w:line="58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3154" w:type="pct"/>
            <w:vAlign w:val="center"/>
          </w:tcPr>
          <w:p>
            <w:pPr>
              <w:adjustRightInd w:val="0"/>
              <w:spacing w:line="58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比选申请文件盖章及签字的情况</w:t>
            </w:r>
          </w:p>
        </w:tc>
        <w:tc>
          <w:tcPr>
            <w:tcW w:w="1303" w:type="pct"/>
            <w:vAlign w:val="center"/>
          </w:tcPr>
          <w:p>
            <w:pPr>
              <w:adjustRightInd w:val="0"/>
              <w:spacing w:line="580" w:lineRule="exact"/>
              <w:jc w:val="both"/>
              <w:rPr>
                <w:rFonts w:ascii="仿宋_GB2312" w:hAnsi="仿宋_GB2312" w:eastAsia="仿宋_GB2312" w:cs="仿宋_GB2312"/>
                <w:sz w:val="24"/>
                <w:szCs w:val="24"/>
              </w:rPr>
            </w:pPr>
          </w:p>
        </w:tc>
      </w:tr>
      <w:tr>
        <w:trPr>
          <w:trHeight w:val="623" w:hRule="atLeast"/>
          <w:jc w:val="center"/>
        </w:trPr>
        <w:tc>
          <w:tcPr>
            <w:tcW w:w="543" w:type="pct"/>
            <w:vAlign w:val="center"/>
          </w:tcPr>
          <w:p>
            <w:pPr>
              <w:adjustRightInd w:val="0"/>
              <w:spacing w:line="58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3154" w:type="pct"/>
            <w:vAlign w:val="center"/>
          </w:tcPr>
          <w:p>
            <w:pPr>
              <w:adjustRightInd w:val="0"/>
              <w:spacing w:line="58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授权书是否有效</w:t>
            </w:r>
          </w:p>
        </w:tc>
        <w:tc>
          <w:tcPr>
            <w:tcW w:w="1303" w:type="pct"/>
            <w:vAlign w:val="center"/>
          </w:tcPr>
          <w:p>
            <w:pPr>
              <w:adjustRightInd w:val="0"/>
              <w:spacing w:line="580" w:lineRule="exact"/>
              <w:jc w:val="both"/>
              <w:rPr>
                <w:rFonts w:ascii="仿宋_GB2312" w:hAnsi="仿宋_GB2312" w:eastAsia="仿宋_GB2312" w:cs="仿宋_GB2312"/>
                <w:sz w:val="24"/>
                <w:szCs w:val="24"/>
              </w:rPr>
            </w:pPr>
          </w:p>
        </w:tc>
      </w:tr>
      <w:tr>
        <w:trPr>
          <w:trHeight w:val="623" w:hRule="atLeast"/>
          <w:jc w:val="center"/>
        </w:trPr>
        <w:tc>
          <w:tcPr>
            <w:tcW w:w="543" w:type="pct"/>
            <w:vAlign w:val="center"/>
          </w:tcPr>
          <w:p>
            <w:pPr>
              <w:adjustRightInd w:val="0"/>
              <w:spacing w:line="58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3154" w:type="pct"/>
            <w:vAlign w:val="center"/>
          </w:tcPr>
          <w:p>
            <w:pPr>
              <w:adjustRightInd w:val="0"/>
              <w:spacing w:line="58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是否实质性响应比选文件</w:t>
            </w:r>
          </w:p>
        </w:tc>
        <w:tc>
          <w:tcPr>
            <w:tcW w:w="1303" w:type="pct"/>
            <w:vAlign w:val="center"/>
          </w:tcPr>
          <w:p>
            <w:pPr>
              <w:adjustRightInd w:val="0"/>
              <w:spacing w:line="580" w:lineRule="exact"/>
              <w:jc w:val="both"/>
              <w:rPr>
                <w:rFonts w:ascii="仿宋_GB2312" w:hAnsi="仿宋_GB2312" w:eastAsia="仿宋_GB2312" w:cs="仿宋_GB2312"/>
                <w:sz w:val="24"/>
                <w:szCs w:val="24"/>
              </w:rPr>
            </w:pPr>
          </w:p>
        </w:tc>
      </w:tr>
      <w:tr>
        <w:trPr>
          <w:trHeight w:val="623" w:hRule="atLeast"/>
          <w:jc w:val="center"/>
        </w:trPr>
        <w:tc>
          <w:tcPr>
            <w:tcW w:w="543" w:type="pct"/>
            <w:vAlign w:val="center"/>
          </w:tcPr>
          <w:p>
            <w:pPr>
              <w:adjustRightInd w:val="0"/>
              <w:spacing w:line="58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3154" w:type="pct"/>
            <w:vAlign w:val="center"/>
          </w:tcPr>
          <w:p>
            <w:pPr>
              <w:adjustRightInd w:val="0"/>
              <w:spacing w:line="58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结论</w:t>
            </w:r>
          </w:p>
        </w:tc>
        <w:tc>
          <w:tcPr>
            <w:tcW w:w="1303" w:type="pct"/>
            <w:vAlign w:val="center"/>
          </w:tcPr>
          <w:p>
            <w:pPr>
              <w:adjustRightInd w:val="0"/>
              <w:spacing w:line="580" w:lineRule="exact"/>
              <w:jc w:val="both"/>
              <w:rPr>
                <w:rFonts w:ascii="仿宋_GB2312" w:hAnsi="仿宋_GB2312" w:eastAsia="仿宋_GB2312" w:cs="仿宋_GB2312"/>
                <w:sz w:val="24"/>
                <w:szCs w:val="24"/>
              </w:rPr>
            </w:pPr>
          </w:p>
        </w:tc>
      </w:tr>
    </w:tbl>
    <w:p>
      <w:pPr>
        <w:keepLines/>
        <w:widowControl/>
        <w:spacing w:before="156" w:beforeLines="50" w:after="156" w:afterLines="50" w:line="600" w:lineRule="exact"/>
        <w:ind w:firstLine="560" w:firstLineChars="200"/>
        <w:rPr>
          <w:sz w:val="32"/>
          <w:szCs w:val="32"/>
        </w:rPr>
      </w:pPr>
      <w:r>
        <w:rPr>
          <w:rFonts w:hint="eastAsia"/>
          <w:sz w:val="28"/>
          <w:szCs w:val="28"/>
          <w:lang w:val="en-US"/>
        </w:rPr>
        <w:t>注：1、表格中打“√”表示满足，“×”表示不满足，结论填“通过”和“不通过”；２、有任意一个“×”，则结论“不通过”</w:t>
      </w:r>
      <w:r>
        <w:rPr>
          <w:rFonts w:hint="eastAsia" w:ascii="仿宋_GB2312" w:hAnsi="仿宋_GB2312" w:eastAsia="仿宋_GB2312" w:cs="仿宋_GB2312"/>
          <w:sz w:val="24"/>
          <w:szCs w:val="24"/>
        </w:rPr>
        <w:t>。</w:t>
      </w:r>
    </w:p>
    <w:p>
      <w:pPr>
        <w:keepLines/>
        <w:widowControl/>
        <w:spacing w:before="156" w:beforeLines="50" w:after="156" w:afterLines="50" w:line="600" w:lineRule="exact"/>
        <w:ind w:firstLine="643" w:firstLineChars="200"/>
        <w:rPr>
          <w:b/>
          <w:sz w:val="32"/>
          <w:szCs w:val="32"/>
        </w:rPr>
      </w:pPr>
      <w:r>
        <w:rPr>
          <w:rFonts w:hint="eastAsia"/>
          <w:b/>
          <w:sz w:val="32"/>
          <w:szCs w:val="32"/>
        </w:rPr>
        <w:t>B.比选辅拍机构评分表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275"/>
        <w:gridCol w:w="993"/>
        <w:gridCol w:w="3969"/>
        <w:gridCol w:w="1184"/>
      </w:tblGrid>
      <w:tr>
        <w:tc>
          <w:tcPr>
            <w:tcW w:w="8522" w:type="dxa"/>
            <w:gridSpan w:val="5"/>
            <w:vAlign w:val="center"/>
          </w:tcPr>
          <w:p>
            <w:pPr>
              <w:rPr>
                <w:sz w:val="28"/>
                <w:szCs w:val="32"/>
              </w:rPr>
            </w:pPr>
            <w:r>
              <w:rPr>
                <w:rFonts w:hint="eastAsia"/>
                <w:sz w:val="28"/>
                <w:szCs w:val="32"/>
              </w:rPr>
              <w:t>报名机构：</w:t>
            </w:r>
          </w:p>
        </w:tc>
      </w:tr>
      <w:tr>
        <w:tc>
          <w:tcPr>
            <w:tcW w:w="1101" w:type="dxa"/>
            <w:vAlign w:val="center"/>
          </w:tcPr>
          <w:p>
            <w:pPr>
              <w:jc w:val="center"/>
              <w:rPr>
                <w:b/>
                <w:sz w:val="28"/>
                <w:szCs w:val="32"/>
              </w:rPr>
            </w:pPr>
            <w:r>
              <w:rPr>
                <w:rFonts w:hint="eastAsia"/>
                <w:b/>
                <w:sz w:val="28"/>
                <w:szCs w:val="32"/>
              </w:rPr>
              <w:t>序号</w:t>
            </w:r>
          </w:p>
        </w:tc>
        <w:tc>
          <w:tcPr>
            <w:tcW w:w="1275" w:type="dxa"/>
            <w:vAlign w:val="center"/>
          </w:tcPr>
          <w:p>
            <w:pPr>
              <w:jc w:val="center"/>
              <w:rPr>
                <w:b/>
                <w:sz w:val="28"/>
                <w:szCs w:val="32"/>
              </w:rPr>
            </w:pPr>
            <w:r>
              <w:rPr>
                <w:rFonts w:hint="eastAsia"/>
                <w:b/>
                <w:sz w:val="28"/>
                <w:szCs w:val="32"/>
              </w:rPr>
              <w:t>评分项目</w:t>
            </w:r>
          </w:p>
        </w:tc>
        <w:tc>
          <w:tcPr>
            <w:tcW w:w="993" w:type="dxa"/>
            <w:vAlign w:val="center"/>
          </w:tcPr>
          <w:p>
            <w:pPr>
              <w:jc w:val="center"/>
              <w:rPr>
                <w:b/>
                <w:sz w:val="28"/>
                <w:szCs w:val="32"/>
              </w:rPr>
            </w:pPr>
            <w:r>
              <w:rPr>
                <w:rFonts w:hint="eastAsia"/>
                <w:b/>
                <w:sz w:val="28"/>
                <w:szCs w:val="32"/>
              </w:rPr>
              <w:t>分值</w:t>
            </w:r>
          </w:p>
        </w:tc>
        <w:tc>
          <w:tcPr>
            <w:tcW w:w="3969" w:type="dxa"/>
            <w:vAlign w:val="center"/>
          </w:tcPr>
          <w:p>
            <w:pPr>
              <w:jc w:val="center"/>
              <w:rPr>
                <w:b/>
                <w:sz w:val="28"/>
                <w:szCs w:val="32"/>
              </w:rPr>
            </w:pPr>
            <w:r>
              <w:rPr>
                <w:rFonts w:hint="eastAsia"/>
                <w:b/>
                <w:sz w:val="28"/>
                <w:szCs w:val="32"/>
              </w:rPr>
              <w:t>评分标准</w:t>
            </w:r>
          </w:p>
        </w:tc>
        <w:tc>
          <w:tcPr>
            <w:tcW w:w="1184" w:type="dxa"/>
            <w:vAlign w:val="center"/>
          </w:tcPr>
          <w:p>
            <w:pPr>
              <w:jc w:val="center"/>
              <w:rPr>
                <w:b/>
                <w:sz w:val="28"/>
                <w:szCs w:val="32"/>
              </w:rPr>
            </w:pPr>
            <w:r>
              <w:rPr>
                <w:rFonts w:hint="eastAsia"/>
                <w:b/>
                <w:sz w:val="28"/>
                <w:szCs w:val="32"/>
              </w:rPr>
              <w:t>得分</w:t>
            </w:r>
          </w:p>
        </w:tc>
      </w:tr>
      <w:tr>
        <w:tc>
          <w:tcPr>
            <w:tcW w:w="1101" w:type="dxa"/>
            <w:vAlign w:val="center"/>
          </w:tcPr>
          <w:p>
            <w:pPr>
              <w:jc w:val="center"/>
              <w:rPr>
                <w:sz w:val="24"/>
                <w:szCs w:val="32"/>
              </w:rPr>
            </w:pPr>
            <w:r>
              <w:rPr>
                <w:rFonts w:hint="eastAsia"/>
                <w:sz w:val="24"/>
                <w:szCs w:val="32"/>
              </w:rPr>
              <w:t>1</w:t>
            </w:r>
          </w:p>
        </w:tc>
        <w:tc>
          <w:tcPr>
            <w:tcW w:w="1275" w:type="dxa"/>
            <w:vAlign w:val="center"/>
          </w:tcPr>
          <w:p>
            <w:pPr>
              <w:jc w:val="center"/>
              <w:rPr>
                <w:sz w:val="24"/>
                <w:szCs w:val="32"/>
              </w:rPr>
            </w:pPr>
            <w:r>
              <w:rPr>
                <w:rFonts w:hint="eastAsia"/>
                <w:sz w:val="24"/>
                <w:szCs w:val="32"/>
              </w:rPr>
              <w:t>报价</w:t>
            </w:r>
          </w:p>
        </w:tc>
        <w:tc>
          <w:tcPr>
            <w:tcW w:w="993" w:type="dxa"/>
            <w:vAlign w:val="center"/>
          </w:tcPr>
          <w:p>
            <w:pPr>
              <w:jc w:val="center"/>
              <w:rPr>
                <w:sz w:val="24"/>
                <w:szCs w:val="32"/>
              </w:rPr>
            </w:pPr>
            <w:r>
              <w:rPr>
                <w:rFonts w:hint="eastAsia"/>
                <w:sz w:val="24"/>
                <w:szCs w:val="32"/>
              </w:rPr>
              <w:t>30</w:t>
            </w:r>
          </w:p>
        </w:tc>
        <w:tc>
          <w:tcPr>
            <w:tcW w:w="3969" w:type="dxa"/>
            <w:vAlign w:val="center"/>
          </w:tcPr>
          <w:p>
            <w:pPr>
              <w:jc w:val="left"/>
              <w:rPr>
                <w:sz w:val="24"/>
                <w:szCs w:val="32"/>
              </w:rPr>
            </w:pPr>
            <w:r>
              <w:rPr>
                <w:rFonts w:hint="eastAsia"/>
                <w:sz w:val="24"/>
                <w:szCs w:val="32"/>
                <w:lang w:val="en-US" w:eastAsia="zh-CN"/>
              </w:rPr>
              <w:t>强制清算公司财产拍卖成交价格收费，以百分比或千分比形式报价。</w:t>
            </w:r>
            <w:r>
              <w:rPr>
                <w:rFonts w:hint="eastAsia"/>
                <w:sz w:val="24"/>
                <w:szCs w:val="32"/>
              </w:rPr>
              <w:t>以所有参选机构有效投标报价的平均数为基准，报价每高于基准报价1%扣0.5分，报价每低于基准报价1%扣0.25分。</w:t>
            </w:r>
          </w:p>
        </w:tc>
        <w:tc>
          <w:tcPr>
            <w:tcW w:w="1184" w:type="dxa"/>
            <w:vAlign w:val="center"/>
          </w:tcPr>
          <w:p>
            <w:pPr>
              <w:jc w:val="center"/>
              <w:rPr>
                <w:sz w:val="24"/>
                <w:szCs w:val="32"/>
              </w:rPr>
            </w:pPr>
          </w:p>
        </w:tc>
      </w:tr>
      <w:tr>
        <w:tc>
          <w:tcPr>
            <w:tcW w:w="1101" w:type="dxa"/>
            <w:vAlign w:val="center"/>
          </w:tcPr>
          <w:p>
            <w:pPr>
              <w:jc w:val="center"/>
              <w:rPr>
                <w:sz w:val="24"/>
                <w:szCs w:val="32"/>
              </w:rPr>
            </w:pPr>
            <w:r>
              <w:rPr>
                <w:rFonts w:hint="eastAsia"/>
                <w:sz w:val="24"/>
                <w:szCs w:val="32"/>
              </w:rPr>
              <w:t>2</w:t>
            </w:r>
          </w:p>
        </w:tc>
        <w:tc>
          <w:tcPr>
            <w:tcW w:w="1275" w:type="dxa"/>
            <w:vAlign w:val="center"/>
          </w:tcPr>
          <w:p>
            <w:pPr>
              <w:jc w:val="center"/>
              <w:rPr>
                <w:sz w:val="24"/>
                <w:szCs w:val="32"/>
              </w:rPr>
            </w:pPr>
            <w:r>
              <w:rPr>
                <w:rFonts w:hint="eastAsia"/>
                <w:sz w:val="24"/>
                <w:szCs w:val="32"/>
              </w:rPr>
              <w:t>业绩成果</w:t>
            </w:r>
          </w:p>
        </w:tc>
        <w:tc>
          <w:tcPr>
            <w:tcW w:w="993" w:type="dxa"/>
            <w:vAlign w:val="center"/>
          </w:tcPr>
          <w:p>
            <w:pPr>
              <w:jc w:val="center"/>
              <w:rPr>
                <w:sz w:val="24"/>
                <w:szCs w:val="32"/>
              </w:rPr>
            </w:pPr>
            <w:r>
              <w:rPr>
                <w:rFonts w:hint="eastAsia"/>
                <w:sz w:val="24"/>
                <w:szCs w:val="32"/>
              </w:rPr>
              <w:t>20</w:t>
            </w:r>
          </w:p>
        </w:tc>
        <w:tc>
          <w:tcPr>
            <w:tcW w:w="3969" w:type="dxa"/>
            <w:vAlign w:val="center"/>
          </w:tcPr>
          <w:p>
            <w:pPr>
              <w:rPr>
                <w:sz w:val="24"/>
                <w:szCs w:val="32"/>
              </w:rPr>
            </w:pPr>
            <w:r>
              <w:rPr>
                <w:rFonts w:hint="eastAsia"/>
                <w:sz w:val="24"/>
                <w:szCs w:val="32"/>
              </w:rPr>
              <w:t>1.具有商业、办公和住宅的</w:t>
            </w:r>
            <w:r>
              <w:rPr>
                <w:rFonts w:hint="eastAsia"/>
                <w:sz w:val="24"/>
                <w:szCs w:val="32"/>
                <w:lang w:val="en-US" w:eastAsia="zh-CN"/>
              </w:rPr>
              <w:t>强制清算案</w:t>
            </w:r>
            <w:r>
              <w:rPr>
                <w:rFonts w:hint="eastAsia"/>
                <w:sz w:val="24"/>
                <w:szCs w:val="32"/>
              </w:rPr>
              <w:t>辅拍案例业绩，每个得1分；具有</w:t>
            </w:r>
            <w:r>
              <w:rPr>
                <w:rFonts w:hint="eastAsia"/>
                <w:sz w:val="24"/>
                <w:szCs w:val="32"/>
                <w:lang w:val="en-US" w:eastAsia="zh-CN"/>
              </w:rPr>
              <w:t>强制清算案</w:t>
            </w:r>
            <w:r>
              <w:rPr>
                <w:rFonts w:hint="eastAsia"/>
                <w:sz w:val="24"/>
                <w:szCs w:val="32"/>
              </w:rPr>
              <w:t>批量汽车、汽车加工流水线设备、股权、知识产权辅拍案例业绩，每个得2分，最高得分为10分；</w:t>
            </w:r>
          </w:p>
          <w:p>
            <w:pPr>
              <w:rPr>
                <w:sz w:val="24"/>
                <w:szCs w:val="32"/>
              </w:rPr>
            </w:pPr>
            <w:r>
              <w:rPr>
                <w:rFonts w:hint="eastAsia"/>
                <w:sz w:val="24"/>
                <w:szCs w:val="32"/>
              </w:rPr>
              <w:t>2.其他能证明其辅拍能力的辅拍案例，每个得1分，综合辅拍业绩最高得10分。</w:t>
            </w:r>
          </w:p>
        </w:tc>
        <w:tc>
          <w:tcPr>
            <w:tcW w:w="1184" w:type="dxa"/>
            <w:vAlign w:val="center"/>
          </w:tcPr>
          <w:p>
            <w:pPr>
              <w:jc w:val="center"/>
              <w:rPr>
                <w:sz w:val="24"/>
                <w:szCs w:val="32"/>
              </w:rPr>
            </w:pPr>
          </w:p>
        </w:tc>
      </w:tr>
      <w:tr>
        <w:tc>
          <w:tcPr>
            <w:tcW w:w="1101" w:type="dxa"/>
            <w:vAlign w:val="center"/>
          </w:tcPr>
          <w:p>
            <w:pPr>
              <w:jc w:val="center"/>
              <w:rPr>
                <w:sz w:val="24"/>
                <w:szCs w:val="32"/>
              </w:rPr>
            </w:pPr>
            <w:r>
              <w:rPr>
                <w:rFonts w:hint="eastAsia"/>
                <w:sz w:val="24"/>
                <w:szCs w:val="32"/>
              </w:rPr>
              <w:t>3</w:t>
            </w:r>
          </w:p>
        </w:tc>
        <w:tc>
          <w:tcPr>
            <w:tcW w:w="1275" w:type="dxa"/>
            <w:vAlign w:val="center"/>
          </w:tcPr>
          <w:p>
            <w:pPr>
              <w:jc w:val="center"/>
              <w:rPr>
                <w:sz w:val="24"/>
                <w:szCs w:val="32"/>
              </w:rPr>
            </w:pPr>
            <w:r>
              <w:rPr>
                <w:rFonts w:hint="eastAsia"/>
                <w:sz w:val="24"/>
                <w:szCs w:val="32"/>
              </w:rPr>
              <w:t>辅拍方案</w:t>
            </w:r>
          </w:p>
        </w:tc>
        <w:tc>
          <w:tcPr>
            <w:tcW w:w="993" w:type="dxa"/>
            <w:vAlign w:val="center"/>
          </w:tcPr>
          <w:p>
            <w:pPr>
              <w:jc w:val="center"/>
              <w:rPr>
                <w:sz w:val="24"/>
                <w:szCs w:val="32"/>
              </w:rPr>
            </w:pPr>
            <w:r>
              <w:rPr>
                <w:rFonts w:hint="eastAsia"/>
                <w:sz w:val="24"/>
                <w:szCs w:val="32"/>
              </w:rPr>
              <w:t>30</w:t>
            </w:r>
          </w:p>
        </w:tc>
        <w:tc>
          <w:tcPr>
            <w:tcW w:w="3969" w:type="dxa"/>
            <w:vAlign w:val="center"/>
          </w:tcPr>
          <w:p>
            <w:pPr>
              <w:rPr>
                <w:sz w:val="24"/>
                <w:szCs w:val="32"/>
              </w:rPr>
            </w:pPr>
            <w:r>
              <w:rPr>
                <w:rFonts w:hint="eastAsia"/>
                <w:sz w:val="24"/>
                <w:szCs w:val="32"/>
              </w:rPr>
              <w:t>提供的项目服务方案可行，合理性、完整性、有效性和可操作性优良的得20—30分；</w:t>
            </w:r>
          </w:p>
          <w:p>
            <w:pPr>
              <w:rPr>
                <w:sz w:val="24"/>
                <w:szCs w:val="32"/>
              </w:rPr>
            </w:pPr>
            <w:r>
              <w:rPr>
                <w:rFonts w:hint="eastAsia"/>
                <w:sz w:val="24"/>
                <w:szCs w:val="32"/>
              </w:rPr>
              <w:t>提供的项目服务方案基本可行，合理性、完整性、有效性和可操作性一般的得10-20分；</w:t>
            </w:r>
          </w:p>
          <w:p>
            <w:pPr>
              <w:rPr>
                <w:sz w:val="24"/>
                <w:szCs w:val="32"/>
              </w:rPr>
            </w:pPr>
            <w:r>
              <w:rPr>
                <w:rFonts w:hint="eastAsia"/>
                <w:sz w:val="24"/>
                <w:szCs w:val="32"/>
              </w:rPr>
              <w:t>提供的项目服务方案不可行，合理性、完整性、有效性和可操作性差的得0—10分。</w:t>
            </w:r>
          </w:p>
        </w:tc>
        <w:tc>
          <w:tcPr>
            <w:tcW w:w="1184" w:type="dxa"/>
            <w:vAlign w:val="center"/>
          </w:tcPr>
          <w:p>
            <w:pPr>
              <w:jc w:val="center"/>
              <w:rPr>
                <w:sz w:val="24"/>
                <w:szCs w:val="32"/>
              </w:rPr>
            </w:pPr>
          </w:p>
        </w:tc>
      </w:tr>
      <w:tr>
        <w:tc>
          <w:tcPr>
            <w:tcW w:w="1101" w:type="dxa"/>
            <w:vAlign w:val="center"/>
          </w:tcPr>
          <w:p>
            <w:pPr>
              <w:jc w:val="center"/>
              <w:rPr>
                <w:sz w:val="24"/>
                <w:szCs w:val="32"/>
              </w:rPr>
            </w:pPr>
            <w:r>
              <w:rPr>
                <w:rFonts w:hint="eastAsia"/>
                <w:sz w:val="24"/>
                <w:szCs w:val="32"/>
              </w:rPr>
              <w:t xml:space="preserve">4 </w:t>
            </w:r>
          </w:p>
        </w:tc>
        <w:tc>
          <w:tcPr>
            <w:tcW w:w="1275" w:type="dxa"/>
            <w:vAlign w:val="center"/>
          </w:tcPr>
          <w:p>
            <w:pPr>
              <w:jc w:val="center"/>
              <w:rPr>
                <w:sz w:val="24"/>
                <w:szCs w:val="32"/>
              </w:rPr>
            </w:pPr>
            <w:r>
              <w:rPr>
                <w:rFonts w:hint="eastAsia"/>
                <w:sz w:val="24"/>
                <w:szCs w:val="32"/>
              </w:rPr>
              <w:t>拟配备人员</w:t>
            </w:r>
          </w:p>
        </w:tc>
        <w:tc>
          <w:tcPr>
            <w:tcW w:w="993" w:type="dxa"/>
            <w:vAlign w:val="center"/>
          </w:tcPr>
          <w:p>
            <w:pPr>
              <w:jc w:val="center"/>
              <w:rPr>
                <w:sz w:val="24"/>
                <w:szCs w:val="32"/>
              </w:rPr>
            </w:pPr>
            <w:r>
              <w:rPr>
                <w:rFonts w:hint="eastAsia"/>
                <w:sz w:val="24"/>
                <w:szCs w:val="32"/>
              </w:rPr>
              <w:t>20</w:t>
            </w:r>
          </w:p>
        </w:tc>
        <w:tc>
          <w:tcPr>
            <w:tcW w:w="3969" w:type="dxa"/>
            <w:vAlign w:val="center"/>
          </w:tcPr>
          <w:p>
            <w:pPr>
              <w:jc w:val="left"/>
              <w:rPr>
                <w:sz w:val="24"/>
                <w:szCs w:val="32"/>
              </w:rPr>
            </w:pPr>
            <w:r>
              <w:rPr>
                <w:rFonts w:hint="eastAsia"/>
                <w:sz w:val="24"/>
                <w:szCs w:val="32"/>
              </w:rPr>
              <w:t>参选人是否为本项目配置固定的人员团队，以及配备人员的人数、资历、资质情况。合理10-20分；基本合理5-10分；不合理0-5分。</w:t>
            </w:r>
          </w:p>
        </w:tc>
        <w:tc>
          <w:tcPr>
            <w:tcW w:w="1184" w:type="dxa"/>
            <w:vAlign w:val="center"/>
          </w:tcPr>
          <w:p>
            <w:pPr>
              <w:jc w:val="center"/>
              <w:rPr>
                <w:sz w:val="24"/>
                <w:szCs w:val="32"/>
              </w:rPr>
            </w:pPr>
          </w:p>
        </w:tc>
      </w:tr>
      <w:tr>
        <w:trPr>
          <w:trHeight w:val="553" w:hRule="atLeast"/>
        </w:trPr>
        <w:tc>
          <w:tcPr>
            <w:tcW w:w="2376" w:type="dxa"/>
            <w:gridSpan w:val="2"/>
            <w:vAlign w:val="center"/>
          </w:tcPr>
          <w:p>
            <w:pPr>
              <w:jc w:val="center"/>
              <w:rPr>
                <w:sz w:val="24"/>
                <w:szCs w:val="32"/>
              </w:rPr>
            </w:pPr>
            <w:r>
              <w:rPr>
                <w:rFonts w:hint="eastAsia"/>
                <w:sz w:val="24"/>
                <w:szCs w:val="32"/>
              </w:rPr>
              <w:t>合计</w:t>
            </w:r>
          </w:p>
        </w:tc>
        <w:tc>
          <w:tcPr>
            <w:tcW w:w="993" w:type="dxa"/>
            <w:vAlign w:val="center"/>
          </w:tcPr>
          <w:p>
            <w:pPr>
              <w:jc w:val="center"/>
              <w:rPr>
                <w:sz w:val="24"/>
                <w:szCs w:val="32"/>
              </w:rPr>
            </w:pPr>
            <w:r>
              <w:rPr>
                <w:rFonts w:hint="eastAsia"/>
                <w:sz w:val="24"/>
                <w:szCs w:val="32"/>
              </w:rPr>
              <w:t>100</w:t>
            </w:r>
          </w:p>
        </w:tc>
        <w:tc>
          <w:tcPr>
            <w:tcW w:w="3969" w:type="dxa"/>
            <w:vAlign w:val="center"/>
          </w:tcPr>
          <w:p>
            <w:pPr>
              <w:jc w:val="center"/>
              <w:rPr>
                <w:sz w:val="24"/>
                <w:szCs w:val="32"/>
              </w:rPr>
            </w:pPr>
          </w:p>
        </w:tc>
        <w:tc>
          <w:tcPr>
            <w:tcW w:w="1184" w:type="dxa"/>
            <w:vAlign w:val="center"/>
          </w:tcPr>
          <w:p>
            <w:pPr>
              <w:jc w:val="center"/>
              <w:rPr>
                <w:sz w:val="24"/>
                <w:szCs w:val="32"/>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华文中宋">
    <w:altName w:val="汉仪书宋二KW"/>
    <w:panose1 w:val="02010600040101010101"/>
    <w:charset w:val="86"/>
    <w:family w:val="auto"/>
    <w:pitch w:val="default"/>
    <w:sig w:usb0="00000000" w:usb1="00000000" w:usb2="00000010" w:usb3="00000000" w:csb0="0004009F" w:csb1="00000000"/>
  </w:font>
  <w:font w:name="仿宋_GB2312">
    <w:altName w:val="方正仿宋_GBK"/>
    <w:panose1 w:val="02010609030101010101"/>
    <w:charset w:val="86"/>
    <w:family w:val="modern"/>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790487"/>
    <w:rsid w:val="000215D6"/>
    <w:rsid w:val="00032AC7"/>
    <w:rsid w:val="0004077A"/>
    <w:rsid w:val="0006327C"/>
    <w:rsid w:val="00157857"/>
    <w:rsid w:val="001B5FDD"/>
    <w:rsid w:val="0022762C"/>
    <w:rsid w:val="002F16E2"/>
    <w:rsid w:val="003315D6"/>
    <w:rsid w:val="00336296"/>
    <w:rsid w:val="00342F5F"/>
    <w:rsid w:val="003E35EF"/>
    <w:rsid w:val="004051DC"/>
    <w:rsid w:val="00451908"/>
    <w:rsid w:val="00462B67"/>
    <w:rsid w:val="004C370D"/>
    <w:rsid w:val="0050704F"/>
    <w:rsid w:val="00590DA7"/>
    <w:rsid w:val="00592EC9"/>
    <w:rsid w:val="00600E0E"/>
    <w:rsid w:val="00620750"/>
    <w:rsid w:val="00622850"/>
    <w:rsid w:val="0062328A"/>
    <w:rsid w:val="00650836"/>
    <w:rsid w:val="00733169"/>
    <w:rsid w:val="00796DA6"/>
    <w:rsid w:val="008105E2"/>
    <w:rsid w:val="008917A1"/>
    <w:rsid w:val="009004AA"/>
    <w:rsid w:val="009226A4"/>
    <w:rsid w:val="009F58A0"/>
    <w:rsid w:val="00A72C3B"/>
    <w:rsid w:val="00AB1EBD"/>
    <w:rsid w:val="00AB50B6"/>
    <w:rsid w:val="00AC1753"/>
    <w:rsid w:val="00AD0F2B"/>
    <w:rsid w:val="00AF6279"/>
    <w:rsid w:val="00B5798B"/>
    <w:rsid w:val="00C37114"/>
    <w:rsid w:val="00C42997"/>
    <w:rsid w:val="00C55CA5"/>
    <w:rsid w:val="00CB6CB1"/>
    <w:rsid w:val="00CE2594"/>
    <w:rsid w:val="00CF0AEC"/>
    <w:rsid w:val="00D15B0D"/>
    <w:rsid w:val="00D20E5E"/>
    <w:rsid w:val="00D571CD"/>
    <w:rsid w:val="00D8788D"/>
    <w:rsid w:val="00D8795E"/>
    <w:rsid w:val="00DD5175"/>
    <w:rsid w:val="00E86B2B"/>
    <w:rsid w:val="00EC72CF"/>
    <w:rsid w:val="00F35E33"/>
    <w:rsid w:val="00F47A5C"/>
    <w:rsid w:val="00FA2C1A"/>
    <w:rsid w:val="00FE3FDC"/>
    <w:rsid w:val="0E234189"/>
    <w:rsid w:val="13FF0FD5"/>
    <w:rsid w:val="17DD6DDE"/>
    <w:rsid w:val="1A536F12"/>
    <w:rsid w:val="2D6D12DF"/>
    <w:rsid w:val="376FAD76"/>
    <w:rsid w:val="3A790487"/>
    <w:rsid w:val="3E77E080"/>
    <w:rsid w:val="400D1948"/>
    <w:rsid w:val="569FA71F"/>
    <w:rsid w:val="5AAA331B"/>
    <w:rsid w:val="5FED7554"/>
    <w:rsid w:val="697DF44E"/>
    <w:rsid w:val="6AF99CF3"/>
    <w:rsid w:val="6BF7C6E7"/>
    <w:rsid w:val="6C0D1D63"/>
    <w:rsid w:val="729E5FFA"/>
    <w:rsid w:val="77FA67CE"/>
    <w:rsid w:val="795B8A42"/>
    <w:rsid w:val="7B972925"/>
    <w:rsid w:val="7DEEB09E"/>
    <w:rsid w:val="7DFD0581"/>
    <w:rsid w:val="7FFFC786"/>
    <w:rsid w:val="893DD080"/>
    <w:rsid w:val="93D399E9"/>
    <w:rsid w:val="BEFF3552"/>
    <w:rsid w:val="D77DB8FB"/>
    <w:rsid w:val="D9BF9780"/>
    <w:rsid w:val="DAFE0C31"/>
    <w:rsid w:val="DFFFD698"/>
    <w:rsid w:val="E2A9DDEC"/>
    <w:rsid w:val="E6FBC436"/>
    <w:rsid w:val="E9FE2C60"/>
    <w:rsid w:val="EBFF82BF"/>
    <w:rsid w:val="EFA7840A"/>
    <w:rsid w:val="EFAFA6FE"/>
    <w:rsid w:val="FB5D0479"/>
    <w:rsid w:val="FBFDDF1D"/>
    <w:rsid w:val="FCEF81D5"/>
    <w:rsid w:val="FD2B958B"/>
    <w:rsid w:val="FDFCBF80"/>
    <w:rsid w:val="FDFD8F8D"/>
    <w:rsid w:val="FEFE2D75"/>
    <w:rsid w:val="FFAFB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3"/>
    <w:next w:val="1"/>
    <w:qFormat/>
    <w:uiPriority w:val="0"/>
    <w:pPr>
      <w:keepNext/>
      <w:keepLines/>
      <w:spacing w:line="360" w:lineRule="auto"/>
    </w:pPr>
    <w:rPr>
      <w:rFonts w:eastAsia="华文中宋"/>
      <w:kern w:val="44"/>
    </w:rPr>
  </w:style>
  <w:style w:type="paragraph" w:styleId="4">
    <w:name w:val="heading 2"/>
    <w:basedOn w:val="1"/>
    <w:next w:val="1"/>
    <w:unhideWhenUsed/>
    <w:qFormat/>
    <w:uiPriority w:val="0"/>
    <w:pPr>
      <w:keepNext/>
      <w:keepLines/>
      <w:spacing w:line="480" w:lineRule="auto"/>
      <w:outlineLvl w:val="1"/>
    </w:pPr>
    <w:rPr>
      <w:rFonts w:ascii="Arial" w:hAnsi="Arial"/>
      <w:b/>
      <w:sz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Title"/>
    <w:basedOn w:val="1"/>
    <w:qFormat/>
    <w:uiPriority w:val="0"/>
    <w:pPr>
      <w:spacing w:before="240" w:after="60"/>
      <w:jc w:val="center"/>
      <w:outlineLvl w:val="0"/>
    </w:pPr>
    <w:rPr>
      <w:rFonts w:ascii="Arial" w:hAnsi="Arial"/>
      <w:b/>
      <w:sz w:val="32"/>
    </w:rPr>
  </w:style>
  <w:style w:type="paragraph" w:styleId="5">
    <w:name w:val="Body Text"/>
    <w:basedOn w:val="1"/>
    <w:qFormat/>
    <w:uiPriority w:val="1"/>
    <w:pPr>
      <w:ind w:left="700"/>
    </w:pPr>
    <w:rPr>
      <w:sz w:val="32"/>
      <w:szCs w:val="32"/>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列出段落1"/>
    <w:basedOn w:val="1"/>
    <w:qFormat/>
    <w:uiPriority w:val="1"/>
    <w:pPr>
      <w:spacing w:before="2"/>
      <w:ind w:left="700" w:firstLine="640"/>
    </w:pPr>
  </w:style>
  <w:style w:type="paragraph" w:customStyle="1" w:styleId="12">
    <w:name w:val="Table Paragraph"/>
    <w:basedOn w:val="1"/>
    <w:qFormat/>
    <w:uiPriority w:val="1"/>
  </w:style>
  <w:style w:type="character" w:customStyle="1" w:styleId="13">
    <w:name w:val="页眉 Char"/>
    <w:basedOn w:val="10"/>
    <w:link w:val="7"/>
    <w:qFormat/>
    <w:uiPriority w:val="0"/>
    <w:rPr>
      <w:rFonts w:ascii="仿宋" w:hAnsi="仿宋" w:eastAsia="仿宋" w:cs="仿宋"/>
      <w:sz w:val="18"/>
      <w:szCs w:val="18"/>
      <w:lang w:val="zh-CN" w:bidi="zh-CN"/>
    </w:rPr>
  </w:style>
  <w:style w:type="character" w:customStyle="1" w:styleId="14">
    <w:name w:val="页脚 Char"/>
    <w:basedOn w:val="10"/>
    <w:link w:val="6"/>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ht</Company>
  <Pages>8</Pages>
  <Words>3012</Words>
  <Characters>192</Characters>
  <Lines>1</Lines>
  <Paragraphs>6</Paragraphs>
  <TotalTime>11</TotalTime>
  <ScaleCrop>false</ScaleCrop>
  <LinksUpToDate>false</LinksUpToDate>
  <CharactersWithSpaces>3198</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2023-10-29T02:42:00Z</dcterms:created>
  <dc:creator>LDQ</dc:creator>
  <cp:lastModifiedBy>YTX-lawyer</cp:lastModifiedBy>
  <dcterms:modified xsi:type="dcterms:W3CDTF">2024-03-01T11:33:43Z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FA673AE688F1E0B406273A65B3B2248D_42</vt:lpwstr>
  </property>
</Properties>
</file>