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1661"/>
        </w:tabs>
        <w:spacing w:before="0" w:line="600" w:lineRule="exact"/>
        <w:ind w:left="0" w:firstLine="0"/>
        <w:jc w:val="both"/>
        <w:rPr>
          <w:sz w:val="32"/>
          <w:szCs w:val="32"/>
          <w:lang w:val="en-US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1：</w:t>
      </w:r>
    </w:p>
    <w:p>
      <w:pPr>
        <w:pStyle w:val="14"/>
        <w:tabs>
          <w:tab w:val="left" w:pos="1661"/>
        </w:tabs>
        <w:spacing w:before="0" w:line="600" w:lineRule="exact"/>
        <w:ind w:left="0" w:firstLine="0"/>
        <w:jc w:val="center"/>
        <w:rPr>
          <w:rFonts w:ascii="华文中宋" w:hAnsi="华文中宋" w:eastAsia="华文中宋" w:cs="华文中宋"/>
          <w:b/>
          <w:bCs/>
          <w:sz w:val="44"/>
          <w:szCs w:val="44"/>
          <w:lang w:val="en-US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w:t>比选须知</w:t>
      </w:r>
    </w:p>
    <w:tbl>
      <w:tblPr>
        <w:tblStyle w:val="11"/>
        <w:tblpPr w:leftFromText="180" w:rightFromText="180" w:vertAnchor="text" w:horzAnchor="page" w:tblpXSpec="center" w:tblpY="5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18"/>
        <w:gridCol w:w="5292"/>
      </w:tblGrid>
      <w:tr>
        <w:trPr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序号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ind w:left="220" w:leftChars="100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条款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内容规定</w:t>
            </w:r>
          </w:p>
        </w:tc>
      </w:tr>
      <w:tr>
        <w:trPr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lang w:val="en-US"/>
              </w:rPr>
              <w:t>1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项目情况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项目名称：</w:t>
            </w:r>
            <w:r>
              <w:rPr>
                <w:rFonts w:cs="仿宋_GB2312"/>
                <w:szCs w:val="32"/>
              </w:rPr>
              <w:t>成都同捷汽车有限公司</w:t>
            </w:r>
            <w:r>
              <w:rPr>
                <w:rFonts w:hint="eastAsia" w:cs="仿宋_GB2312"/>
                <w:szCs w:val="32"/>
                <w:lang w:val="en-US" w:eastAsia="zh-CN"/>
              </w:rPr>
              <w:t>强制</w:t>
            </w:r>
            <w:r>
              <w:rPr>
                <w:rFonts w:hint="eastAsia" w:cs="仿宋_GB2312"/>
                <w:szCs w:val="32"/>
              </w:rPr>
              <w:t>清算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案拍卖辅助工作</w:t>
            </w:r>
          </w:p>
          <w:p>
            <w:pPr>
              <w:pStyle w:val="15"/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项目地点：</w:t>
            </w:r>
            <w:r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  <w:t>成都市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（部分涉及市外，包括上海、江苏、浙江、安徽、河北等地）</w:t>
            </w:r>
          </w:p>
        </w:tc>
      </w:tr>
      <w:tr>
        <w:trPr>
          <w:trHeight w:val="399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2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hint="eastAsia"/>
                <w:b/>
                <w:w w:val="105"/>
                <w:lang w:val="en-US"/>
              </w:rPr>
            </w:pPr>
            <w:r>
              <w:rPr>
                <w:rFonts w:hint="eastAsia"/>
                <w:b/>
                <w:w w:val="105"/>
              </w:rPr>
              <w:t>服务范围及内容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调查标的物现状，勘察勘验标的物，查明标的物现状及瑕疵情况，交易过户流程、条件、税费等情况，负责记录、资料收集、档案整理等事务性工作；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拍摄照片、视频、 VR 视频，制作标的物文字介绍、标的物展示及推介等工作；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制作强制清算拍卖公告、竞买须知等需上传破产资产拍卖平台的文件和资料，并对制作的文件、资料的真实、合法及有效性负责。如因相关文件、资料披露不充分、不完全或披露错误等产生的责任及纠纷，由辅拍机构承担由此产生的责任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对需拍卖的资产进行公开宣传，通过网站、微信、微博等方式发布资产的拍卖相关信息，或者通过其他方式扩大资产拍卖宣传范围；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根据资产特点向潜在竞买人推荐拍卖信息；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接受咨询(电话、现场等咨询),宣传网络司法拍卖有关法律、司法解释的规定，辅导竞买人参与竞拍，引领看样等；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协助清算组、买受人办理清场、搬运、破锁等；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督促缴纳拍卖款，辅助办理过户、交付；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清算组委托的其他辅助拍卖工作，直至拟处置资产全部拍卖并完成交付、过户工作；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拍卖成交后，辅助拍卖机构向买受人收取服务费用，清算组不承担拍卖相关的任何费用。资产通过以物抵债或其他非现金方式处置的，辅助拍卖机构承诺不收取任何费用；</w:t>
            </w:r>
          </w:p>
          <w:p>
            <w:pPr>
              <w:pStyle w:val="15"/>
              <w:keepNext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按照清算组财产变价方案及清算组要求开展其他拍卖辅助工作。</w:t>
            </w:r>
          </w:p>
        </w:tc>
      </w:tr>
      <w:tr>
        <w:trPr>
          <w:trHeight w:val="790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3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hint="eastAsia"/>
                <w:b/>
                <w:w w:val="105"/>
                <w:lang w:val="en-US"/>
              </w:rPr>
            </w:pPr>
            <w:r>
              <w:rPr>
                <w:rFonts w:hint="eastAsia"/>
                <w:b/>
                <w:w w:val="105"/>
              </w:rPr>
              <w:t>比选保证金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w w:val="99"/>
              </w:rPr>
              <w:t>无</w:t>
            </w:r>
          </w:p>
        </w:tc>
      </w:tr>
      <w:tr>
        <w:trPr>
          <w:trHeight w:val="728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4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hint="eastAsia"/>
                <w:b/>
                <w:w w:val="105"/>
                <w:lang w:val="en-US"/>
              </w:rPr>
            </w:pPr>
            <w:r>
              <w:rPr>
                <w:rFonts w:hint="eastAsia"/>
                <w:b/>
                <w:w w:val="105"/>
              </w:rPr>
              <w:t>最高限价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报价</w:t>
            </w:r>
            <w:r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  <w:t>不得高于按照司法委托方式产生的费用和成本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。</w:t>
            </w:r>
          </w:p>
        </w:tc>
      </w:tr>
      <w:tr>
        <w:trPr>
          <w:trHeight w:val="1990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5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比选答疑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ind w:left="220" w:leftChars="100"/>
              <w:jc w:val="left"/>
              <w:rPr>
                <w:rFonts w:asciiTheme="majorEastAsia" w:hAnsi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</w:rPr>
              <w:t>参选人应在比选截止日前</w:t>
            </w:r>
            <w:r>
              <w:rPr>
                <w:rFonts w:hint="eastAsia"/>
                <w:lang w:val="en-US"/>
              </w:rPr>
              <w:t>2</w:t>
            </w:r>
            <w:bookmarkStart w:id="0" w:name="_GoBack"/>
            <w:bookmarkEnd w:id="0"/>
            <w:r>
              <w:rPr>
                <w:rFonts w:hint="eastAsia"/>
                <w:lang w:val="en-US"/>
              </w:rPr>
              <w:t>日内</w:t>
            </w:r>
            <w:r>
              <w:rPr>
                <w:rFonts w:hint="eastAsia"/>
              </w:rPr>
              <w:t>，以邮件（须加盖公章</w:t>
            </w:r>
            <w:r>
              <w:rPr>
                <w:rFonts w:hint="eastAsia"/>
                <w:spacing w:val="-75"/>
              </w:rPr>
              <w:t>）</w:t>
            </w:r>
            <w:r>
              <w:rPr>
                <w:rFonts w:hint="eastAsia"/>
              </w:rPr>
              <w:t>向比选人提出需要答疑的问题。</w:t>
            </w:r>
          </w:p>
        </w:tc>
      </w:tr>
      <w:tr>
        <w:trPr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6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比选有效期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ind w:left="220" w:leftChars="100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t>比选申请文件递交后60日</w:t>
            </w:r>
          </w:p>
        </w:tc>
      </w:tr>
      <w:tr>
        <w:trPr>
          <w:trHeight w:val="374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7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b/>
                <w:w w:val="105"/>
              </w:rPr>
            </w:pPr>
            <w:r>
              <w:rPr>
                <w:rFonts w:hint="eastAsia"/>
                <w:b/>
                <w:w w:val="105"/>
              </w:rPr>
              <w:t>比选申请文件</w:t>
            </w:r>
          </w:p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5"/>
              </w:rPr>
              <w:t>份数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一式两份，正本一份、副本一份</w:t>
            </w:r>
          </w:p>
        </w:tc>
      </w:tr>
      <w:tr>
        <w:trPr>
          <w:trHeight w:val="727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w w:val="102"/>
              </w:rPr>
              <w:t>8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</w:rPr>
              <w:t>比选申请文件递交时间及地点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spacing w:line="60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eastAsia"/>
              </w:rPr>
              <w:t>见比选公告</w:t>
            </w:r>
          </w:p>
        </w:tc>
      </w:tr>
      <w:tr>
        <w:trPr>
          <w:trHeight w:val="803" w:hRule="atLeast"/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比选时间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</w:pPr>
            <w:r>
              <w:rPr>
                <w:rFonts w:hint="eastAsia"/>
              </w:rPr>
              <w:t>见比选公告</w:t>
            </w:r>
          </w:p>
        </w:tc>
      </w:tr>
      <w:tr>
        <w:trPr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评选方法及</w:t>
            </w:r>
          </w:p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</w:pPr>
            <w:r>
              <w:rPr>
                <w:rFonts w:hint="eastAsia"/>
              </w:rPr>
              <w:t>综合评选法（见比选文件），总分：满分10</w:t>
            </w:r>
            <w:r>
              <w:rPr>
                <w:rFonts w:hint="eastAsia"/>
                <w:lang w:val="en-US"/>
              </w:rPr>
              <w:t>0</w:t>
            </w:r>
            <w:r>
              <w:rPr>
                <w:rFonts w:hint="eastAsia"/>
              </w:rPr>
              <w:t>分</w:t>
            </w:r>
          </w:p>
        </w:tc>
      </w:tr>
      <w:tr>
        <w:trPr>
          <w:jc w:val="center"/>
        </w:trPr>
        <w:tc>
          <w:tcPr>
            <w:tcW w:w="906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2318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其他约定</w:t>
            </w:r>
          </w:p>
        </w:tc>
        <w:tc>
          <w:tcPr>
            <w:tcW w:w="5292" w:type="dxa"/>
            <w:vAlign w:val="center"/>
          </w:tcPr>
          <w:p>
            <w:pPr>
              <w:pStyle w:val="15"/>
              <w:keepLines/>
              <w:widowControl/>
              <w:spacing w:line="600" w:lineRule="exact"/>
              <w:jc w:val="left"/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如辅拍机构存在不当行为（包括但不限于逾期完成工作任务、拒不整改、虽整改后仍不符合要求、违反保密义务、违反职业准则等）， 法院、清算组有权终止其服务合同，重新更换辅拍机构，因更换机构而产生的费用和损失由原辅拍机构承担。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EABBC"/>
    <w:multiLevelType w:val="singleLevel"/>
    <w:tmpl w:val="DE6EAB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90487"/>
    <w:rsid w:val="00002FAC"/>
    <w:rsid w:val="0009177A"/>
    <w:rsid w:val="001736C1"/>
    <w:rsid w:val="001C0A26"/>
    <w:rsid w:val="001C43A7"/>
    <w:rsid w:val="00217A82"/>
    <w:rsid w:val="002270F0"/>
    <w:rsid w:val="002655D6"/>
    <w:rsid w:val="00265A77"/>
    <w:rsid w:val="005362FC"/>
    <w:rsid w:val="00596FC4"/>
    <w:rsid w:val="00610A42"/>
    <w:rsid w:val="006F1344"/>
    <w:rsid w:val="00721E64"/>
    <w:rsid w:val="007B22F3"/>
    <w:rsid w:val="007C3C9E"/>
    <w:rsid w:val="00801ECA"/>
    <w:rsid w:val="00825A9D"/>
    <w:rsid w:val="00861ECA"/>
    <w:rsid w:val="00A642A0"/>
    <w:rsid w:val="00AE3588"/>
    <w:rsid w:val="00DA1CBE"/>
    <w:rsid w:val="00DD47F1"/>
    <w:rsid w:val="00E15588"/>
    <w:rsid w:val="00F21172"/>
    <w:rsid w:val="00F26FE5"/>
    <w:rsid w:val="0E234189"/>
    <w:rsid w:val="11A20CA3"/>
    <w:rsid w:val="13FF0FD5"/>
    <w:rsid w:val="1A536F12"/>
    <w:rsid w:val="3A790487"/>
    <w:rsid w:val="3EB9BF34"/>
    <w:rsid w:val="3F6649D8"/>
    <w:rsid w:val="4B7643B8"/>
    <w:rsid w:val="6C0D1D63"/>
    <w:rsid w:val="7114540B"/>
    <w:rsid w:val="77BD471E"/>
    <w:rsid w:val="7CF2A31E"/>
    <w:rsid w:val="7D8E734E"/>
    <w:rsid w:val="7F3F03D6"/>
    <w:rsid w:val="7FFC08BC"/>
    <w:rsid w:val="DE6F4E88"/>
    <w:rsid w:val="DFBD076A"/>
    <w:rsid w:val="E63CBC61"/>
    <w:rsid w:val="E7FD2A69"/>
    <w:rsid w:val="EB4F0F0A"/>
    <w:rsid w:val="EFDD8EB3"/>
    <w:rsid w:val="F3FB8AD6"/>
    <w:rsid w:val="F76B634F"/>
    <w:rsid w:val="FB6F94BB"/>
    <w:rsid w:val="FFACA3E3"/>
    <w:rsid w:val="FFD7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spacing w:line="360" w:lineRule="auto"/>
    </w:pPr>
    <w:rPr>
      <w:rFonts w:eastAsia="华文中宋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480" w:lineRule="auto"/>
      <w:outlineLvl w:val="1"/>
    </w:pPr>
    <w:rPr>
      <w:rFonts w:ascii="Arial" w:hAnsi="Arial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qFormat/>
    <w:uiPriority w:val="1"/>
    <w:pPr>
      <w:ind w:left="700"/>
    </w:pPr>
    <w:rPr>
      <w:sz w:val="32"/>
      <w:szCs w:val="32"/>
    </w:rPr>
  </w:style>
  <w:style w:type="paragraph" w:styleId="7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列出段落1"/>
    <w:basedOn w:val="1"/>
    <w:qFormat/>
    <w:uiPriority w:val="1"/>
    <w:pPr>
      <w:spacing w:before="2"/>
      <w:ind w:left="700" w:firstLine="640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眉 Char"/>
    <w:basedOn w:val="12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7">
    <w:name w:val="页脚 Char"/>
    <w:basedOn w:val="12"/>
    <w:link w:val="8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8">
    <w:name w:val="批注框文本 Char"/>
    <w:basedOn w:val="12"/>
    <w:link w:val="7"/>
    <w:semiHidden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</Company>
  <Pages>2</Pages>
  <Words>388</Words>
  <Characters>65</Characters>
  <Lines>1</Lines>
  <Paragraphs>1</Paragraphs>
  <TotalTime>20</TotalTime>
  <ScaleCrop>false</ScaleCrop>
  <LinksUpToDate>false</LinksUpToDate>
  <CharactersWithSpaces>452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2023-10-29T10:42:00Z</dcterms:created>
  <dc:creator>LDQ</dc:creator>
  <cp:lastModifiedBy>YTX-lawyer</cp:lastModifiedBy>
  <dcterms:modified xsi:type="dcterms:W3CDTF">2024-03-01T14:28:48Z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4B7A5F75E4167FC614ED39651BD1A258_42</vt:lpwstr>
  </property>
</Properties>
</file>