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105" w:rightChars="50"/>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关于成都佳享食品有限公司破产清算案</w:t>
      </w:r>
    </w:p>
    <w:p>
      <w:pPr>
        <w:keepNext w:val="0"/>
        <w:keepLines w:val="0"/>
        <w:pageBreakBefore w:val="0"/>
        <w:widowControl w:val="0"/>
        <w:kinsoku/>
        <w:wordWrap/>
        <w:overflowPunct/>
        <w:topLinePunct w:val="0"/>
        <w:autoSpaceDE/>
        <w:autoSpaceDN/>
        <w:bidi w:val="0"/>
        <w:adjustRightInd/>
        <w:snapToGrid/>
        <w:ind w:right="105" w:rightChars="50"/>
        <w:jc w:val="center"/>
        <w:textAlignment w:val="auto"/>
        <w:rPr>
          <w:rFonts w:hint="eastAsia" w:ascii="仿宋" w:hAnsi="仿宋" w:eastAsia="仿宋" w:cs="仿宋"/>
          <w:sz w:val="28"/>
          <w:szCs w:val="28"/>
        </w:rPr>
      </w:pPr>
      <w:r>
        <w:rPr>
          <w:rFonts w:hint="eastAsia" w:ascii="仿宋" w:hAnsi="仿宋" w:eastAsia="仿宋" w:cs="仿宋"/>
          <w:b/>
          <w:bCs/>
          <w:sz w:val="36"/>
          <w:szCs w:val="36"/>
          <w:lang w:val="en-US" w:eastAsia="zh-Hans"/>
        </w:rPr>
        <w:t>比选</w:t>
      </w:r>
      <w:r>
        <w:rPr>
          <w:rFonts w:hint="eastAsia" w:ascii="仿宋" w:hAnsi="仿宋" w:eastAsia="仿宋" w:cs="仿宋"/>
          <w:b/>
          <w:bCs/>
          <w:sz w:val="36"/>
          <w:szCs w:val="36"/>
          <w:lang w:val="en-US" w:eastAsia="zh-CN"/>
        </w:rPr>
        <w:t>评估机构的公告</w:t>
      </w:r>
    </w:p>
    <w:p>
      <w:pPr>
        <w:ind w:firstLine="560" w:firstLineChars="200"/>
        <w:rPr>
          <w:rFonts w:hint="eastAsia" w:ascii="仿宋" w:hAnsi="仿宋" w:eastAsia="仿宋" w:cs="仿宋"/>
          <w:sz w:val="28"/>
          <w:szCs w:val="28"/>
          <w:lang w:val="en-US" w:eastAsia="zh-CN"/>
        </w:rPr>
      </w:pPr>
      <w:r>
        <w:rPr>
          <w:rFonts w:hint="default" w:ascii="仿宋" w:hAnsi="仿宋" w:eastAsia="仿宋" w:cs="仿宋"/>
          <w:sz w:val="28"/>
          <w:szCs w:val="28"/>
          <w:lang w:val="en-US" w:eastAsia="zh-Hans"/>
        </w:rPr>
        <w:t>四川省蒲江县人民法院已裁定受理成都佳享食品有限公司破产清算一案，并通过（2024）川0131破1号《决定书》指定上海段和段（成都）律师事务所、四川衡立泰会计师事务所有限公司担任成都佳享食品有限公司</w:t>
      </w:r>
      <w:r>
        <w:rPr>
          <w:rFonts w:hint="eastAsia" w:ascii="仿宋" w:hAnsi="仿宋" w:eastAsia="仿宋" w:cs="仿宋"/>
          <w:sz w:val="28"/>
          <w:szCs w:val="28"/>
          <w:lang w:val="en-US" w:eastAsia="zh-CN"/>
        </w:rPr>
        <w:t>（以下简称“</w:t>
      </w:r>
      <w:r>
        <w:rPr>
          <w:rFonts w:hint="default" w:ascii="仿宋" w:hAnsi="仿宋" w:eastAsia="仿宋" w:cs="仿宋"/>
          <w:sz w:val="28"/>
          <w:szCs w:val="28"/>
          <w:lang w:val="en-US" w:eastAsia="zh-Hans"/>
        </w:rPr>
        <w:t>佳享</w:t>
      </w:r>
      <w:r>
        <w:rPr>
          <w:rFonts w:hint="eastAsia" w:ascii="仿宋" w:hAnsi="仿宋" w:eastAsia="仿宋" w:cs="仿宋"/>
          <w:sz w:val="28"/>
          <w:szCs w:val="28"/>
          <w:lang w:val="en-US" w:eastAsia="zh-CN"/>
        </w:rPr>
        <w:t>公司”）</w:t>
      </w:r>
      <w:r>
        <w:rPr>
          <w:rFonts w:hint="default" w:ascii="仿宋" w:hAnsi="仿宋" w:eastAsia="仿宋" w:cs="仿宋"/>
          <w:sz w:val="28"/>
          <w:szCs w:val="28"/>
          <w:lang w:val="en-US" w:eastAsia="zh-Hans"/>
        </w:rPr>
        <w:t>管理人</w:t>
      </w:r>
      <w:r>
        <w:rPr>
          <w:rFonts w:hint="eastAsia" w:ascii="仿宋" w:hAnsi="仿宋" w:eastAsia="仿宋" w:cs="仿宋"/>
          <w:sz w:val="28"/>
          <w:szCs w:val="28"/>
          <w:lang w:val="en-US"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为充分掌握佳享公司的资产状况，做好该企业的</w:t>
      </w:r>
      <w:r>
        <w:rPr>
          <w:rFonts w:hint="eastAsia" w:ascii="仿宋" w:hAnsi="仿宋" w:eastAsia="仿宋" w:cs="仿宋"/>
          <w:sz w:val="28"/>
          <w:szCs w:val="28"/>
          <w:lang w:val="en-US" w:eastAsia="zh-Hans"/>
        </w:rPr>
        <w:t>破产清算</w:t>
      </w:r>
      <w:r>
        <w:rPr>
          <w:rFonts w:hint="eastAsia" w:ascii="仿宋" w:hAnsi="仿宋" w:eastAsia="仿宋" w:cs="仿宋"/>
          <w:sz w:val="28"/>
          <w:szCs w:val="28"/>
          <w:lang w:val="en-US" w:eastAsia="zh-CN"/>
        </w:rPr>
        <w:t>工作，根据《中华人民共和国企业破产法》第二十八条第一款及《四川省高级人民法院关于审理破产案件若干问题的解答》第二部分管理人之第一条的规定，管理人决定通过公开比选的方式，</w:t>
      </w:r>
      <w:r>
        <w:rPr>
          <w:rFonts w:hint="default" w:ascii="仿宋" w:hAnsi="仿宋" w:eastAsia="仿宋" w:cs="仿宋"/>
          <w:sz w:val="28"/>
          <w:szCs w:val="28"/>
          <w:lang w:eastAsia="zh-CN"/>
        </w:rPr>
        <w:t>比选</w:t>
      </w:r>
      <w:r>
        <w:rPr>
          <w:rFonts w:hint="eastAsia" w:ascii="仿宋" w:hAnsi="仿宋" w:eastAsia="仿宋" w:cs="仿宋"/>
          <w:sz w:val="28"/>
          <w:szCs w:val="28"/>
          <w:lang w:val="en-US" w:eastAsia="zh-CN"/>
        </w:rPr>
        <w:t>第三方专业中介机构对</w:t>
      </w:r>
      <w:r>
        <w:rPr>
          <w:rFonts w:hint="eastAsia" w:ascii="仿宋" w:hAnsi="仿宋" w:eastAsia="仿宋" w:cs="仿宋"/>
          <w:sz w:val="28"/>
          <w:szCs w:val="28"/>
          <w:lang w:eastAsia="zh-CN"/>
        </w:rPr>
        <w:t>佳享公司</w:t>
      </w:r>
      <w:r>
        <w:rPr>
          <w:rFonts w:hint="eastAsia" w:ascii="仿宋" w:hAnsi="仿宋" w:eastAsia="仿宋" w:cs="仿宋"/>
          <w:sz w:val="28"/>
          <w:szCs w:val="28"/>
          <w:lang w:val="en-US" w:eastAsia="zh-CN"/>
        </w:rPr>
        <w:t>资产进行评估，现将</w:t>
      </w:r>
      <w:r>
        <w:rPr>
          <w:rFonts w:hint="default" w:ascii="仿宋" w:hAnsi="仿宋" w:eastAsia="仿宋" w:cs="仿宋"/>
          <w:sz w:val="28"/>
          <w:szCs w:val="28"/>
          <w:lang w:eastAsia="zh-CN"/>
        </w:rPr>
        <w:t>比选</w:t>
      </w:r>
      <w:r>
        <w:rPr>
          <w:rFonts w:hint="eastAsia" w:ascii="仿宋" w:hAnsi="仿宋" w:eastAsia="仿宋" w:cs="仿宋"/>
          <w:sz w:val="28"/>
          <w:szCs w:val="28"/>
          <w:lang w:val="en-US" w:eastAsia="zh-CN"/>
        </w:rPr>
        <w:t>细则公告如下：</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 w:hAnsi="仿宋" w:eastAsia="仿宋" w:cs="仿宋"/>
          <w:b/>
          <w:sz w:val="28"/>
          <w:szCs w:val="28"/>
          <w:highlight w:val="none"/>
          <w:shd w:val="clear" w:color="auto" w:fill="FFFFFF"/>
        </w:rPr>
      </w:pPr>
      <w:r>
        <w:rPr>
          <w:rFonts w:hint="eastAsia" w:ascii="方正仿宋_GB2312" w:hAnsi="方正仿宋_GB2312" w:eastAsia="方正仿宋_GB2312" w:cs="方正仿宋_GB2312"/>
          <w:color w:val="auto"/>
          <w:sz w:val="28"/>
          <w:szCs w:val="28"/>
          <w:lang w:val="en-US" w:eastAsia="zh-CN"/>
        </w:rPr>
        <w:t>一、</w:t>
      </w:r>
      <w:r>
        <w:rPr>
          <w:rFonts w:hint="eastAsia" w:ascii="仿宋" w:hAnsi="仿宋" w:eastAsia="仿宋" w:cs="仿宋"/>
          <w:b/>
          <w:sz w:val="28"/>
          <w:szCs w:val="28"/>
          <w:highlight w:val="none"/>
          <w:shd w:val="clear" w:color="auto" w:fill="FFFFFF"/>
        </w:rPr>
        <w:t>债务人企业基本情况</w:t>
      </w:r>
    </w:p>
    <w:p>
      <w:pPr>
        <w:ind w:firstLine="560" w:firstLineChars="200"/>
        <w:rPr>
          <w:rFonts w:hint="eastAsia" w:ascii="仿宋" w:hAnsi="仿宋" w:eastAsia="仿宋" w:cs="仿宋"/>
          <w:sz w:val="28"/>
          <w:szCs w:val="28"/>
          <w:lang w:val="en-US" w:eastAsia="zh-CN"/>
        </w:rPr>
      </w:pPr>
      <w:bookmarkStart w:id="0" w:name="_Toc25618"/>
      <w:bookmarkStart w:id="1" w:name="_Toc4010665"/>
      <w:r>
        <w:rPr>
          <w:rFonts w:hint="eastAsia" w:ascii="仿宋" w:hAnsi="仿宋" w:eastAsia="仿宋" w:cs="仿宋"/>
          <w:sz w:val="28"/>
          <w:szCs w:val="28"/>
          <w:lang w:eastAsia="zh-CN"/>
        </w:rPr>
        <w:t>佳享公司</w:t>
      </w:r>
      <w:r>
        <w:rPr>
          <w:rFonts w:hint="eastAsia" w:ascii="仿宋" w:hAnsi="仿宋" w:eastAsia="仿宋" w:cs="仿宋"/>
          <w:sz w:val="28"/>
          <w:szCs w:val="28"/>
          <w:lang w:val="en-US" w:eastAsia="zh-Hans"/>
        </w:rPr>
        <w:t>成立于20</w:t>
      </w:r>
      <w:r>
        <w:rPr>
          <w:rFonts w:hint="default" w:ascii="仿宋" w:hAnsi="仿宋" w:eastAsia="仿宋" w:cs="仿宋"/>
          <w:sz w:val="28"/>
          <w:szCs w:val="28"/>
          <w:lang w:eastAsia="zh-Hans"/>
        </w:rPr>
        <w:t>0</w:t>
      </w:r>
      <w:r>
        <w:rPr>
          <w:rFonts w:hint="eastAsia" w:ascii="仿宋" w:hAnsi="仿宋" w:eastAsia="仿宋" w:cs="仿宋"/>
          <w:sz w:val="28"/>
          <w:szCs w:val="28"/>
          <w:lang w:val="en-US" w:eastAsia="zh-CN"/>
        </w:rPr>
        <w:t>0</w:t>
      </w:r>
      <w:r>
        <w:rPr>
          <w:rFonts w:hint="eastAsia" w:ascii="仿宋" w:hAnsi="仿宋" w:eastAsia="仿宋" w:cs="仿宋"/>
          <w:sz w:val="28"/>
          <w:szCs w:val="28"/>
          <w:lang w:val="en-US" w:eastAsia="zh-Hans"/>
        </w:rPr>
        <w:t>年</w:t>
      </w:r>
      <w:r>
        <w:rPr>
          <w:rFonts w:hint="default" w:ascii="仿宋" w:hAnsi="仿宋" w:eastAsia="仿宋" w:cs="仿宋"/>
          <w:sz w:val="28"/>
          <w:szCs w:val="28"/>
          <w:lang w:eastAsia="zh-Hans"/>
        </w:rPr>
        <w:t>1</w:t>
      </w:r>
      <w:r>
        <w:rPr>
          <w:rFonts w:hint="eastAsia" w:ascii="仿宋" w:hAnsi="仿宋" w:eastAsia="仿宋" w:cs="仿宋"/>
          <w:sz w:val="28"/>
          <w:szCs w:val="28"/>
          <w:lang w:val="en-US" w:eastAsia="zh-CN"/>
        </w:rPr>
        <w:t>0</w:t>
      </w:r>
      <w:r>
        <w:rPr>
          <w:rFonts w:hint="eastAsia" w:ascii="仿宋" w:hAnsi="仿宋" w:eastAsia="仿宋" w:cs="仿宋"/>
          <w:sz w:val="28"/>
          <w:szCs w:val="28"/>
          <w:lang w:val="en-US" w:eastAsia="zh-Hans"/>
        </w:rPr>
        <w:t>月</w:t>
      </w:r>
      <w:r>
        <w:rPr>
          <w:rFonts w:hint="default" w:ascii="仿宋" w:hAnsi="仿宋" w:eastAsia="仿宋" w:cs="仿宋"/>
          <w:sz w:val="28"/>
          <w:szCs w:val="28"/>
          <w:lang w:eastAsia="zh-Hans"/>
        </w:rPr>
        <w:t>2</w:t>
      </w:r>
      <w:r>
        <w:rPr>
          <w:rFonts w:hint="eastAsia" w:ascii="仿宋" w:hAnsi="仿宋" w:eastAsia="仿宋" w:cs="仿宋"/>
          <w:sz w:val="28"/>
          <w:szCs w:val="28"/>
          <w:lang w:val="en-US" w:eastAsia="zh-CN"/>
        </w:rPr>
        <w:t>0</w:t>
      </w:r>
      <w:r>
        <w:rPr>
          <w:rFonts w:hint="eastAsia" w:ascii="仿宋" w:hAnsi="仿宋" w:eastAsia="仿宋" w:cs="仿宋"/>
          <w:sz w:val="28"/>
          <w:szCs w:val="28"/>
          <w:lang w:val="en-US" w:eastAsia="zh-Hans"/>
        </w:rPr>
        <w:t>日</w:t>
      </w:r>
      <w:r>
        <w:rPr>
          <w:rFonts w:hint="eastAsia" w:ascii="仿宋" w:hAnsi="仿宋" w:eastAsia="仿宋" w:cs="仿宋"/>
          <w:sz w:val="28"/>
          <w:szCs w:val="28"/>
          <w:lang w:val="en-US" w:eastAsia="zh-CN"/>
        </w:rPr>
        <w:t>。统一社会信用代码：91510131723446321C；公司类型：</w:t>
      </w:r>
      <w:r>
        <w:rPr>
          <w:rFonts w:hint="eastAsia" w:ascii="仿宋" w:hAnsi="仿宋" w:eastAsia="仿宋" w:cs="仿宋"/>
          <w:sz w:val="28"/>
          <w:szCs w:val="28"/>
          <w:lang w:val="en-US" w:eastAsia="zh-Hans"/>
        </w:rPr>
        <w:t>有限责任公司（自然人投资或控股）</w:t>
      </w:r>
      <w:r>
        <w:rPr>
          <w:rFonts w:hint="eastAsia" w:ascii="仿宋" w:hAnsi="仿宋" w:eastAsia="仿宋" w:cs="仿宋"/>
          <w:sz w:val="28"/>
          <w:szCs w:val="28"/>
          <w:lang w:val="en-US" w:eastAsia="zh-CN"/>
        </w:rPr>
        <w:t>；住所：成都市蒲江县寿安镇迎宾大道774号。法定代表人：</w:t>
      </w:r>
      <w:r>
        <w:rPr>
          <w:rFonts w:hint="eastAsia" w:ascii="仿宋" w:hAnsi="仿宋" w:eastAsia="仿宋" w:cs="仿宋"/>
          <w:sz w:val="28"/>
          <w:szCs w:val="28"/>
          <w:lang w:val="en-US" w:eastAsia="zh-Hans"/>
        </w:rPr>
        <w:t>马照林</w:t>
      </w:r>
      <w:r>
        <w:rPr>
          <w:rFonts w:hint="eastAsia" w:ascii="仿宋" w:hAnsi="仿宋" w:eastAsia="仿宋" w:cs="仿宋"/>
          <w:sz w:val="28"/>
          <w:szCs w:val="28"/>
          <w:lang w:val="en-US" w:eastAsia="zh-CN"/>
        </w:rPr>
        <w:t>陈文君。注册资本为5000万元人民币。经营范围：</w:t>
      </w:r>
      <w:bookmarkEnd w:id="0"/>
      <w:bookmarkEnd w:id="1"/>
      <w:r>
        <w:rPr>
          <w:rFonts w:hint="eastAsia" w:ascii="仿宋" w:hAnsi="仿宋" w:eastAsia="仿宋" w:cs="仿宋"/>
          <w:sz w:val="28"/>
          <w:szCs w:val="28"/>
          <w:lang w:val="en-US" w:eastAsia="zh-CN"/>
        </w:rPr>
        <w:t>肉制品加工；速冻食品加工；罐头食品加工；方便食品、调味品、生猪产品加工及销售；水产品、农副产品、预包装食品批发及零售；货物专用运输（冷藏、保鲜）、普通货运；生猪屠宰；鸭屠宰；畜禽加工及销售；肉制品冷藏服务；货物进出口、技术进出口。（法律、行政法规禁止的项目除外，法律、行政法规限制的项目取得许可后方可经营）。（依法须经批准的项目，经相关部门批准后方可展开经营活动）。</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2" w:firstLineChars="200"/>
        <w:textAlignment w:val="auto"/>
        <w:rPr>
          <w:rFonts w:hint="eastAsia" w:ascii="仿宋" w:hAnsi="仿宋" w:eastAsia="仿宋" w:cs="仿宋"/>
          <w:b/>
          <w:sz w:val="28"/>
          <w:szCs w:val="28"/>
          <w:highlight w:val="none"/>
          <w:shd w:val="clear" w:color="auto" w:fill="FFFFFF"/>
          <w:lang w:val="en-US" w:eastAsia="zh-CN"/>
        </w:rPr>
      </w:pPr>
      <w:r>
        <w:rPr>
          <w:rFonts w:hint="eastAsia" w:ascii="仿宋" w:hAnsi="仿宋" w:eastAsia="仿宋" w:cs="仿宋"/>
          <w:b/>
          <w:sz w:val="28"/>
          <w:szCs w:val="28"/>
          <w:highlight w:val="none"/>
          <w:shd w:val="clear" w:color="auto" w:fill="FFFFFF"/>
        </w:rPr>
        <w:t>二、报名条件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（一）评估机构应取得资产评估有效资质证明文件。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（二）评估机构已入选《四川法院对外委托专业机构》或成都市中级人民法院专业机构备选库且目前正常执业。</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（三）满足管理人对项目完成的时间、质量要求:</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1.评估报告应在机构中选进场后30天内出具。</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3.破产清算评估机构服务内容：</w:t>
      </w:r>
    </w:p>
    <w:p>
      <w:pPr>
        <w:ind w:firstLine="560" w:firstLineChars="200"/>
        <w:rPr>
          <w:rFonts w:hint="default" w:ascii="仿宋" w:hAnsi="仿宋" w:eastAsia="仿宋" w:cs="仿宋"/>
          <w:sz w:val="28"/>
          <w:szCs w:val="28"/>
          <w:lang w:eastAsia="zh-CN"/>
        </w:rPr>
      </w:pPr>
      <w:r>
        <w:rPr>
          <w:rFonts w:hint="eastAsia" w:ascii="仿宋" w:hAnsi="仿宋" w:eastAsia="仿宋" w:cs="仿宋"/>
          <w:sz w:val="28"/>
          <w:szCs w:val="28"/>
          <w:lang w:val="en-US" w:eastAsia="zh-CN"/>
        </w:rPr>
        <w:t>（1）对</w:t>
      </w:r>
      <w:r>
        <w:rPr>
          <w:rFonts w:hint="eastAsia" w:ascii="仿宋" w:hAnsi="仿宋" w:eastAsia="仿宋" w:cs="仿宋"/>
          <w:sz w:val="28"/>
          <w:szCs w:val="28"/>
          <w:lang w:eastAsia="zh-CN"/>
        </w:rPr>
        <w:t>佳享公司</w:t>
      </w:r>
      <w:r>
        <w:rPr>
          <w:rFonts w:hint="eastAsia" w:ascii="仿宋" w:hAnsi="仿宋" w:eastAsia="仿宋" w:cs="仿宋"/>
          <w:sz w:val="28"/>
          <w:szCs w:val="28"/>
          <w:lang w:val="en-US" w:eastAsia="zh-CN"/>
        </w:rPr>
        <w:t>截止人民法院决定对</w:t>
      </w:r>
      <w:r>
        <w:rPr>
          <w:rFonts w:hint="eastAsia" w:ascii="仿宋" w:hAnsi="仿宋" w:eastAsia="仿宋" w:cs="仿宋"/>
          <w:sz w:val="28"/>
          <w:szCs w:val="28"/>
          <w:lang w:eastAsia="zh-CN"/>
        </w:rPr>
        <w:t>佳享公司</w:t>
      </w:r>
      <w:r>
        <w:rPr>
          <w:rFonts w:hint="eastAsia" w:ascii="仿宋" w:hAnsi="仿宋" w:eastAsia="仿宋" w:cs="仿宋"/>
          <w:sz w:val="28"/>
          <w:szCs w:val="28"/>
          <w:lang w:val="en-US" w:eastAsia="zh-CN"/>
        </w:rPr>
        <w:t>进行</w:t>
      </w:r>
      <w:r>
        <w:rPr>
          <w:rFonts w:hint="eastAsia" w:ascii="仿宋" w:hAnsi="仿宋" w:eastAsia="仿宋" w:cs="仿宋"/>
          <w:sz w:val="28"/>
          <w:szCs w:val="28"/>
          <w:lang w:val="en-US" w:eastAsia="zh-Hans"/>
        </w:rPr>
        <w:t>破产清算</w:t>
      </w:r>
      <w:r>
        <w:rPr>
          <w:rFonts w:hint="eastAsia" w:ascii="仿宋" w:hAnsi="仿宋" w:eastAsia="仿宋" w:cs="仿宋"/>
          <w:sz w:val="28"/>
          <w:szCs w:val="28"/>
          <w:lang w:val="en-US" w:eastAsia="zh-CN"/>
        </w:rPr>
        <w:t>之日的经审计后的整体资产进行评估并出具评估报告</w:t>
      </w:r>
      <w:r>
        <w:rPr>
          <w:rFonts w:hint="default" w:ascii="仿宋" w:hAnsi="仿宋" w:eastAsia="仿宋" w:cs="仿宋"/>
          <w:sz w:val="28"/>
          <w:szCs w:val="28"/>
          <w:lang w:eastAsia="zh-CN"/>
        </w:rPr>
        <w:t>；</w:t>
      </w:r>
    </w:p>
    <w:p>
      <w:pPr>
        <w:ind w:firstLine="560" w:firstLineChars="200"/>
        <w:rPr>
          <w:rFonts w:hint="default" w:ascii="仿宋" w:hAnsi="仿宋" w:eastAsia="仿宋" w:cs="仿宋"/>
          <w:sz w:val="28"/>
          <w:szCs w:val="28"/>
          <w:lang w:eastAsia="zh-CN"/>
        </w:rPr>
      </w:pPr>
      <w:r>
        <w:rPr>
          <w:rFonts w:hint="eastAsia" w:ascii="仿宋" w:hAnsi="仿宋" w:eastAsia="仿宋" w:cs="仿宋"/>
          <w:sz w:val="28"/>
          <w:szCs w:val="28"/>
          <w:lang w:val="en-US" w:eastAsia="zh-CN"/>
        </w:rPr>
        <w:t>（2）对</w:t>
      </w:r>
      <w:r>
        <w:rPr>
          <w:rFonts w:hint="eastAsia" w:ascii="仿宋" w:hAnsi="仿宋" w:eastAsia="仿宋" w:cs="仿宋"/>
          <w:sz w:val="28"/>
          <w:szCs w:val="28"/>
          <w:lang w:eastAsia="zh-CN"/>
        </w:rPr>
        <w:t>佳享公司</w:t>
      </w:r>
      <w:r>
        <w:rPr>
          <w:rFonts w:hint="eastAsia" w:ascii="仿宋" w:hAnsi="仿宋" w:eastAsia="仿宋" w:cs="仿宋"/>
          <w:sz w:val="28"/>
          <w:szCs w:val="28"/>
          <w:lang w:val="en-US" w:eastAsia="zh-CN"/>
        </w:rPr>
        <w:t>管理人需要进行单项处置的资产进行评估并出具评估报告</w:t>
      </w:r>
      <w:r>
        <w:rPr>
          <w:rFonts w:hint="default" w:ascii="仿宋" w:hAnsi="仿宋" w:eastAsia="仿宋" w:cs="仿宋"/>
          <w:sz w:val="28"/>
          <w:szCs w:val="28"/>
          <w:lang w:eastAsia="zh-CN"/>
        </w:rPr>
        <w:t>；</w:t>
      </w:r>
    </w:p>
    <w:p>
      <w:pPr>
        <w:ind w:firstLine="560" w:firstLineChars="200"/>
        <w:rPr>
          <w:rFonts w:hint="default" w:ascii="仿宋" w:hAnsi="仿宋" w:eastAsia="仿宋" w:cs="仿宋"/>
          <w:sz w:val="28"/>
          <w:szCs w:val="28"/>
          <w:lang w:eastAsia="zh-CN"/>
        </w:rPr>
      </w:pPr>
      <w:r>
        <w:rPr>
          <w:rFonts w:hint="eastAsia" w:ascii="仿宋" w:hAnsi="仿宋" w:eastAsia="仿宋" w:cs="仿宋"/>
          <w:sz w:val="28"/>
          <w:szCs w:val="28"/>
          <w:lang w:val="en-US" w:eastAsia="zh-CN"/>
        </w:rPr>
        <w:t>（3）管理人在破产清算过程中需要的其他价值咨询报告</w:t>
      </w:r>
      <w:r>
        <w:rPr>
          <w:rFonts w:hint="default" w:ascii="仿宋" w:hAnsi="仿宋" w:eastAsia="仿宋" w:cs="仿宋"/>
          <w:sz w:val="28"/>
          <w:szCs w:val="28"/>
          <w:lang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（4）管理人委托的其他与评估工作有关的事项。</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2" w:firstLineChars="200"/>
        <w:textAlignment w:val="auto"/>
        <w:rPr>
          <w:rFonts w:hint="eastAsia" w:ascii="仿宋" w:hAnsi="仿宋" w:eastAsia="仿宋" w:cs="仿宋"/>
          <w:b/>
          <w:sz w:val="28"/>
          <w:szCs w:val="28"/>
          <w:highlight w:val="none"/>
          <w:shd w:val="clear" w:color="auto" w:fill="FFFFFF"/>
          <w:lang w:val="en-US" w:eastAsia="zh-CN"/>
        </w:rPr>
      </w:pPr>
      <w:r>
        <w:rPr>
          <w:rFonts w:hint="eastAsia" w:ascii="仿宋" w:hAnsi="仿宋" w:eastAsia="仿宋" w:cs="仿宋"/>
          <w:b/>
          <w:sz w:val="28"/>
          <w:szCs w:val="28"/>
          <w:highlight w:val="none"/>
          <w:shd w:val="clear" w:color="auto" w:fill="FFFFFF"/>
          <w:lang w:val="en-US" w:eastAsia="zh-CN"/>
        </w:rPr>
        <w:t>三、投标价格限定</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次评估服务依据《国家计委、国家土地管理局关于土地价格评估收费的通知》（计价格〔1994〕2017号）和《四川省资产评估协会关于资产评估机构报送资产评估服务收费标准的通知》（川评协〔2017〕23号）计取服务费用。投标比选机构按相关文件收费标准折算比例作为投标报价。</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2" w:firstLineChars="200"/>
        <w:textAlignment w:val="auto"/>
        <w:rPr>
          <w:rFonts w:hint="eastAsia" w:ascii="仿宋" w:hAnsi="仿宋" w:eastAsia="仿宋" w:cs="仿宋"/>
          <w:b/>
          <w:sz w:val="28"/>
          <w:szCs w:val="28"/>
          <w:highlight w:val="none"/>
          <w:shd w:val="clear" w:color="auto" w:fill="FFFFFF"/>
          <w:lang w:val="en-US" w:eastAsia="zh-CN"/>
        </w:rPr>
      </w:pPr>
      <w:r>
        <w:rPr>
          <w:rFonts w:hint="eastAsia" w:ascii="仿宋" w:hAnsi="仿宋" w:eastAsia="仿宋" w:cs="仿宋"/>
          <w:b/>
          <w:sz w:val="28"/>
          <w:szCs w:val="28"/>
          <w:highlight w:val="none"/>
          <w:shd w:val="clear" w:color="auto" w:fill="FFFFFF"/>
          <w:lang w:val="en-US" w:eastAsia="zh-CN"/>
        </w:rPr>
        <w:t>四、服务报酬支付方式</w:t>
      </w:r>
    </w:p>
    <w:p>
      <w:pPr>
        <w:ind w:firstLine="560" w:firstLineChars="200"/>
        <w:rPr>
          <w:rFonts w:hint="default" w:ascii="仿宋" w:hAnsi="仿宋" w:eastAsia="仿宋" w:cs="仿宋"/>
          <w:sz w:val="28"/>
          <w:szCs w:val="28"/>
          <w:lang w:val="en-US" w:eastAsia="zh-Hans"/>
        </w:rPr>
      </w:pPr>
      <w:r>
        <w:rPr>
          <w:rFonts w:hint="eastAsia" w:ascii="仿宋" w:hAnsi="仿宋" w:eastAsia="仿宋" w:cs="仿宋"/>
          <w:sz w:val="28"/>
          <w:szCs w:val="28"/>
          <w:lang w:val="en-US" w:eastAsia="zh-Hans"/>
        </w:rPr>
        <w:t>评估机构费用由评估机构先行垫支</w:t>
      </w:r>
      <w:r>
        <w:rPr>
          <w:rFonts w:hint="default" w:ascii="仿宋" w:hAnsi="仿宋" w:eastAsia="仿宋" w:cs="仿宋"/>
          <w:sz w:val="28"/>
          <w:szCs w:val="28"/>
          <w:lang w:val="en-US" w:eastAsia="zh-Hans"/>
        </w:rPr>
        <w:t>，</w:t>
      </w:r>
      <w:r>
        <w:rPr>
          <w:rFonts w:hint="eastAsia" w:ascii="仿宋" w:hAnsi="仿宋" w:eastAsia="仿宋" w:cs="仿宋"/>
          <w:sz w:val="28"/>
          <w:szCs w:val="28"/>
          <w:lang w:val="en-US" w:eastAsia="zh-Hans"/>
        </w:rPr>
        <w:t>后作为破产费用在破产程序中优先受偿</w:t>
      </w:r>
      <w:r>
        <w:rPr>
          <w:rFonts w:hint="default" w:ascii="仿宋" w:hAnsi="仿宋" w:eastAsia="仿宋" w:cs="仿宋"/>
          <w:sz w:val="28"/>
          <w:szCs w:val="28"/>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2" w:firstLineChars="200"/>
        <w:textAlignment w:val="auto"/>
        <w:rPr>
          <w:rFonts w:hint="eastAsia" w:ascii="仿宋" w:hAnsi="仿宋" w:eastAsia="仿宋" w:cs="仿宋"/>
          <w:b/>
          <w:sz w:val="28"/>
          <w:szCs w:val="28"/>
          <w:highlight w:val="none"/>
          <w:shd w:val="clear" w:color="auto" w:fill="FFFFFF"/>
          <w:lang w:val="en-US" w:eastAsia="zh-CN"/>
        </w:rPr>
      </w:pPr>
      <w:r>
        <w:rPr>
          <w:rFonts w:hint="eastAsia" w:ascii="仿宋" w:hAnsi="仿宋" w:eastAsia="仿宋" w:cs="仿宋"/>
          <w:b/>
          <w:sz w:val="28"/>
          <w:szCs w:val="28"/>
          <w:highlight w:val="none"/>
          <w:shd w:val="clear" w:color="auto" w:fill="FFFFFF"/>
          <w:lang w:val="en-US" w:eastAsia="zh-CN"/>
        </w:rPr>
        <w:t>五、报名方式</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凡有意参选的相关机构，请在2024年4月30日17点前报名，并将相关资料提交或邮寄本</w:t>
      </w:r>
      <w:r>
        <w:rPr>
          <w:rFonts w:hint="default" w:ascii="仿宋" w:hAnsi="仿宋" w:eastAsia="仿宋" w:cs="仿宋"/>
          <w:sz w:val="28"/>
          <w:szCs w:val="28"/>
          <w:lang w:eastAsia="zh-CN"/>
        </w:rPr>
        <w:t>管理人</w:t>
      </w:r>
      <w:r>
        <w:rPr>
          <w:rFonts w:hint="eastAsia" w:ascii="仿宋" w:hAnsi="仿宋" w:eastAsia="仿宋" w:cs="仿宋"/>
          <w:sz w:val="28"/>
          <w:szCs w:val="28"/>
          <w:lang w:val="en-US"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1．参加</w:t>
      </w:r>
      <w:r>
        <w:rPr>
          <w:rFonts w:hint="eastAsia" w:ascii="仿宋" w:hAnsi="仿宋" w:eastAsia="仿宋" w:cs="仿宋"/>
          <w:sz w:val="28"/>
          <w:szCs w:val="28"/>
          <w:lang w:eastAsia="zh-CN"/>
        </w:rPr>
        <w:t>佳享公司</w:t>
      </w:r>
      <w:r>
        <w:rPr>
          <w:rFonts w:hint="default" w:ascii="仿宋" w:hAnsi="仿宋" w:eastAsia="仿宋" w:cs="仿宋"/>
          <w:sz w:val="28"/>
          <w:szCs w:val="28"/>
          <w:lang w:eastAsia="zh-CN"/>
        </w:rPr>
        <w:t>破产清算</w:t>
      </w:r>
      <w:r>
        <w:rPr>
          <w:rFonts w:hint="eastAsia" w:ascii="仿宋" w:hAnsi="仿宋" w:eastAsia="仿宋" w:cs="仿宋"/>
          <w:sz w:val="28"/>
          <w:szCs w:val="28"/>
          <w:lang w:val="en-US" w:eastAsia="zh-CN"/>
        </w:rPr>
        <w:t>案件评估工作的申请书（原件）；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2．有效的评估机构资质证明文件（复印件）；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3．企业法人营业执照（复印件）；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4．项目负责评估师执业资格证书（复印件）；</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5.机构法人代表身份证复印件、受托人的授权委托书原件及身份证复印件；</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6.项目陈述书（包括但不限于机构基本情况、本机构参与企业重整或清算工作经验、项目现场负责人重整或清算工作经验、项目团队人员组成、本项目的工作方案、完成时间、承诺函和报价等）。</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名机构应将申报资料装订成册、密封并加盖申报机构公章。申报资料应按序装订，提交一式叁份，申报机构须确保所提交的上述资料均真实、合法，提交承诺书，如经核查发现存在虚假及违法情形，该机构立即取消</w:t>
      </w:r>
      <w:r>
        <w:rPr>
          <w:rFonts w:hint="default" w:ascii="仿宋" w:hAnsi="仿宋" w:eastAsia="仿宋" w:cs="仿宋"/>
          <w:sz w:val="28"/>
          <w:szCs w:val="28"/>
          <w:lang w:eastAsia="zh-CN"/>
        </w:rPr>
        <w:t>比选</w:t>
      </w:r>
      <w:r>
        <w:rPr>
          <w:rFonts w:hint="eastAsia" w:ascii="仿宋" w:hAnsi="仿宋" w:eastAsia="仿宋" w:cs="仿宋"/>
          <w:sz w:val="28"/>
          <w:szCs w:val="28"/>
          <w:lang w:val="en-US" w:eastAsia="zh-CN"/>
        </w:rPr>
        <w:t>资格，并依法承担相应责任。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firstLine="562" w:firstLineChars="200"/>
        <w:textAlignment w:val="auto"/>
        <w:rPr>
          <w:rFonts w:hint="eastAsia" w:ascii="仿宋" w:hAnsi="仿宋" w:eastAsia="仿宋" w:cs="仿宋"/>
          <w:b/>
          <w:sz w:val="28"/>
          <w:szCs w:val="28"/>
          <w:highlight w:val="none"/>
          <w:shd w:val="clear" w:color="auto" w:fill="FFFFFF"/>
          <w:lang w:val="en-US" w:eastAsia="zh-CN"/>
        </w:rPr>
      </w:pPr>
      <w:r>
        <w:rPr>
          <w:rFonts w:hint="eastAsia" w:ascii="仿宋" w:hAnsi="仿宋" w:eastAsia="仿宋" w:cs="仿宋"/>
          <w:b/>
          <w:sz w:val="28"/>
          <w:szCs w:val="28"/>
          <w:highlight w:val="none"/>
          <w:shd w:val="clear" w:color="auto" w:fill="FFFFFF"/>
          <w:lang w:val="en-US" w:eastAsia="zh-CN"/>
        </w:rPr>
        <w:t>六、</w:t>
      </w:r>
      <w:r>
        <w:rPr>
          <w:rFonts w:hint="eastAsia" w:ascii="仿宋" w:hAnsi="仿宋" w:eastAsia="仿宋" w:cs="仿宋"/>
          <w:b/>
          <w:sz w:val="28"/>
          <w:szCs w:val="28"/>
          <w:highlight w:val="none"/>
          <w:shd w:val="clear" w:color="auto" w:fill="FFFFFF"/>
          <w:lang w:val="en-US" w:eastAsia="zh-Hans"/>
        </w:rPr>
        <w:t>比选</w:t>
      </w:r>
      <w:r>
        <w:rPr>
          <w:rFonts w:hint="eastAsia" w:ascii="仿宋" w:hAnsi="仿宋" w:eastAsia="仿宋" w:cs="仿宋"/>
          <w:b/>
          <w:sz w:val="28"/>
          <w:szCs w:val="28"/>
          <w:highlight w:val="none"/>
          <w:shd w:val="clear" w:color="auto" w:fill="FFFFFF"/>
          <w:lang w:val="en-US" w:eastAsia="zh-CN"/>
        </w:rPr>
        <w:t>流程</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报名截止后，</w:t>
      </w:r>
      <w:r>
        <w:rPr>
          <w:rFonts w:hint="default" w:ascii="仿宋" w:hAnsi="仿宋" w:eastAsia="仿宋" w:cs="仿宋"/>
          <w:sz w:val="28"/>
          <w:szCs w:val="28"/>
          <w:lang w:eastAsia="zh-CN"/>
        </w:rPr>
        <w:t>管理人</w:t>
      </w:r>
      <w:r>
        <w:rPr>
          <w:rFonts w:hint="eastAsia" w:ascii="仿宋" w:hAnsi="仿宋" w:eastAsia="仿宋" w:cs="仿宋"/>
          <w:sz w:val="28"/>
          <w:szCs w:val="28"/>
          <w:lang w:val="en-US" w:eastAsia="zh-CN"/>
        </w:rPr>
        <w:t>将在人民法院的指导和监督下组成评审委员会，对符合本公告报名条件的社会中介机构的材料进行评分。本次比选不组织现场陈述，评审小组根据参选单位提交的</w:t>
      </w:r>
      <w:r>
        <w:rPr>
          <w:rFonts w:hint="default" w:ascii="仿宋" w:hAnsi="仿宋" w:eastAsia="仿宋" w:cs="仿宋"/>
          <w:sz w:val="28"/>
          <w:szCs w:val="28"/>
          <w:lang w:eastAsia="zh-CN"/>
        </w:rPr>
        <w:t>比选</w:t>
      </w:r>
      <w:r>
        <w:rPr>
          <w:rFonts w:hint="eastAsia" w:ascii="仿宋" w:hAnsi="仿宋" w:eastAsia="仿宋" w:cs="仿宋"/>
          <w:sz w:val="28"/>
          <w:szCs w:val="28"/>
          <w:lang w:val="en-US" w:eastAsia="zh-CN"/>
        </w:rPr>
        <w:t>资料对专业机构报价、职业资格审查、团队服务能力评估、服务业绩评价和服务工作方案五个方面进行书面综合评比，根据评分高低确定产生1个中选机构、1个备选机构。如申报机构只有2个的，由评审委员会审核符合条件的，直接确定第一名为中选机构、第二名为备选机构；如申报机构为1个的，由评审委员会审核符合条件的，直接指定为中选机构，中选机构由</w:t>
      </w:r>
      <w:r>
        <w:rPr>
          <w:rFonts w:hint="default" w:ascii="仿宋" w:hAnsi="仿宋" w:eastAsia="仿宋" w:cs="仿宋"/>
          <w:sz w:val="28"/>
          <w:szCs w:val="28"/>
          <w:lang w:eastAsia="zh-CN"/>
        </w:rPr>
        <w:t>管理人</w:t>
      </w:r>
      <w:r>
        <w:rPr>
          <w:rFonts w:hint="eastAsia" w:ascii="仿宋" w:hAnsi="仿宋" w:eastAsia="仿宋" w:cs="仿宋"/>
          <w:sz w:val="28"/>
          <w:szCs w:val="28"/>
          <w:lang w:val="en-US" w:eastAsia="zh-CN"/>
        </w:rPr>
        <w:t>报蒲江县</w:t>
      </w:r>
      <w:r>
        <w:rPr>
          <w:rFonts w:hint="default" w:ascii="仿宋" w:hAnsi="仿宋" w:eastAsia="仿宋" w:cs="仿宋"/>
          <w:sz w:val="28"/>
          <w:szCs w:val="28"/>
          <w:lang w:eastAsia="zh-CN"/>
        </w:rPr>
        <w:t>人民法院</w:t>
      </w:r>
      <w:r>
        <w:rPr>
          <w:rFonts w:hint="eastAsia" w:ascii="仿宋" w:hAnsi="仿宋" w:eastAsia="仿宋" w:cs="仿宋"/>
          <w:sz w:val="28"/>
          <w:szCs w:val="28"/>
          <w:lang w:val="en-US" w:eastAsia="zh-CN"/>
        </w:rPr>
        <w:t>确认。</w:t>
      </w:r>
    </w:p>
    <w:p>
      <w:pPr>
        <w:ind w:firstLine="560" w:firstLineChars="200"/>
        <w:rPr>
          <w:rFonts w:hint="default" w:ascii="仿宋" w:hAnsi="仿宋" w:eastAsia="仿宋" w:cs="仿宋"/>
          <w:sz w:val="28"/>
          <w:szCs w:val="28"/>
          <w:lang w:eastAsia="zh-Hans"/>
        </w:rPr>
      </w:pPr>
      <w:r>
        <w:rPr>
          <w:rFonts w:hint="eastAsia" w:ascii="仿宋" w:hAnsi="仿宋" w:eastAsia="仿宋" w:cs="仿宋"/>
          <w:sz w:val="28"/>
          <w:szCs w:val="28"/>
          <w:lang w:val="en-US" w:eastAsia="zh-CN"/>
        </w:rPr>
        <w:t>接收地址：</w:t>
      </w:r>
      <w:r>
        <w:rPr>
          <w:rFonts w:hint="eastAsia" w:ascii="仿宋" w:hAnsi="仿宋" w:eastAsia="仿宋" w:cs="仿宋"/>
          <w:sz w:val="28"/>
          <w:szCs w:val="28"/>
          <w:lang w:val="en-US" w:eastAsia="zh-Hans"/>
        </w:rPr>
        <w:t>成都市</w:t>
      </w:r>
      <w:r>
        <w:rPr>
          <w:rFonts w:hint="eastAsia" w:ascii="仿宋" w:hAnsi="仿宋" w:eastAsia="仿宋" w:cs="仿宋"/>
          <w:sz w:val="28"/>
          <w:szCs w:val="28"/>
          <w:lang w:val="en-US" w:eastAsia="zh-CN"/>
        </w:rPr>
        <w:t>武侯区</w:t>
      </w:r>
      <w:r>
        <w:rPr>
          <w:rFonts w:hint="eastAsia" w:ascii="仿宋" w:hAnsi="仿宋" w:eastAsia="仿宋" w:cs="仿宋"/>
          <w:sz w:val="28"/>
          <w:szCs w:val="28"/>
          <w:lang w:val="en-US" w:eastAsia="zh-Hans"/>
        </w:rPr>
        <w:t>益州大道北段777号中航国际交流中心B座19楼1908号（上海段和段（成都）律师事务所）</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接收人：成都佳享食品有限公司</w:t>
      </w:r>
      <w:r>
        <w:rPr>
          <w:rFonts w:hint="default" w:ascii="仿宋" w:hAnsi="仿宋" w:eastAsia="仿宋" w:cs="仿宋"/>
          <w:sz w:val="28"/>
          <w:szCs w:val="28"/>
          <w:lang w:eastAsia="zh-CN"/>
        </w:rPr>
        <w:t>管理人</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接收邮箱：294870660@qq.com</w:t>
      </w:r>
    </w:p>
    <w:p>
      <w:pPr>
        <w:ind w:firstLine="560" w:firstLineChars="200"/>
        <w:rPr>
          <w:rFonts w:hint="default" w:ascii="仿宋" w:hAnsi="仿宋" w:eastAsia="仿宋" w:cs="仿宋"/>
          <w:sz w:val="28"/>
          <w:szCs w:val="28"/>
          <w:lang w:eastAsia="zh-Hans"/>
        </w:rPr>
      </w:pPr>
      <w:r>
        <w:rPr>
          <w:rFonts w:hint="eastAsia" w:ascii="仿宋" w:hAnsi="仿宋" w:eastAsia="仿宋" w:cs="仿宋"/>
          <w:sz w:val="28"/>
          <w:szCs w:val="28"/>
          <w:lang w:val="en-US" w:eastAsia="zh-CN"/>
        </w:rPr>
        <w:t>联系人：</w:t>
      </w:r>
      <w:r>
        <w:rPr>
          <w:rFonts w:hint="eastAsia" w:ascii="仿宋" w:hAnsi="仿宋" w:eastAsia="仿宋" w:cs="仿宋"/>
          <w:sz w:val="28"/>
          <w:szCs w:val="28"/>
          <w:lang w:val="en-US" w:eastAsia="zh-Hans"/>
        </w:rPr>
        <w:t>唐悦</w:t>
      </w:r>
      <w:r>
        <w:rPr>
          <w:rFonts w:hint="default" w:ascii="仿宋" w:hAnsi="仿宋" w:eastAsia="仿宋" w:cs="仿宋"/>
          <w:sz w:val="28"/>
          <w:szCs w:val="28"/>
          <w:lang w:eastAsia="zh-CN"/>
        </w:rPr>
        <w:t>13739490390</w:t>
      </w:r>
    </w:p>
    <w:p>
      <w:pPr>
        <w:jc w:val="right"/>
        <w:rPr>
          <w:rFonts w:hint="default" w:ascii="仿宋" w:hAnsi="仿宋" w:eastAsia="仿宋" w:cs="仿宋"/>
          <w:sz w:val="28"/>
          <w:szCs w:val="28"/>
          <w:lang w:eastAsia="zh-CN"/>
        </w:rPr>
      </w:pPr>
      <w:r>
        <w:rPr>
          <w:rFonts w:hint="eastAsia" w:ascii="仿宋" w:hAnsi="仿宋" w:eastAsia="仿宋" w:cs="仿宋"/>
          <w:sz w:val="28"/>
          <w:szCs w:val="28"/>
          <w:lang w:val="en-US" w:eastAsia="zh-CN"/>
        </w:rPr>
        <w:t>成都佳享食品有限公司</w:t>
      </w:r>
      <w:r>
        <w:rPr>
          <w:rFonts w:hint="default" w:ascii="仿宋" w:hAnsi="仿宋" w:eastAsia="仿宋" w:cs="仿宋"/>
          <w:sz w:val="28"/>
          <w:szCs w:val="28"/>
          <w:lang w:eastAsia="zh-CN"/>
        </w:rPr>
        <w:t>管理人</w:t>
      </w:r>
    </w:p>
    <w:p>
      <w:pPr>
        <w:jc w:val="right"/>
        <w:rPr>
          <w:rFonts w:hint="eastAsia" w:ascii="仿宋" w:hAnsi="仿宋" w:eastAsia="仿宋" w:cs="仿宋"/>
          <w:sz w:val="28"/>
          <w:szCs w:val="28"/>
          <w:lang w:val="en-US" w:eastAsia="zh-Hans"/>
        </w:rPr>
      </w:pPr>
      <w:r>
        <w:rPr>
          <w:rFonts w:hint="eastAsia" w:ascii="仿宋" w:hAnsi="仿宋" w:eastAsia="仿宋" w:cs="仿宋"/>
          <w:sz w:val="28"/>
          <w:szCs w:val="28"/>
          <w:lang w:val="en-US" w:eastAsia="zh-Hans"/>
        </w:rPr>
        <w:t>二零二</w:t>
      </w:r>
      <w:r>
        <w:rPr>
          <w:rFonts w:hint="eastAsia" w:ascii="仿宋" w:hAnsi="仿宋" w:eastAsia="仿宋" w:cs="仿宋"/>
          <w:sz w:val="28"/>
          <w:szCs w:val="28"/>
          <w:lang w:val="en-US" w:eastAsia="zh-CN"/>
        </w:rPr>
        <w:t>四</w:t>
      </w:r>
      <w:r>
        <w:rPr>
          <w:rFonts w:hint="eastAsia" w:ascii="仿宋" w:hAnsi="仿宋" w:eastAsia="仿宋" w:cs="仿宋"/>
          <w:sz w:val="28"/>
          <w:szCs w:val="28"/>
          <w:lang w:val="en-US" w:eastAsia="zh-Hans"/>
        </w:rPr>
        <w:t>年四月</w:t>
      </w:r>
      <w:r>
        <w:rPr>
          <w:rFonts w:hint="eastAsia" w:ascii="仿宋" w:hAnsi="仿宋" w:eastAsia="仿宋" w:cs="仿宋"/>
          <w:sz w:val="28"/>
          <w:szCs w:val="28"/>
          <w:lang w:val="en-US" w:eastAsia="zh-CN"/>
        </w:rPr>
        <w:t>二十五</w:t>
      </w:r>
      <w:r>
        <w:rPr>
          <w:rFonts w:hint="eastAsia" w:ascii="仿宋" w:hAnsi="仿宋" w:eastAsia="仿宋" w:cs="仿宋"/>
          <w:sz w:val="28"/>
          <w:szCs w:val="28"/>
          <w:lang w:val="en-US" w:eastAsia="zh-Hans"/>
        </w:rPr>
        <w:t>日</w:t>
      </w:r>
    </w:p>
    <w:p>
      <w:pPr>
        <w:pStyle w:val="2"/>
        <w:rPr>
          <w:rFonts w:hint="eastAsia" w:ascii="仿宋" w:hAnsi="仿宋" w:eastAsia="仿宋" w:cs="仿宋"/>
          <w:sz w:val="28"/>
          <w:szCs w:val="28"/>
          <w:lang w:val="en-US" w:eastAsia="zh-Hans"/>
        </w:rPr>
      </w:pPr>
    </w:p>
    <w:p>
      <w:pPr>
        <w:pStyle w:val="2"/>
        <w:rPr>
          <w:rFonts w:hint="eastAsia" w:ascii="仿宋" w:hAnsi="仿宋" w:eastAsia="仿宋" w:cs="仿宋"/>
          <w:sz w:val="28"/>
          <w:szCs w:val="28"/>
          <w:lang w:val="en-US" w:eastAsia="zh-Hans"/>
        </w:rPr>
      </w:pPr>
    </w:p>
    <w:p>
      <w:pPr>
        <w:pStyle w:val="2"/>
        <w:rPr>
          <w:rFonts w:hint="eastAsia" w:ascii="仿宋" w:hAnsi="仿宋" w:eastAsia="仿宋" w:cs="仿宋"/>
          <w:sz w:val="28"/>
          <w:szCs w:val="28"/>
          <w:lang w:val="en-US" w:eastAsia="zh-Hans"/>
        </w:rPr>
      </w:pPr>
    </w:p>
    <w:p>
      <w:pPr>
        <w:pStyle w:val="2"/>
        <w:rPr>
          <w:rFonts w:hint="eastAsia" w:ascii="仿宋" w:hAnsi="仿宋" w:eastAsia="仿宋" w:cs="仿宋"/>
          <w:sz w:val="28"/>
          <w:szCs w:val="28"/>
          <w:lang w:val="en-US" w:eastAsia="zh-Hans"/>
        </w:rPr>
      </w:pPr>
    </w:p>
    <w:p>
      <w:pPr>
        <w:pStyle w:val="2"/>
        <w:rPr>
          <w:rFonts w:hint="eastAsia" w:ascii="仿宋" w:hAnsi="仿宋" w:eastAsia="仿宋" w:cs="仿宋"/>
          <w:sz w:val="28"/>
          <w:szCs w:val="28"/>
          <w:lang w:val="en-US" w:eastAsia="zh-Hans"/>
        </w:rPr>
      </w:pPr>
    </w:p>
    <w:p>
      <w:pPr>
        <w:pStyle w:val="2"/>
        <w:rPr>
          <w:rFonts w:hint="eastAsia" w:ascii="仿宋" w:hAnsi="仿宋" w:eastAsia="仿宋" w:cs="仿宋"/>
          <w:sz w:val="28"/>
          <w:szCs w:val="28"/>
          <w:lang w:val="en-US" w:eastAsia="zh-Hans"/>
        </w:rPr>
      </w:pPr>
    </w:p>
    <w:p>
      <w:pPr>
        <w:pStyle w:val="2"/>
        <w:rPr>
          <w:rFonts w:hint="eastAsia" w:ascii="仿宋" w:hAnsi="仿宋" w:eastAsia="仿宋" w:cs="仿宋"/>
          <w:sz w:val="28"/>
          <w:szCs w:val="28"/>
          <w:lang w:val="en-US" w:eastAsia="zh-Hans"/>
        </w:rPr>
      </w:pPr>
    </w:p>
    <w:p>
      <w:pPr>
        <w:pStyle w:val="2"/>
        <w:rPr>
          <w:rFonts w:hint="eastAsia" w:ascii="仿宋" w:hAnsi="仿宋" w:eastAsia="仿宋" w:cs="仿宋"/>
          <w:sz w:val="28"/>
          <w:szCs w:val="28"/>
          <w:lang w:val="en-US" w:eastAsia="zh-Hans"/>
        </w:rPr>
      </w:pPr>
    </w:p>
    <w:p>
      <w:pPr>
        <w:pStyle w:val="2"/>
        <w:rPr>
          <w:rFonts w:hint="eastAsia" w:ascii="仿宋" w:hAnsi="仿宋" w:eastAsia="仿宋" w:cs="仿宋"/>
          <w:sz w:val="28"/>
          <w:szCs w:val="28"/>
          <w:lang w:val="en-US" w:eastAsia="zh-Hans"/>
        </w:rPr>
      </w:pPr>
    </w:p>
    <w:p>
      <w:pPr>
        <w:pStyle w:val="2"/>
        <w:rPr>
          <w:rFonts w:hint="eastAsia" w:ascii="仿宋" w:hAnsi="仿宋" w:eastAsia="仿宋" w:cs="仿宋"/>
          <w:sz w:val="28"/>
          <w:szCs w:val="28"/>
          <w:lang w:val="en-US" w:eastAsia="zh-Hans"/>
        </w:rPr>
      </w:pPr>
    </w:p>
    <w:p>
      <w:pPr>
        <w:rPr>
          <w:rFonts w:ascii="宋体" w:hAnsi="宋体" w:eastAsia="宋体" w:cs="宋体"/>
          <w:sz w:val="28"/>
          <w:szCs w:val="28"/>
          <w:lang w:eastAsia="zh-CN" w:bidi="ar"/>
        </w:rPr>
      </w:pPr>
      <w:r>
        <w:rPr>
          <w:rFonts w:hint="eastAsia" w:ascii="宋体" w:hAnsi="宋体" w:eastAsia="宋体" w:cs="宋体"/>
          <w:sz w:val="28"/>
          <w:szCs w:val="28"/>
          <w:lang w:eastAsia="zh-CN" w:bidi="ar"/>
        </w:rPr>
        <w:t xml:space="preserve">附件1 </w:t>
      </w:r>
    </w:p>
    <w:p>
      <w:pPr>
        <w:jc w:val="center"/>
        <w:rPr>
          <w:rFonts w:ascii="宋体" w:hAnsi="宋体" w:eastAsia="宋体" w:cs="宋体"/>
          <w:b/>
          <w:bCs/>
          <w:sz w:val="32"/>
          <w:szCs w:val="32"/>
          <w:lang w:eastAsia="zh-CN" w:bidi="ar"/>
        </w:rPr>
      </w:pPr>
      <w:r>
        <w:rPr>
          <w:rFonts w:hint="eastAsia" w:ascii="宋体" w:hAnsi="宋体" w:eastAsia="宋体" w:cs="宋体"/>
          <w:b/>
          <w:bCs/>
          <w:sz w:val="32"/>
          <w:szCs w:val="32"/>
          <w:lang w:eastAsia="zh-CN" w:bidi="ar"/>
        </w:rPr>
        <w:t>申请书</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成都佳享食品有限公司管理人： </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社 会 中 介 机 构 名 称 ) 已收悉你单位登载的《关于成都佳享食品有限公司破产清算案比选评估机构的公告》内容。经查证，我单位符合该公告规定的报名条件，且不存在可能影响履行职责的利害关系。经研究，确认我单位参加成都佳享食品有限公司破产清算案选聘</w:t>
      </w:r>
      <w:r>
        <w:rPr>
          <w:rFonts w:hint="eastAsia" w:asciiTheme="minorEastAsia" w:hAnsiTheme="minorEastAsia" w:cstheme="minorEastAsia"/>
          <w:sz w:val="32"/>
          <w:szCs w:val="32"/>
          <w:lang w:val="en-US" w:eastAsia="zh-CN"/>
        </w:rPr>
        <w:t>评估</w:t>
      </w:r>
      <w:r>
        <w:rPr>
          <w:rFonts w:hint="eastAsia" w:asciiTheme="minorEastAsia" w:hAnsiTheme="minorEastAsia" w:eastAsiaTheme="minorEastAsia" w:cstheme="minorEastAsia"/>
          <w:sz w:val="32"/>
          <w:szCs w:val="32"/>
          <w:lang w:eastAsia="zh-CN"/>
        </w:rPr>
        <w:t xml:space="preserve">机构的竞争。 </w:t>
      </w:r>
    </w:p>
    <w:p>
      <w:pPr>
        <w:jc w:val="both"/>
        <w:rPr>
          <w:rFonts w:asciiTheme="minorEastAsia" w:hAnsiTheme="minorEastAsia" w:eastAsiaTheme="minorEastAsia" w:cstheme="minorEastAsia"/>
          <w:sz w:val="32"/>
          <w:szCs w:val="32"/>
          <w:lang w:eastAsia="zh-CN"/>
        </w:rPr>
      </w:pPr>
    </w:p>
    <w:p>
      <w:pPr>
        <w:jc w:val="both"/>
        <w:rPr>
          <w:rFonts w:asciiTheme="minorEastAsia" w:hAnsiTheme="minorEastAsia" w:eastAsiaTheme="minorEastAsia" w:cstheme="minorEastAsia"/>
          <w:sz w:val="32"/>
          <w:szCs w:val="32"/>
          <w:lang w:eastAsia="zh-CN"/>
        </w:rPr>
      </w:pPr>
    </w:p>
    <w:p>
      <w:pPr>
        <w:ind w:firstLine="640" w:firstLineChars="200"/>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特此复函。 </w:t>
      </w:r>
    </w:p>
    <w:p>
      <w:pPr>
        <w:jc w:val="both"/>
        <w:rPr>
          <w:rFonts w:asciiTheme="minorEastAsia" w:hAnsiTheme="minorEastAsia" w:eastAsiaTheme="minorEastAsia" w:cstheme="minorEastAsia"/>
          <w:sz w:val="32"/>
          <w:szCs w:val="32"/>
          <w:lang w:eastAsia="zh-CN"/>
        </w:rPr>
      </w:pPr>
    </w:p>
    <w:p>
      <w:pPr>
        <w:jc w:val="both"/>
        <w:rPr>
          <w:rFonts w:asciiTheme="minorEastAsia" w:hAnsiTheme="minorEastAsia" w:eastAsiaTheme="minorEastAsia" w:cstheme="minorEastAsia"/>
          <w:sz w:val="32"/>
          <w:szCs w:val="32"/>
          <w:lang w:eastAsia="zh-CN"/>
        </w:rPr>
      </w:pP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申请人： (社会中介机构盖章) </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lang w:eastAsia="zh-CN"/>
        </w:rPr>
        <w:t xml:space="preserve">年  月   日 </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 xml:space="preserve">联系人： </w:t>
      </w:r>
    </w:p>
    <w:p>
      <w:pPr>
        <w:jc w:val="both"/>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联系电话：</w:t>
      </w:r>
    </w:p>
    <w:p>
      <w:pPr>
        <w:spacing w:line="360" w:lineRule="auto"/>
        <w:ind w:left="420" w:leftChars="200" w:firstLine="320" w:firstLineChars="100"/>
        <w:rPr>
          <w:rFonts w:asciiTheme="minorEastAsia" w:hAnsiTheme="minorEastAsia" w:eastAsiaTheme="minorEastAsia" w:cstheme="minorEastAsia"/>
          <w:sz w:val="32"/>
          <w:szCs w:val="32"/>
          <w:lang w:eastAsia="zh-CN"/>
        </w:rPr>
      </w:pPr>
    </w:p>
    <w:p>
      <w:pPr>
        <w:spacing w:line="360" w:lineRule="auto"/>
        <w:ind w:left="420" w:leftChars="200" w:firstLine="320" w:firstLineChars="100"/>
        <w:rPr>
          <w:rFonts w:asciiTheme="minorEastAsia" w:hAnsiTheme="minorEastAsia" w:eastAsiaTheme="minorEastAsia" w:cstheme="minorEastAsia"/>
          <w:sz w:val="32"/>
          <w:szCs w:val="32"/>
          <w:lang w:eastAsia="zh-CN"/>
        </w:rPr>
      </w:pPr>
    </w:p>
    <w:p>
      <w:pPr>
        <w:spacing w:line="360" w:lineRule="auto"/>
        <w:ind w:left="420" w:leftChars="200" w:firstLine="320" w:firstLineChars="100"/>
        <w:rPr>
          <w:rFonts w:asciiTheme="minorEastAsia" w:hAnsiTheme="minorEastAsia" w:eastAsiaTheme="minorEastAsia" w:cstheme="minorEastAsia"/>
          <w:sz w:val="32"/>
          <w:szCs w:val="32"/>
          <w:lang w:eastAsia="zh-CN"/>
        </w:rPr>
      </w:pPr>
    </w:p>
    <w:p>
      <w:pPr>
        <w:spacing w:line="360" w:lineRule="auto"/>
        <w:ind w:left="420" w:leftChars="200" w:firstLine="320" w:firstLineChars="100"/>
        <w:rPr>
          <w:rFonts w:asciiTheme="minorEastAsia" w:hAnsiTheme="minorEastAsia" w:eastAsiaTheme="minorEastAsia" w:cstheme="minorEastAsia"/>
          <w:sz w:val="32"/>
          <w:szCs w:val="32"/>
          <w:lang w:eastAsia="zh-CN"/>
        </w:rPr>
      </w:pPr>
    </w:p>
    <w:p>
      <w:pPr>
        <w:spacing w:line="360" w:lineRule="auto"/>
        <w:rPr>
          <w:rFonts w:asciiTheme="minorEastAsia" w:hAnsiTheme="minorEastAsia" w:eastAsiaTheme="minorEastAsia" w:cstheme="minorEastAsia"/>
          <w:sz w:val="32"/>
          <w:szCs w:val="32"/>
          <w:lang w:eastAsia="zh-CN"/>
        </w:rPr>
      </w:pPr>
    </w:p>
    <w:p>
      <w:pPr>
        <w:spacing w:line="360" w:lineRule="auto"/>
        <w:rPr>
          <w:rFonts w:ascii="宋体" w:hAnsi="宋体" w:eastAsia="宋体" w:cs="宋体"/>
          <w:sz w:val="28"/>
          <w:szCs w:val="28"/>
          <w:lang w:eastAsia="zh-CN" w:bidi="ar"/>
        </w:rPr>
      </w:pPr>
      <w:r>
        <w:rPr>
          <w:rFonts w:hint="eastAsia" w:ascii="宋体" w:hAnsi="宋体" w:eastAsia="宋体" w:cs="宋体"/>
          <w:sz w:val="28"/>
          <w:szCs w:val="28"/>
          <w:lang w:eastAsia="zh-CN" w:bidi="ar"/>
        </w:rPr>
        <w:t>附件2</w:t>
      </w:r>
    </w:p>
    <w:p>
      <w:pPr>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成都佳享食品有限公司破产清算案</w:t>
      </w:r>
      <w:r>
        <w:rPr>
          <w:rFonts w:asciiTheme="minorEastAsia" w:hAnsiTheme="minorEastAsia" w:eastAsiaTheme="minorEastAsia" w:cstheme="minorEastAsia"/>
          <w:sz w:val="32"/>
          <w:szCs w:val="32"/>
          <w:lang w:eastAsia="zh-CN"/>
        </w:rPr>
        <w:t>比选</w:t>
      </w:r>
      <w:r>
        <w:rPr>
          <w:rFonts w:hint="eastAsia" w:asciiTheme="minorEastAsia" w:hAnsiTheme="minorEastAsia" w:cstheme="minorEastAsia"/>
          <w:sz w:val="32"/>
          <w:szCs w:val="32"/>
          <w:lang w:val="en-US" w:eastAsia="zh-CN"/>
        </w:rPr>
        <w:t>评估</w:t>
      </w:r>
      <w:r>
        <w:rPr>
          <w:rFonts w:asciiTheme="minorEastAsia" w:hAnsiTheme="minorEastAsia" w:eastAsiaTheme="minorEastAsia" w:cstheme="minorEastAsia"/>
          <w:sz w:val="32"/>
          <w:szCs w:val="32"/>
          <w:lang w:eastAsia="zh-CN"/>
        </w:rPr>
        <w:t>机构评分表</w:t>
      </w:r>
    </w:p>
    <w:p>
      <w:pPr>
        <w:spacing w:line="360" w:lineRule="auto"/>
        <w:ind w:firstLine="320" w:firstLineChars="100"/>
        <w:rPr>
          <w:rFonts w:asciiTheme="minorEastAsia" w:hAnsiTheme="minorEastAsia" w:eastAsiaTheme="minorEastAsia" w:cstheme="minorEastAsia"/>
          <w:snapToGrid/>
          <w:sz w:val="32"/>
          <w:szCs w:val="32"/>
          <w:lang w:eastAsia="zh-CN"/>
        </w:rPr>
      </w:pPr>
      <w:r>
        <w:rPr>
          <w:rFonts w:hint="eastAsia" w:asciiTheme="minorEastAsia" w:hAnsiTheme="minorEastAsia" w:eastAsiaTheme="minorEastAsia" w:cstheme="minorEastAsia"/>
          <w:sz w:val="32"/>
          <w:szCs w:val="32"/>
          <w:lang w:eastAsia="zh-CN"/>
        </w:rPr>
        <w:t>报名机构：</w:t>
      </w:r>
    </w:p>
    <w:tbl>
      <w:tblPr>
        <w:tblStyle w:val="3"/>
        <w:tblW w:w="7335" w:type="dxa"/>
        <w:jc w:val="center"/>
        <w:tblLayout w:type="fixed"/>
        <w:tblCellMar>
          <w:top w:w="0" w:type="dxa"/>
          <w:left w:w="108" w:type="dxa"/>
          <w:bottom w:w="0" w:type="dxa"/>
          <w:right w:w="108" w:type="dxa"/>
        </w:tblCellMar>
      </w:tblPr>
      <w:tblGrid>
        <w:gridCol w:w="945"/>
        <w:gridCol w:w="1096"/>
        <w:gridCol w:w="1080"/>
        <w:gridCol w:w="3404"/>
        <w:gridCol w:w="810"/>
      </w:tblGrid>
      <w:tr>
        <w:trPr>
          <w:trHeight w:val="58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序号</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评分因素</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分值</w:t>
            </w:r>
          </w:p>
        </w:tc>
        <w:tc>
          <w:tcPr>
            <w:tcW w:w="340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评分标准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得分</w:t>
            </w:r>
          </w:p>
        </w:tc>
      </w:tr>
      <w:tr>
        <w:trPr>
          <w:trHeight w:val="154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报价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40</w:t>
            </w:r>
          </w:p>
        </w:tc>
        <w:tc>
          <w:tcPr>
            <w:tcW w:w="340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以所有参选机构有效投标报价的</w:t>
            </w:r>
            <w:r>
              <w:rPr>
                <w:rFonts w:hint="eastAsia" w:ascii="宋体" w:hAnsi="宋体" w:eastAsia="宋体" w:cs="宋体"/>
                <w:sz w:val="22"/>
                <w:szCs w:val="22"/>
                <w:lang w:val="en-US" w:eastAsia="zh-CN" w:bidi="ar"/>
              </w:rPr>
              <w:t>最低价</w:t>
            </w:r>
            <w:r>
              <w:rPr>
                <w:rFonts w:hint="eastAsia" w:ascii="宋体" w:hAnsi="宋体" w:eastAsia="宋体" w:cs="宋体"/>
                <w:sz w:val="22"/>
                <w:szCs w:val="22"/>
                <w:lang w:eastAsia="zh-CN" w:bidi="ar"/>
              </w:rPr>
              <w:t>作为基准报价，</w:t>
            </w:r>
            <w:r>
              <w:rPr>
                <w:rFonts w:hint="eastAsia" w:ascii="宋体" w:hAnsi="宋体" w:eastAsia="宋体" w:cs="宋体"/>
                <w:sz w:val="22"/>
                <w:szCs w:val="22"/>
                <w:lang w:val="en-US" w:eastAsia="zh-CN" w:bidi="ar"/>
              </w:rPr>
              <w:t>最低价满分，</w:t>
            </w:r>
            <w:r>
              <w:rPr>
                <w:rFonts w:hint="eastAsia" w:ascii="宋体" w:hAnsi="宋体" w:eastAsia="宋体" w:cs="宋体"/>
                <w:sz w:val="22"/>
                <w:szCs w:val="22"/>
                <w:lang w:eastAsia="zh-CN" w:bidi="ar"/>
              </w:rPr>
              <w:t>报价每高于基准报价10%扣2分。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2"/>
                <w:szCs w:val="22"/>
                <w:lang w:eastAsia="zh-CN"/>
              </w:rPr>
            </w:pPr>
          </w:p>
        </w:tc>
      </w:tr>
      <w:tr>
        <w:trPr>
          <w:trHeight w:val="154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2</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业绩</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10</w:t>
            </w:r>
          </w:p>
        </w:tc>
        <w:tc>
          <w:tcPr>
            <w:tcW w:w="340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具备近五年内，对土地、房屋（不含车位）破产</w:t>
            </w:r>
            <w:r>
              <w:rPr>
                <w:rFonts w:hint="eastAsia" w:ascii="宋体" w:hAnsi="宋体" w:eastAsia="宋体" w:cs="宋体"/>
                <w:sz w:val="22"/>
                <w:szCs w:val="22"/>
                <w:lang w:val="en-US" w:eastAsia="zh-CN" w:bidi="ar"/>
              </w:rPr>
              <w:t>评估工作</w:t>
            </w:r>
            <w:r>
              <w:rPr>
                <w:rFonts w:hint="eastAsia" w:ascii="宋体" w:hAnsi="宋体" w:eastAsia="宋体" w:cs="宋体"/>
                <w:sz w:val="22"/>
                <w:szCs w:val="22"/>
                <w:lang w:eastAsia="zh-CN" w:bidi="ar"/>
              </w:rPr>
              <w:t>经验的相关证明每项计2分，最高不超过10分。</w:t>
            </w:r>
            <w:bookmarkStart w:id="2" w:name="_GoBack"/>
            <w:bookmarkEnd w:id="2"/>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2"/>
                <w:szCs w:val="22"/>
                <w:lang w:eastAsia="zh-CN"/>
              </w:rPr>
            </w:pPr>
          </w:p>
        </w:tc>
      </w:tr>
      <w:tr>
        <w:trPr>
          <w:trHeight w:val="180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3</w:t>
            </w: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服务方案</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50</w:t>
            </w:r>
          </w:p>
        </w:tc>
        <w:tc>
          <w:tcPr>
            <w:tcW w:w="340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服务方案合理性、完整性、有效性和可操作性优良的得50分；</w:t>
            </w:r>
          </w:p>
          <w:p>
            <w:pPr>
              <w:textAlignment w:val="center"/>
              <w:rPr>
                <w:rFonts w:hint="eastAsia" w:ascii="宋体" w:hAnsi="宋体" w:eastAsia="宋体" w:cs="宋体"/>
                <w:sz w:val="22"/>
                <w:szCs w:val="22"/>
                <w:lang w:eastAsia="zh-CN" w:bidi="ar"/>
              </w:rPr>
            </w:pPr>
            <w:r>
              <w:rPr>
                <w:rFonts w:hint="eastAsia" w:ascii="宋体" w:hAnsi="宋体" w:eastAsia="宋体" w:cs="宋体"/>
                <w:sz w:val="22"/>
                <w:szCs w:val="22"/>
                <w:lang w:eastAsia="zh-CN" w:bidi="ar"/>
              </w:rPr>
              <w:t>服务方案合理性、完整性、有效性和可操作性一般的得30分；</w:t>
            </w:r>
          </w:p>
          <w:p>
            <w:pPr>
              <w:textAlignment w:val="center"/>
              <w:rPr>
                <w:rFonts w:ascii="宋体" w:hAnsi="宋体" w:eastAsia="宋体" w:cs="宋体"/>
                <w:sz w:val="22"/>
                <w:szCs w:val="22"/>
                <w:lang w:eastAsia="zh-CN"/>
              </w:rPr>
            </w:pPr>
            <w:r>
              <w:rPr>
                <w:rFonts w:hint="eastAsia" w:ascii="宋体" w:hAnsi="宋体" w:eastAsia="宋体" w:cs="宋体"/>
                <w:sz w:val="22"/>
                <w:szCs w:val="22"/>
                <w:lang w:eastAsia="zh-CN" w:bidi="ar"/>
              </w:rPr>
              <w:t>服务方案合理性、完整性、有效性和可操作性较差的得20分。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2"/>
                <w:szCs w:val="22"/>
                <w:lang w:eastAsia="zh-CN"/>
              </w:rPr>
            </w:pPr>
          </w:p>
        </w:tc>
      </w:tr>
      <w:tr>
        <w:trPr>
          <w:trHeight w:val="540"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sz w:val="22"/>
                <w:szCs w:val="22"/>
                <w:lang w:eastAsia="zh-CN"/>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总分</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eastAsia="zh-CN" w:bidi="ar"/>
              </w:rPr>
              <w:t>100</w:t>
            </w:r>
          </w:p>
        </w:tc>
        <w:tc>
          <w:tcPr>
            <w:tcW w:w="3405" w:type="dxa"/>
            <w:tcBorders>
              <w:top w:val="single" w:color="000000" w:sz="4" w:space="0"/>
              <w:left w:val="single" w:color="000000" w:sz="4" w:space="0"/>
              <w:bottom w:val="single" w:color="000000" w:sz="4" w:space="0"/>
              <w:right w:val="single" w:color="000000" w:sz="4" w:space="0"/>
            </w:tcBorders>
            <w:noWrap/>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lang w:eastAsia="zh-CN" w:bidi="ar"/>
              </w:rPr>
              <w:t>总得分</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eastAsia="宋体" w:cs="宋体"/>
                <w:sz w:val="22"/>
                <w:szCs w:val="22"/>
              </w:rPr>
            </w:pPr>
          </w:p>
        </w:tc>
      </w:tr>
    </w:tbl>
    <w:p>
      <w:pPr>
        <w:spacing w:line="360" w:lineRule="auto"/>
        <w:rPr>
          <w:rFonts w:ascii="宋体" w:hAnsi="宋体" w:eastAsia="宋体" w:cs="宋体"/>
          <w:sz w:val="28"/>
          <w:szCs w:val="28"/>
          <w:lang w:eastAsia="zh-CN" w:bidi="ar"/>
        </w:rPr>
      </w:pPr>
    </w:p>
    <w:p>
      <w:pPr>
        <w:pStyle w:val="2"/>
        <w:rPr>
          <w:rFonts w:hint="default" w:ascii="仿宋" w:hAnsi="仿宋" w:eastAsia="仿宋" w:cs="仿宋"/>
          <w:sz w:val="28"/>
          <w:szCs w:val="28"/>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86"/>
    <w:family w:val="script"/>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00" w:usb3="00000000" w:csb0="0006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EB367"/>
    <w:rsid w:val="5FFFF74E"/>
    <w:rsid w:val="6EEEB367"/>
    <w:rsid w:val="7F7ED7ED"/>
    <w:rsid w:val="7F7F0C0A"/>
    <w:rsid w:val="7FEB151D"/>
    <w:rsid w:val="F39F2773"/>
    <w:rsid w:val="FEFCD378"/>
    <w:rsid w:val="FF3D5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2023-04-08T04:08:00Z</dcterms:created>
  <dc:creator>Nymphs</dc:creator>
  <cp:lastModifiedBy>Nymphs</cp:lastModifiedBy>
  <dcterms:modified xsi:type="dcterms:W3CDTF">2024-04-25T14:22:17Z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0582703DEF7B464C5CB31C66654BA2A1_43</vt:lpwstr>
  </property>
</Properties>
</file>