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after="157" w:afterLines="50" w:line="700" w:lineRule="exact"/>
        <w:jc w:val="center"/>
        <w:rPr>
          <w:rFonts w:hint="eastAsia" w:ascii="宋体" w:hAnsi="宋体" w:eastAsia="宋体" w:cs="宋体"/>
          <w:color w:val="auto"/>
          <w:sz w:val="44"/>
          <w:szCs w:val="44"/>
        </w:rPr>
      </w:pPr>
      <w:r>
        <w:rPr>
          <w:rFonts w:hint="eastAsia" w:ascii="宋体" w:hAnsi="宋体" w:eastAsia="宋体" w:cs="宋体"/>
          <w:color w:val="auto"/>
          <w:sz w:val="44"/>
          <w:szCs w:val="44"/>
        </w:rPr>
        <w:t>关于</w:t>
      </w:r>
      <w:r>
        <w:rPr>
          <w:rFonts w:hint="eastAsia" w:ascii="宋体" w:hAnsi="宋体" w:eastAsia="宋体" w:cs="宋体"/>
          <w:color w:val="auto"/>
          <w:sz w:val="44"/>
          <w:szCs w:val="44"/>
          <w:lang w:val="en-US" w:eastAsia="zh-CN"/>
        </w:rPr>
        <w:t>选聘莆田市建峰房地产开发有限公司破产清算案审计机构的</w:t>
      </w:r>
      <w:r>
        <w:rPr>
          <w:rFonts w:hint="eastAsia" w:ascii="宋体" w:hAnsi="宋体" w:eastAsia="宋体" w:cs="宋体"/>
          <w:color w:val="auto"/>
          <w:sz w:val="44"/>
          <w:szCs w:val="44"/>
        </w:rPr>
        <w:t>公告</w:t>
      </w:r>
    </w:p>
    <w:p>
      <w:pPr>
        <w:pStyle w:val="5"/>
        <w:spacing w:line="360" w:lineRule="auto"/>
        <w:ind w:firstLine="480" w:firstLineChars="20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2023年10月27日，莆田市中级人民法院作出（2023）闽03破申128号《民事裁定书》，裁定受理对莆田市建峰房地产开发有限公司（下称“建峰公司”）的破产清算申请，并于2023年11月17日作出（2023）闽03破申128号之一《民事裁定书》，裁定本案由仙游县人民法院审理。2023年12月4日，仙游县人民法院作出（2023）闽0322破26号《决定书》，决定由莆田市建峰房地产开发有限公司清算组担任本案破产管理人。</w:t>
      </w:r>
    </w:p>
    <w:p>
      <w:pPr>
        <w:pStyle w:val="5"/>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为顺利推进</w:t>
      </w:r>
      <w:r>
        <w:rPr>
          <w:rFonts w:hint="eastAsia" w:ascii="宋体" w:hAnsi="宋体" w:eastAsia="宋体" w:cs="宋体"/>
          <w:color w:val="000000" w:themeColor="text1"/>
          <w:sz w:val="24"/>
          <w:szCs w:val="24"/>
          <w:lang w:val="en-US" w:eastAsia="zh-CN"/>
          <w14:textFill>
            <w14:solidFill>
              <w14:schemeClr w14:val="tx1"/>
            </w14:solidFill>
          </w14:textFill>
        </w:rPr>
        <w:t>建峰公司破产清算</w:t>
      </w:r>
      <w:r>
        <w:rPr>
          <w:rFonts w:hint="eastAsia" w:ascii="宋体" w:hAnsi="宋体" w:eastAsia="宋体" w:cs="宋体"/>
          <w:color w:val="000000" w:themeColor="text1"/>
          <w:sz w:val="24"/>
          <w:szCs w:val="24"/>
          <w14:textFill>
            <w14:solidFill>
              <w14:schemeClr w14:val="tx1"/>
            </w14:solidFill>
          </w14:textFill>
        </w:rPr>
        <w:t>案，经法院许可，管理人决定公开选聘</w:t>
      </w:r>
      <w:r>
        <w:rPr>
          <w:rFonts w:hint="eastAsia" w:ascii="宋体" w:hAnsi="宋体" w:eastAsia="宋体" w:cs="宋体"/>
          <w:color w:val="000000" w:themeColor="text1"/>
          <w:sz w:val="24"/>
          <w:szCs w:val="24"/>
          <w:lang w:val="en-US" w:eastAsia="zh-CN"/>
          <w14:textFill>
            <w14:solidFill>
              <w14:schemeClr w14:val="tx1"/>
            </w14:solidFill>
          </w14:textFill>
        </w:rPr>
        <w:t>审计</w:t>
      </w:r>
      <w:r>
        <w:rPr>
          <w:rFonts w:hint="eastAsia" w:ascii="宋体" w:hAnsi="宋体" w:eastAsia="宋体" w:cs="宋体"/>
          <w:color w:val="000000" w:themeColor="text1"/>
          <w:sz w:val="24"/>
          <w:szCs w:val="24"/>
          <w14:textFill>
            <w14:solidFill>
              <w14:schemeClr w14:val="tx1"/>
            </w14:solidFill>
          </w14:textFill>
        </w:rPr>
        <w:t>机构，对</w:t>
      </w:r>
      <w:r>
        <w:rPr>
          <w:rFonts w:hint="eastAsia" w:ascii="宋体" w:hAnsi="宋体" w:eastAsia="宋体" w:cs="宋体"/>
          <w:color w:val="000000" w:themeColor="text1"/>
          <w:sz w:val="24"/>
          <w:szCs w:val="24"/>
          <w:lang w:val="en-US" w:eastAsia="zh-CN"/>
          <w14:textFill>
            <w14:solidFill>
              <w14:schemeClr w14:val="tx1"/>
            </w14:solidFill>
          </w14:textFill>
        </w:rPr>
        <w:t>建峰公司的资产负债情况进行财务审计，工作成果满足破产工作需求，并出具审计报告</w:t>
      </w:r>
      <w:r>
        <w:rPr>
          <w:rFonts w:hint="eastAsia" w:ascii="宋体" w:hAnsi="宋体" w:eastAsia="宋体" w:cs="宋体"/>
          <w:color w:val="000000" w:themeColor="text1"/>
          <w:sz w:val="24"/>
          <w:szCs w:val="24"/>
          <w14:textFill>
            <w14:solidFill>
              <w14:schemeClr w14:val="tx1"/>
            </w14:solidFill>
          </w14:textFill>
        </w:rPr>
        <w:t>。现将管理人选聘</w:t>
      </w:r>
      <w:r>
        <w:rPr>
          <w:rFonts w:hint="eastAsia" w:ascii="宋体" w:hAnsi="宋体" w:eastAsia="宋体" w:cs="宋体"/>
          <w:color w:val="000000" w:themeColor="text1"/>
          <w:sz w:val="24"/>
          <w:szCs w:val="24"/>
          <w:lang w:val="en-US" w:eastAsia="zh-CN"/>
          <w14:textFill>
            <w14:solidFill>
              <w14:schemeClr w14:val="tx1"/>
            </w14:solidFill>
          </w14:textFill>
        </w:rPr>
        <w:t>审计</w:t>
      </w:r>
      <w:r>
        <w:rPr>
          <w:rFonts w:hint="eastAsia" w:ascii="宋体" w:hAnsi="宋体" w:eastAsia="宋体" w:cs="宋体"/>
          <w:color w:val="000000" w:themeColor="text1"/>
          <w:sz w:val="24"/>
          <w:szCs w:val="24"/>
          <w14:textFill>
            <w14:solidFill>
              <w14:schemeClr w14:val="tx1"/>
            </w14:solidFill>
          </w14:textFill>
        </w:rPr>
        <w:t>机构的相关事宜公告如下</w:t>
      </w:r>
      <w:r>
        <w:rPr>
          <w:rFonts w:hint="eastAsia" w:ascii="宋体" w:hAnsi="宋体" w:eastAsia="宋体" w:cs="宋体"/>
          <w:color w:val="000000" w:themeColor="text1"/>
          <w:sz w:val="24"/>
          <w:szCs w:val="24"/>
          <w:lang w:eastAsia="zh-CN"/>
          <w14:textFill>
            <w14:solidFill>
              <w14:schemeClr w14:val="tx1"/>
            </w14:solidFill>
          </w14:textFill>
        </w:rPr>
        <w:t>：</w:t>
      </w:r>
    </w:p>
    <w:p>
      <w:pPr>
        <w:pStyle w:val="5"/>
        <w:spacing w:line="360" w:lineRule="auto"/>
        <w:ind w:firstLine="482" w:firstLineChars="200"/>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一、基本情况</w:t>
      </w:r>
    </w:p>
    <w:p>
      <w:pPr>
        <w:pStyle w:val="5"/>
        <w:spacing w:line="360" w:lineRule="auto"/>
        <w:ind w:firstLine="480" w:firstLineChars="200"/>
        <w:jc w:val="both"/>
        <w:rPr>
          <w:rFonts w:hint="default" w:ascii="宋体" w:hAnsi="宋体" w:eastAsia="宋体" w:cs="宋体"/>
          <w:b/>
          <w:bCs w:val="0"/>
          <w:color w:val="auto"/>
          <w:sz w:val="24"/>
          <w:szCs w:val="24"/>
          <w:lang w:val="en-US" w:eastAsia="zh-CN"/>
        </w:rPr>
      </w:pPr>
      <w:r>
        <w:rPr>
          <w:rFonts w:hint="eastAsia" w:ascii="宋体" w:hAnsi="宋体" w:eastAsia="宋体" w:cs="宋体"/>
          <w:color w:val="000000" w:themeColor="text1"/>
          <w:sz w:val="24"/>
          <w:szCs w:val="24"/>
          <w:lang w:val="en-US" w:eastAsia="zh-CN"/>
          <w14:textFill>
            <w14:solidFill>
              <w14:schemeClr w14:val="tx1"/>
            </w14:solidFill>
          </w14:textFill>
        </w:rPr>
        <w:t>建峰公司</w:t>
      </w:r>
      <w:r>
        <w:rPr>
          <w:rFonts w:hint="eastAsia" w:ascii="宋体" w:hAnsi="宋体" w:eastAsia="宋体" w:cs="宋体"/>
          <w:bCs/>
          <w:color w:val="auto"/>
          <w:sz w:val="24"/>
          <w:szCs w:val="24"/>
          <w:lang w:val="en-US" w:eastAsia="zh-CN"/>
        </w:rPr>
        <w:t>于1999年2月6日经莆田市市场监督管理局登记</w:t>
      </w:r>
      <w:r>
        <w:rPr>
          <w:rFonts w:hint="eastAsia" w:ascii="宋体" w:hAnsi="宋体" w:eastAsia="宋体" w:cs="宋体"/>
          <w:color w:val="000000" w:themeColor="text1"/>
          <w:sz w:val="24"/>
          <w:szCs w:val="24"/>
          <w14:textFill>
            <w14:solidFill>
              <w14:schemeClr w14:val="tx1"/>
            </w14:solidFill>
          </w14:textFill>
        </w:rPr>
        <w:t>注册</w:t>
      </w:r>
      <w:r>
        <w:rPr>
          <w:rFonts w:hint="eastAsia" w:ascii="宋体" w:hAnsi="宋体" w:eastAsia="宋体" w:cs="宋体"/>
          <w:bCs/>
          <w:color w:val="auto"/>
          <w:sz w:val="24"/>
          <w:szCs w:val="24"/>
          <w:lang w:val="en-US" w:eastAsia="zh-CN"/>
        </w:rPr>
        <w:t>，企业类型为有限责任公司（自然人投资或控股），</w:t>
      </w:r>
      <w:r>
        <w:rPr>
          <w:rFonts w:hint="eastAsia" w:ascii="宋体" w:hAnsi="宋体" w:eastAsia="宋体" w:cs="宋体"/>
          <w:color w:val="000000" w:themeColor="text1"/>
          <w:sz w:val="24"/>
          <w:szCs w:val="24"/>
          <w14:textFill>
            <w14:solidFill>
              <w14:schemeClr w14:val="tx1"/>
            </w14:solidFill>
          </w14:textFill>
        </w:rPr>
        <w:t>经营范围：房地产开发及商品房销售</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建材批发。</w:t>
      </w:r>
      <w:r>
        <w:rPr>
          <w:rFonts w:hint="eastAsia" w:ascii="宋体" w:hAnsi="宋体" w:eastAsia="宋体" w:cs="宋体"/>
          <w:color w:val="000000" w:themeColor="text1"/>
          <w:sz w:val="24"/>
          <w:szCs w:val="24"/>
          <w:lang w:val="en-US" w:eastAsia="zh-CN"/>
          <w14:textFill>
            <w14:solidFill>
              <w14:schemeClr w14:val="tx1"/>
            </w14:solidFill>
          </w14:textFill>
        </w:rPr>
        <w:t>公司</w:t>
      </w:r>
      <w:r>
        <w:rPr>
          <w:rFonts w:hint="eastAsia" w:ascii="宋体" w:hAnsi="宋体" w:eastAsia="宋体" w:cs="宋体"/>
          <w:color w:val="000000" w:themeColor="text1"/>
          <w:sz w:val="24"/>
          <w:szCs w:val="24"/>
          <w14:textFill>
            <w14:solidFill>
              <w14:schemeClr w14:val="tx1"/>
            </w14:solidFill>
          </w14:textFill>
        </w:rPr>
        <w:t>主要办事机构所在地及实际经营场所均位于福建省</w:t>
      </w:r>
      <w:r>
        <w:rPr>
          <w:rFonts w:hint="eastAsia" w:ascii="宋体" w:hAnsi="宋体" w:eastAsia="宋体" w:cs="宋体"/>
          <w:color w:val="000000" w:themeColor="text1"/>
          <w:sz w:val="24"/>
          <w:szCs w:val="24"/>
          <w:lang w:val="en-US" w:eastAsia="zh-CN"/>
          <w14:textFill>
            <w14:solidFill>
              <w14:schemeClr w14:val="tx1"/>
            </w14:solidFill>
          </w14:textFill>
        </w:rPr>
        <w:t>莆田市仙游县</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b/>
          <w:bCs w:val="0"/>
          <w:color w:val="auto"/>
          <w:sz w:val="24"/>
          <w:szCs w:val="24"/>
          <w:lang w:val="en-US" w:eastAsia="zh-CN"/>
        </w:rPr>
        <w:t>莆田市建峰房地产开发有限公司清算组被仙游县人民法院指定为管理人后，至今尚未接管到建峰公司任何财务账册。</w:t>
      </w:r>
    </w:p>
    <w:p>
      <w:pPr>
        <w:pStyle w:val="5"/>
        <w:spacing w:line="360" w:lineRule="auto"/>
        <w:ind w:firstLine="480" w:firstLineChars="200"/>
        <w:jc w:val="both"/>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rPr>
        <w:t>建峰公司名下</w:t>
      </w:r>
      <w:r>
        <w:rPr>
          <w:rFonts w:hint="eastAsia" w:ascii="宋体" w:hAnsi="宋体" w:eastAsia="宋体" w:cs="宋体"/>
          <w:bCs/>
          <w:color w:val="auto"/>
          <w:sz w:val="24"/>
          <w:szCs w:val="24"/>
          <w:lang w:eastAsia="zh-CN"/>
        </w:rPr>
        <w:t>“</w:t>
      </w:r>
      <w:r>
        <w:rPr>
          <w:rFonts w:hint="eastAsia" w:ascii="宋体" w:hAnsi="宋体" w:eastAsia="宋体" w:cs="宋体"/>
          <w:bCs/>
          <w:color w:val="auto"/>
          <w:sz w:val="24"/>
          <w:szCs w:val="24"/>
        </w:rPr>
        <w:t>中央名苑</w:t>
      </w:r>
      <w:r>
        <w:rPr>
          <w:rFonts w:hint="eastAsia" w:ascii="宋体" w:hAnsi="宋体" w:eastAsia="宋体" w:cs="宋体"/>
          <w:bCs/>
          <w:color w:val="auto"/>
          <w:sz w:val="24"/>
          <w:szCs w:val="24"/>
          <w:lang w:eastAsia="zh-CN"/>
        </w:rPr>
        <w:t>”</w:t>
      </w:r>
      <w:r>
        <w:rPr>
          <w:rFonts w:hint="eastAsia" w:ascii="宋体" w:hAnsi="宋体" w:eastAsia="宋体" w:cs="宋体"/>
          <w:bCs/>
          <w:color w:val="auto"/>
          <w:sz w:val="24"/>
          <w:szCs w:val="24"/>
        </w:rPr>
        <w:t>项目于2013年6月开工建设，后因开发企业资金链断裂，2015年下半年停工至今。</w:t>
      </w:r>
      <w:r>
        <w:rPr>
          <w:rFonts w:hint="eastAsia" w:ascii="宋体" w:hAnsi="宋体" w:eastAsia="宋体" w:cs="宋体"/>
          <w:bCs/>
          <w:color w:val="auto"/>
          <w:sz w:val="24"/>
          <w:szCs w:val="24"/>
          <w:lang w:val="en-US" w:eastAsia="zh-CN"/>
        </w:rPr>
        <w:t>项目位于枫亭镇麟山村，土地建筑面积总计15242.17㎡，目前</w:t>
      </w:r>
      <w:r>
        <w:rPr>
          <w:rFonts w:hint="eastAsia" w:ascii="宋体" w:hAnsi="宋体" w:eastAsia="宋体" w:cs="宋体"/>
          <w:bCs/>
          <w:color w:val="auto"/>
          <w:sz w:val="24"/>
          <w:szCs w:val="24"/>
        </w:rPr>
        <w:t>已建有1#、2#、3#、5#楼，其中，1#已施工至外墙粉刷，2#、3#、5#已施工至室内水电及门窗安装，配套设施未完成</w:t>
      </w:r>
      <w:r>
        <w:rPr>
          <w:rFonts w:hint="eastAsia" w:ascii="宋体" w:hAnsi="宋体" w:eastAsia="宋体" w:cs="宋体"/>
          <w:bCs/>
          <w:color w:val="auto"/>
          <w:sz w:val="24"/>
          <w:szCs w:val="24"/>
          <w:lang w:eastAsia="zh-CN"/>
        </w:rPr>
        <w:t>。</w:t>
      </w:r>
    </w:p>
    <w:p>
      <w:pPr>
        <w:pStyle w:val="5"/>
        <w:spacing w:line="360" w:lineRule="auto"/>
        <w:ind w:firstLine="482" w:firstLineChars="200"/>
        <w:rPr>
          <w:rFonts w:hint="default"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二、选聘审计机构的工作内容</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审计机构</w:t>
      </w:r>
      <w:r>
        <w:rPr>
          <w:rFonts w:hint="eastAsia" w:ascii="宋体" w:hAnsi="宋体" w:eastAsia="宋体" w:cs="宋体"/>
          <w:color w:val="000000" w:themeColor="text1"/>
          <w:sz w:val="24"/>
          <w:szCs w:val="24"/>
          <w14:textFill>
            <w14:solidFill>
              <w14:schemeClr w14:val="tx1"/>
            </w14:solidFill>
          </w14:textFill>
        </w:rPr>
        <w:t>工作</w:t>
      </w:r>
      <w:r>
        <w:rPr>
          <w:rFonts w:hint="eastAsia" w:ascii="宋体" w:hAnsi="宋体" w:eastAsia="宋体" w:cs="宋体"/>
          <w:color w:val="000000" w:themeColor="text1"/>
          <w:sz w:val="24"/>
          <w:szCs w:val="24"/>
          <w:lang w:val="en-US" w:eastAsia="zh-CN"/>
          <w14:textFill>
            <w14:solidFill>
              <w14:schemeClr w14:val="tx1"/>
            </w14:solidFill>
          </w14:textFill>
        </w:rPr>
        <w:t>范围对建峰公司的资产负债情况进行财务审计，工作成果满足破产工作需求，并出具审计报告</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包括但不限于下列事项：</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1、审查债务人提供的流动资产与固定资产清册；</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2、全面审查债务人的财务状况，及时调整账目、报表；</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3、组织对债务人财产的盘点工作；</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4、处理债务人的呆账、坏账的核销；</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5、处理债务人资产的盘盈、盘亏及报废工作；</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6、配合管理人审核债权，与管理人共同编制债权债务清册；</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7、协助为债务人处理纳税申报事宜；</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8、按管理人要求提交审计报告；</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9、根据管理人的要求列席债权人会议；</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10、根据管理人工作的实际情况，需要审计机构提供的其他专业服务；</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11、专门审计事项包括但不限于：自</w:t>
      </w:r>
      <w:r>
        <w:rPr>
          <w:rFonts w:hint="eastAsia" w:ascii="宋体" w:hAnsi="宋体" w:eastAsia="宋体" w:cs="宋体"/>
          <w:color w:val="000000" w:themeColor="text1"/>
          <w:sz w:val="24"/>
          <w:szCs w:val="24"/>
          <w:lang w:val="en-US" w:eastAsia="zh-CN"/>
          <w14:textFill>
            <w14:solidFill>
              <w14:schemeClr w14:val="tx1"/>
            </w14:solidFill>
          </w14:textFill>
        </w:rPr>
        <w:t>建峰</w:t>
      </w:r>
      <w:r>
        <w:rPr>
          <w:rFonts w:hint="eastAsia" w:ascii="宋体" w:hAnsi="宋体" w:eastAsia="宋体" w:cs="宋体"/>
          <w:color w:val="000000" w:themeColor="text1"/>
          <w:sz w:val="24"/>
          <w:szCs w:val="24"/>
          <w14:textFill>
            <w14:solidFill>
              <w14:schemeClr w14:val="tx1"/>
            </w14:solidFill>
          </w14:textFill>
        </w:rPr>
        <w:t>公司成立以来债务人的财务账，并审查自公司成立以来：</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股东出资是否到位，是否有资产转移、抽逃出资的行为；公司董事、监事、高级管理人员在履行职务过程中是否存在与债务人及债权人的不当交易从而损害债务人、其他债权人的行为，及是否存在董事、监事、高级管理人员利用职权从债务人获取非正常收入和侵占企业财产的行为，就公司与其他关联方的人格混同独立发表意见；</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（2）债务人为逃避债务而隐匿、转移财产的行为及虚构债务或者承认不真实债务的行为。若有上述行为，审计机构应向管理人书面说明并在审计报告中明确披露；</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（3）审计机构应当对</w:t>
      </w:r>
      <w:r>
        <w:rPr>
          <w:rFonts w:hint="eastAsia" w:ascii="宋体" w:hAnsi="宋体" w:eastAsia="宋体" w:cs="宋体"/>
          <w:color w:val="000000" w:themeColor="text1"/>
          <w:sz w:val="24"/>
          <w:szCs w:val="24"/>
          <w:lang w:val="en-US" w:eastAsia="zh-CN"/>
          <w14:textFill>
            <w14:solidFill>
              <w14:schemeClr w14:val="tx1"/>
            </w14:solidFill>
          </w14:textFill>
        </w:rPr>
        <w:t>建峰</w:t>
      </w:r>
      <w:r>
        <w:rPr>
          <w:rFonts w:hint="eastAsia" w:ascii="宋体" w:hAnsi="宋体" w:eastAsia="宋体" w:cs="宋体"/>
          <w:color w:val="000000" w:themeColor="text1"/>
          <w:sz w:val="24"/>
          <w:szCs w:val="24"/>
          <w14:textFill>
            <w14:solidFill>
              <w14:schemeClr w14:val="tx1"/>
            </w14:solidFill>
          </w14:textFill>
        </w:rPr>
        <w:t>公司破产清算受理之日前一年内是否存在涉及《中华人民共和国企业破产法》第三十一条规定的财务行为和会计业务，对</w:t>
      </w:r>
      <w:r>
        <w:rPr>
          <w:rFonts w:hint="eastAsia" w:ascii="宋体" w:hAnsi="宋体" w:eastAsia="宋体" w:cs="宋体"/>
          <w:color w:val="000000" w:themeColor="text1"/>
          <w:sz w:val="24"/>
          <w:szCs w:val="24"/>
          <w:lang w:val="en-US" w:eastAsia="zh-CN"/>
          <w14:textFill>
            <w14:solidFill>
              <w14:schemeClr w14:val="tx1"/>
            </w14:solidFill>
          </w14:textFill>
        </w:rPr>
        <w:t>建峰</w:t>
      </w:r>
      <w:r>
        <w:rPr>
          <w:rFonts w:hint="eastAsia" w:ascii="宋体" w:hAnsi="宋体" w:eastAsia="宋体" w:cs="宋体"/>
          <w:color w:val="000000" w:themeColor="text1"/>
          <w:sz w:val="24"/>
          <w:szCs w:val="24"/>
          <w14:textFill>
            <w14:solidFill>
              <w14:schemeClr w14:val="tx1"/>
            </w14:solidFill>
          </w14:textFill>
        </w:rPr>
        <w:t>公司破产清算受理之日前六个月内是否存在涉及《中华人民共和国企业破产法》第三十二条规定的财务行为和会计业务，进行全面重点审计。审计中如发现无偿转让财产、以明显不合理的价格进行交易、对没有财产担保的债务提供财产担保、对未到期的债务提前清偿的、放弃债权、个别清偿等行为，审计机构应及时向管理人书面说明并在审计报告中明确披露；</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（4）债务人与其股东、实际控制人、关联企业之间的大额资金往来及其性质；</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（5）债务人为关联企业、第三方担保的情况；</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w:t>
      </w:r>
      <w:r>
        <w:rPr>
          <w:rFonts w:hint="eastAsia" w:ascii="宋体" w:hAnsi="宋体" w:eastAsia="宋体" w:cs="宋体"/>
          <w:color w:val="000000" w:themeColor="text1"/>
          <w:sz w:val="24"/>
          <w:szCs w:val="24"/>
          <w:lang w:val="en-US" w:eastAsia="zh-CN"/>
          <w14:textFill>
            <w14:solidFill>
              <w14:schemeClr w14:val="tx1"/>
            </w14:solidFill>
          </w14:textFill>
        </w:rPr>
        <w:t>建峰</w:t>
      </w:r>
      <w:r>
        <w:rPr>
          <w:rFonts w:hint="eastAsia" w:ascii="宋体" w:hAnsi="宋体" w:eastAsia="宋体" w:cs="宋体"/>
          <w:color w:val="000000" w:themeColor="text1"/>
          <w:sz w:val="24"/>
          <w:szCs w:val="24"/>
          <w14:textFill>
            <w14:solidFill>
              <w14:schemeClr w14:val="tx1"/>
            </w14:solidFill>
          </w14:textFill>
        </w:rPr>
        <w:t>公司资产出租情况（包括租赁资产明细、租金支付、欠付租金等情况）；</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（7）债务人对外投资、第三方代持等情况；</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（8）审查处理</w:t>
      </w:r>
      <w:r>
        <w:rPr>
          <w:rFonts w:hint="eastAsia" w:ascii="宋体" w:hAnsi="宋体" w:eastAsia="宋体" w:cs="宋体"/>
          <w:color w:val="000000" w:themeColor="text1"/>
          <w:sz w:val="24"/>
          <w:szCs w:val="24"/>
          <w:lang w:val="en-US" w:eastAsia="zh-CN"/>
          <w14:textFill>
            <w14:solidFill>
              <w14:schemeClr w14:val="tx1"/>
            </w14:solidFill>
          </w14:textFill>
        </w:rPr>
        <w:t>建峰</w:t>
      </w:r>
      <w:r>
        <w:rPr>
          <w:rFonts w:hint="eastAsia" w:ascii="宋体" w:hAnsi="宋体" w:eastAsia="宋体" w:cs="宋体"/>
          <w:color w:val="000000" w:themeColor="text1"/>
          <w:sz w:val="24"/>
          <w:szCs w:val="24"/>
          <w14:textFill>
            <w14:solidFill>
              <w14:schemeClr w14:val="tx1"/>
            </w14:solidFill>
          </w14:textFill>
        </w:rPr>
        <w:t>公司涉税问题，协助管理人进行税务筹划、所得税汇算清缴等事宜；</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（9）管理人根据实际情况要求的其他专业服务。</w:t>
      </w:r>
    </w:p>
    <w:p>
      <w:pPr>
        <w:pStyle w:val="5"/>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审计机构严格按照上述审计业务要求进行审计，报告中要全部体现。具体工作范围最终以管理人书面委托为准。</w:t>
      </w:r>
    </w:p>
    <w:p>
      <w:pPr>
        <w:pStyle w:val="5"/>
        <w:spacing w:line="360" w:lineRule="auto"/>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6.本次申报应提交</w:t>
      </w:r>
      <w:r>
        <w:rPr>
          <w:rFonts w:hint="eastAsia" w:ascii="宋体" w:hAnsi="宋体" w:eastAsia="宋体" w:cs="宋体"/>
          <w:color w:val="000000" w:themeColor="text1"/>
          <w:sz w:val="24"/>
          <w:szCs w:val="24"/>
          <w14:textFill>
            <w14:solidFill>
              <w14:schemeClr w14:val="tx1"/>
            </w14:solidFill>
          </w14:textFill>
        </w:rPr>
        <w:t>报酬报价方案。</w:t>
      </w:r>
      <w:r>
        <w:rPr>
          <w:rFonts w:hint="eastAsia" w:ascii="宋体" w:hAnsi="宋体" w:eastAsia="宋体" w:cs="宋体"/>
          <w:color w:val="000000" w:themeColor="text1"/>
          <w:sz w:val="24"/>
          <w:szCs w:val="24"/>
          <w:lang w:val="en-US" w:eastAsia="zh-CN"/>
          <w14:textFill>
            <w14:solidFill>
              <w14:schemeClr w14:val="tx1"/>
            </w14:solidFill>
          </w14:textFill>
        </w:rPr>
        <w:t>审计费用参照《福建省会计师事务所服务收费标准》（闽价服〔2014〕149号，附件二）计件收费指导标准的上限，且报价最低者为本案受聘机构，开展本案相关审计工作。</w:t>
      </w:r>
    </w:p>
    <w:p>
      <w:pPr>
        <w:pStyle w:val="5"/>
        <w:spacing w:line="360" w:lineRule="auto"/>
        <w:ind w:firstLine="482" w:firstLineChars="200"/>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四</w:t>
      </w:r>
      <w:r>
        <w:rPr>
          <w:rFonts w:hint="eastAsia" w:ascii="宋体" w:hAnsi="宋体" w:eastAsia="宋体" w:cs="宋体"/>
          <w:b/>
          <w:bCs/>
          <w:color w:val="000000" w:themeColor="text1"/>
          <w:sz w:val="24"/>
          <w:szCs w:val="24"/>
          <w14:textFill>
            <w14:solidFill>
              <w14:schemeClr w14:val="tx1"/>
            </w14:solidFill>
          </w14:textFill>
        </w:rPr>
        <w:t>、申报方式</w:t>
      </w:r>
    </w:p>
    <w:p>
      <w:pPr>
        <w:pStyle w:val="5"/>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申报机构应于申报期限届满前向本</w:t>
      </w:r>
      <w:r>
        <w:rPr>
          <w:rFonts w:hint="eastAsia" w:ascii="宋体" w:hAnsi="宋体" w:eastAsia="宋体" w:cs="宋体"/>
          <w:color w:val="000000" w:themeColor="text1"/>
          <w:sz w:val="24"/>
          <w:szCs w:val="24"/>
          <w:lang w:val="en-US" w:eastAsia="zh-CN"/>
          <w14:textFill>
            <w14:solidFill>
              <w14:schemeClr w14:val="tx1"/>
            </w14:solidFill>
          </w14:textFill>
        </w:rPr>
        <w:t>单位</w:t>
      </w:r>
      <w:r>
        <w:rPr>
          <w:rFonts w:hint="eastAsia" w:ascii="宋体" w:hAnsi="宋体" w:eastAsia="宋体" w:cs="宋体"/>
          <w:color w:val="000000" w:themeColor="text1"/>
          <w:sz w:val="24"/>
          <w:szCs w:val="24"/>
          <w14:textFill>
            <w14:solidFill>
              <w14:schemeClr w14:val="tx1"/>
            </w14:solidFill>
          </w14:textFill>
        </w:rPr>
        <w:t>提交申报文件一式二份及与申报文件相对应的证件、资料、凭证复印件。</w:t>
      </w:r>
    </w:p>
    <w:p>
      <w:pPr>
        <w:pStyle w:val="5"/>
        <w:spacing w:line="360" w:lineRule="auto"/>
        <w:ind w:firstLine="482" w:firstLineChars="200"/>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五</w:t>
      </w:r>
      <w:r>
        <w:rPr>
          <w:rFonts w:hint="eastAsia" w:ascii="宋体" w:hAnsi="宋体" w:eastAsia="宋体" w:cs="宋体"/>
          <w:b/>
          <w:bCs/>
          <w:color w:val="000000" w:themeColor="text1"/>
          <w:sz w:val="24"/>
          <w:szCs w:val="24"/>
          <w14:textFill>
            <w14:solidFill>
              <w14:schemeClr w14:val="tx1"/>
            </w14:solidFill>
          </w14:textFill>
        </w:rPr>
        <w:t>、申报时间</w:t>
      </w:r>
    </w:p>
    <w:p>
      <w:pPr>
        <w:pStyle w:val="5"/>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w:t>
      </w:r>
      <w:r>
        <w:rPr>
          <w:rFonts w:hint="eastAsia" w:ascii="宋体" w:hAnsi="宋体" w:eastAsia="宋体" w:cs="宋体"/>
          <w:color w:val="000000" w:themeColor="text1"/>
          <w:sz w:val="24"/>
          <w:szCs w:val="24"/>
          <w:lang w:val="en-US" w:eastAsia="zh-CN"/>
          <w14:textFill>
            <w14:solidFill>
              <w14:schemeClr w14:val="tx1"/>
            </w14:solidFill>
          </w14:textFill>
        </w:rPr>
        <w:t>单位</w:t>
      </w:r>
      <w:r>
        <w:rPr>
          <w:rFonts w:hint="eastAsia" w:ascii="宋体" w:hAnsi="宋体" w:eastAsia="宋体" w:cs="宋体"/>
          <w:color w:val="000000" w:themeColor="text1"/>
          <w:sz w:val="24"/>
          <w:szCs w:val="24"/>
          <w14:textFill>
            <w14:solidFill>
              <w14:schemeClr w14:val="tx1"/>
            </w14:solidFill>
          </w14:textFill>
        </w:rPr>
        <w:t>只接受现场报名，不接受电话、网络等报名方式。申报期限截至202</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20</w:t>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color w:val="000000" w:themeColor="text1"/>
          <w:sz w:val="24"/>
          <w:szCs w:val="24"/>
          <w:lang w:val="en-US" w:eastAsia="zh-CN"/>
          <w14:textFill>
            <w14:solidFill>
              <w14:schemeClr w14:val="tx1"/>
            </w14:solidFill>
          </w14:textFill>
        </w:rPr>
        <w:t>17</w:t>
      </w:r>
      <w:r>
        <w:rPr>
          <w:rFonts w:hint="eastAsia" w:ascii="宋体" w:hAnsi="宋体" w:eastAsia="宋体" w:cs="宋体"/>
          <w:color w:val="000000" w:themeColor="text1"/>
          <w:sz w:val="24"/>
          <w:szCs w:val="24"/>
          <w14:textFill>
            <w14:solidFill>
              <w14:schemeClr w14:val="tx1"/>
            </w14:solidFill>
          </w14:textFill>
        </w:rPr>
        <w:t>时，申报机构须在此期限前到</w:t>
      </w:r>
      <w:r>
        <w:rPr>
          <w:rFonts w:hint="eastAsia" w:ascii="宋体" w:hAnsi="宋体" w:eastAsia="宋体" w:cs="宋体"/>
          <w:color w:val="000000" w:themeColor="text1"/>
          <w:sz w:val="24"/>
          <w:szCs w:val="24"/>
          <w:lang w:val="en-US" w:eastAsia="zh-CN"/>
          <w14:textFill>
            <w14:solidFill>
              <w14:schemeClr w14:val="tx1"/>
            </w14:solidFill>
          </w14:textFill>
        </w:rPr>
        <w:t>仙游县住建局</w:t>
      </w:r>
      <w:r>
        <w:rPr>
          <w:rFonts w:hint="eastAsia" w:ascii="宋体" w:hAnsi="宋体" w:eastAsia="宋体" w:cs="宋体"/>
          <w:color w:val="000000" w:themeColor="text1"/>
          <w:sz w:val="24"/>
          <w:szCs w:val="24"/>
          <w14:textFill>
            <w14:solidFill>
              <w14:schemeClr w14:val="tx1"/>
            </w14:solidFill>
          </w14:textFill>
        </w:rPr>
        <w:t>递交书面申报资料。</w:t>
      </w:r>
    </w:p>
    <w:p>
      <w:pPr>
        <w:pStyle w:val="5"/>
        <w:spacing w:line="360" w:lineRule="auto"/>
        <w:ind w:firstLine="482" w:firstLineChars="200"/>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六</w:t>
      </w:r>
      <w:r>
        <w:rPr>
          <w:rFonts w:hint="eastAsia" w:ascii="宋体" w:hAnsi="宋体" w:eastAsia="宋体" w:cs="宋体"/>
          <w:b/>
          <w:bCs/>
          <w:color w:val="000000" w:themeColor="text1"/>
          <w:sz w:val="24"/>
          <w:szCs w:val="24"/>
          <w14:textFill>
            <w14:solidFill>
              <w14:schemeClr w14:val="tx1"/>
            </w14:solidFill>
          </w14:textFill>
        </w:rPr>
        <w:t>、</w:t>
      </w:r>
      <w:r>
        <w:rPr>
          <w:rFonts w:hint="eastAsia" w:ascii="宋体" w:hAnsi="宋体" w:eastAsia="宋体" w:cs="宋体"/>
          <w:b/>
          <w:bCs/>
          <w:color w:val="000000" w:themeColor="text1"/>
          <w:sz w:val="24"/>
          <w:szCs w:val="24"/>
          <w:lang w:eastAsia="zh-CN"/>
          <w14:textFill>
            <w14:solidFill>
              <w14:schemeClr w14:val="tx1"/>
            </w14:solidFill>
          </w14:textFill>
        </w:rPr>
        <w:t>选聘</w:t>
      </w:r>
      <w:r>
        <w:rPr>
          <w:rFonts w:hint="eastAsia" w:ascii="宋体" w:hAnsi="宋体" w:eastAsia="宋体" w:cs="宋体"/>
          <w:b/>
          <w:bCs/>
          <w:color w:val="000000" w:themeColor="text1"/>
          <w:sz w:val="24"/>
          <w:szCs w:val="24"/>
          <w14:textFill>
            <w14:solidFill>
              <w14:schemeClr w14:val="tx1"/>
            </w14:solidFill>
          </w14:textFill>
        </w:rPr>
        <w:t>规则</w:t>
      </w:r>
    </w:p>
    <w:p>
      <w:pPr>
        <w:pStyle w:val="5"/>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由莆田市建峰房地产开发有限公司管理人按照本次选聘的申报条件及评分指标评审选定中介机构</w:t>
      </w:r>
      <w:r>
        <w:rPr>
          <w:rFonts w:hint="eastAsia" w:ascii="宋体" w:hAnsi="宋体" w:eastAsia="宋体" w:cs="宋体"/>
          <w:color w:val="000000" w:themeColor="text1"/>
          <w:sz w:val="24"/>
          <w:szCs w:val="24"/>
          <w14:textFill>
            <w14:solidFill>
              <w14:schemeClr w14:val="tx1"/>
            </w14:solidFill>
          </w14:textFill>
        </w:rPr>
        <w:t>。</w:t>
      </w:r>
    </w:p>
    <w:p>
      <w:pPr>
        <w:pStyle w:val="5"/>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管理人将在符合上述报名条件的报名机构中，以价低者中标。如同时有两家及以上的报名机构提供的报价均是最低价，管理人将综合考虑报名机构开展工作的便利性、人员安排、规模、经验、出具报告时间等因素，在其中择优选择一家。如仅有一家机构报名的，则直接选定该机构为本项目</w:t>
      </w:r>
      <w:r>
        <w:rPr>
          <w:rFonts w:hint="eastAsia" w:ascii="宋体" w:hAnsi="宋体" w:eastAsia="宋体" w:cs="宋体"/>
          <w:color w:val="000000" w:themeColor="text1"/>
          <w:sz w:val="24"/>
          <w:szCs w:val="24"/>
          <w:lang w:val="en-US" w:eastAsia="zh-CN"/>
          <w14:textFill>
            <w14:solidFill>
              <w14:schemeClr w14:val="tx1"/>
            </w14:solidFill>
          </w14:textFill>
        </w:rPr>
        <w:t>中介机构。</w:t>
      </w:r>
    </w:p>
    <w:p>
      <w:pPr>
        <w:pStyle w:val="5"/>
        <w:spacing w:line="360" w:lineRule="auto"/>
        <w:ind w:firstLine="482" w:firstLineChars="200"/>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七</w:t>
      </w:r>
      <w:r>
        <w:rPr>
          <w:rFonts w:hint="eastAsia" w:ascii="宋体" w:hAnsi="宋体" w:eastAsia="宋体" w:cs="宋体"/>
          <w:b/>
          <w:bCs/>
          <w:color w:val="000000" w:themeColor="text1"/>
          <w:sz w:val="24"/>
          <w:szCs w:val="24"/>
          <w14:textFill>
            <w14:solidFill>
              <w14:schemeClr w14:val="tx1"/>
            </w14:solidFill>
          </w14:textFill>
        </w:rPr>
        <w:t>、需要说明的事项</w:t>
      </w:r>
    </w:p>
    <w:p>
      <w:pPr>
        <w:pStyle w:val="5"/>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本公告未尽事项，按照</w:t>
      </w:r>
      <w:r>
        <w:rPr>
          <w:rFonts w:hint="eastAsia" w:ascii="宋体" w:hAnsi="宋体" w:eastAsia="宋体" w:cs="宋体"/>
          <w:color w:val="000000" w:themeColor="text1"/>
          <w:sz w:val="24"/>
          <w:szCs w:val="24"/>
          <w:lang w:val="en-US" w:eastAsia="zh-CN"/>
          <w14:textFill>
            <w14:solidFill>
              <w14:schemeClr w14:val="tx1"/>
            </w14:solidFill>
          </w14:textFill>
        </w:rPr>
        <w:t>相关法律、</w:t>
      </w:r>
      <w:r>
        <w:rPr>
          <w:rFonts w:hint="eastAsia" w:ascii="宋体" w:hAnsi="宋体" w:eastAsia="宋体" w:cs="宋体"/>
          <w:color w:val="000000" w:themeColor="text1"/>
          <w:sz w:val="24"/>
          <w:szCs w:val="24"/>
          <w14:textFill>
            <w14:solidFill>
              <w14:schemeClr w14:val="tx1"/>
            </w14:solidFill>
          </w14:textFill>
        </w:rPr>
        <w:t>司法解释执行。</w:t>
      </w:r>
    </w:p>
    <w:p>
      <w:pPr>
        <w:pStyle w:val="5"/>
        <w:spacing w:line="360" w:lineRule="auto"/>
        <w:ind w:firstLine="482" w:firstLineChars="200"/>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八</w:t>
      </w:r>
      <w:r>
        <w:rPr>
          <w:rFonts w:hint="eastAsia" w:ascii="宋体" w:hAnsi="宋体" w:eastAsia="宋体" w:cs="宋体"/>
          <w:b/>
          <w:bCs/>
          <w:color w:val="000000" w:themeColor="text1"/>
          <w:sz w:val="24"/>
          <w:szCs w:val="24"/>
          <w14:textFill>
            <w14:solidFill>
              <w14:schemeClr w14:val="tx1"/>
            </w14:solidFill>
          </w14:textFill>
        </w:rPr>
        <w:t>、申报地点及联系人</w:t>
      </w:r>
    </w:p>
    <w:p>
      <w:pPr>
        <w:pStyle w:val="5"/>
        <w:spacing w:line="360" w:lineRule="auto"/>
        <w:ind w:firstLine="480" w:firstLineChars="200"/>
        <w:jc w:val="both"/>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申报地点：仙游县行政中心东附属楼</w:t>
      </w:r>
      <w:r>
        <w:rPr>
          <w:rFonts w:hint="eastAsia" w:ascii="宋体" w:hAnsi="宋体" w:eastAsia="宋体" w:cs="宋体"/>
          <w:color w:val="000000" w:themeColor="text1"/>
          <w:sz w:val="24"/>
          <w:szCs w:val="24"/>
          <w:lang w:eastAsia="zh-CN"/>
          <w14:textFill>
            <w14:solidFill>
              <w14:schemeClr w14:val="tx1"/>
            </w14:solidFill>
          </w14:textFill>
        </w:rPr>
        <w:t>；</w:t>
      </w:r>
    </w:p>
    <w:p>
      <w:pPr>
        <w:pStyle w:val="5"/>
        <w:spacing w:line="360" w:lineRule="auto"/>
        <w:ind w:firstLine="480" w:firstLineChars="20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联系人：</w:t>
      </w:r>
      <w:r>
        <w:rPr>
          <w:rFonts w:hint="eastAsia" w:ascii="宋体" w:hAnsi="宋体" w:eastAsia="宋体" w:cs="宋体"/>
          <w:color w:val="000000" w:themeColor="text1"/>
          <w:sz w:val="24"/>
          <w:szCs w:val="24"/>
          <w:lang w:val="en-US" w:eastAsia="zh-CN"/>
          <w14:textFill>
            <w14:solidFill>
              <w14:schemeClr w14:val="tx1"/>
            </w14:solidFill>
          </w14:textFill>
        </w:rPr>
        <w:t>刘浪云</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联系方式</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18850902329</w:t>
      </w:r>
    </w:p>
    <w:p>
      <w:pPr>
        <w:pStyle w:val="5"/>
        <w:spacing w:line="360" w:lineRule="auto"/>
        <w:ind w:firstLine="480" w:firstLineChars="200"/>
        <w:jc w:val="right"/>
        <w:rPr>
          <w:rFonts w:hint="eastAsia" w:ascii="宋体" w:hAnsi="宋体" w:eastAsia="宋体" w:cs="宋体"/>
          <w:sz w:val="24"/>
          <w:szCs w:val="24"/>
        </w:rPr>
      </w:pPr>
      <w:r>
        <w:rPr>
          <w:rFonts w:hint="eastAsia" w:ascii="宋体" w:hAnsi="宋体" w:eastAsia="宋体" w:cs="宋体"/>
          <w:color w:val="000000" w:themeColor="text1"/>
          <w:sz w:val="24"/>
          <w:szCs w:val="24"/>
          <w14:textFill>
            <w14:solidFill>
              <w14:schemeClr w14:val="tx1"/>
            </w14:solidFill>
          </w14:textFill>
        </w:rPr>
        <w:t>二〇二</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十六</w:t>
      </w:r>
      <w:bookmarkStart w:id="0" w:name="_GoBack"/>
      <w:bookmarkEnd w:id="0"/>
      <w:r>
        <w:rPr>
          <w:rFonts w:hint="eastAsia" w:ascii="宋体" w:hAnsi="宋体" w:eastAsia="宋体" w:cs="宋体"/>
          <w:color w:val="000000" w:themeColor="text1"/>
          <w:sz w:val="24"/>
          <w:szCs w:val="24"/>
          <w14:textFill>
            <w14:solidFill>
              <w14:schemeClr w14:val="tx1"/>
            </w14:solidFill>
          </w14:textFill>
        </w:rPr>
        <w:t>日</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4MzQxMDU1OWI1NjY3ZTU2YzZlM2Q1MTU3ZjA5NjEifQ=="/>
  </w:docVars>
  <w:rsids>
    <w:rsidRoot w:val="54FE437C"/>
    <w:rsid w:val="0FDA7A1E"/>
    <w:rsid w:val="126D4B79"/>
    <w:rsid w:val="1303728B"/>
    <w:rsid w:val="135B0E75"/>
    <w:rsid w:val="16467BBB"/>
    <w:rsid w:val="16EF2001"/>
    <w:rsid w:val="171B2DF6"/>
    <w:rsid w:val="1C202C5C"/>
    <w:rsid w:val="1F751511"/>
    <w:rsid w:val="1FB43DE7"/>
    <w:rsid w:val="1FF95C9E"/>
    <w:rsid w:val="22097CEF"/>
    <w:rsid w:val="23CB7951"/>
    <w:rsid w:val="24E54A43"/>
    <w:rsid w:val="253F23A5"/>
    <w:rsid w:val="289B3D96"/>
    <w:rsid w:val="28FC05AD"/>
    <w:rsid w:val="2D346567"/>
    <w:rsid w:val="2D6C5D01"/>
    <w:rsid w:val="32C97752"/>
    <w:rsid w:val="345474EF"/>
    <w:rsid w:val="348002E4"/>
    <w:rsid w:val="38C34C43"/>
    <w:rsid w:val="3E5C76CC"/>
    <w:rsid w:val="3EB70DA6"/>
    <w:rsid w:val="40B437EF"/>
    <w:rsid w:val="47953C4F"/>
    <w:rsid w:val="4B8169C4"/>
    <w:rsid w:val="4CFB4554"/>
    <w:rsid w:val="4DE82D2A"/>
    <w:rsid w:val="4EC372F3"/>
    <w:rsid w:val="4ED67027"/>
    <w:rsid w:val="4FB235F0"/>
    <w:rsid w:val="53073C53"/>
    <w:rsid w:val="53E83D39"/>
    <w:rsid w:val="54FE437C"/>
    <w:rsid w:val="573174F0"/>
    <w:rsid w:val="57437223"/>
    <w:rsid w:val="5A2E5F69"/>
    <w:rsid w:val="5ADD173D"/>
    <w:rsid w:val="5B48305A"/>
    <w:rsid w:val="5B5A2D8E"/>
    <w:rsid w:val="5B743E4F"/>
    <w:rsid w:val="5DE11544"/>
    <w:rsid w:val="5E2C6C63"/>
    <w:rsid w:val="5FF612D7"/>
    <w:rsid w:val="60C5514D"/>
    <w:rsid w:val="613D2F35"/>
    <w:rsid w:val="64656A2B"/>
    <w:rsid w:val="647E7AED"/>
    <w:rsid w:val="65271F32"/>
    <w:rsid w:val="66F83B86"/>
    <w:rsid w:val="67073DC9"/>
    <w:rsid w:val="6787315C"/>
    <w:rsid w:val="68030A35"/>
    <w:rsid w:val="683E1A6D"/>
    <w:rsid w:val="6BD12BF8"/>
    <w:rsid w:val="6C103720"/>
    <w:rsid w:val="6C3C4515"/>
    <w:rsid w:val="6E9C573F"/>
    <w:rsid w:val="70147557"/>
    <w:rsid w:val="70AB1C6A"/>
    <w:rsid w:val="711A0B9D"/>
    <w:rsid w:val="71866233"/>
    <w:rsid w:val="759E1D9D"/>
    <w:rsid w:val="789B0816"/>
    <w:rsid w:val="7A4D5B40"/>
    <w:rsid w:val="7B0E3521"/>
    <w:rsid w:val="7C5A2796"/>
    <w:rsid w:val="7C993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autoRedefine/>
    <w:semiHidden/>
    <w:qFormat/>
    <w:uiPriority w:val="0"/>
  </w:style>
  <w:style w:type="table" w:default="1" w:styleId="3">
    <w:name w:val="Normal Table"/>
    <w:autoRedefin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15"/>
      <w:szCs w:val="15"/>
      <w:lang w:val="en-US" w:eastAsia="en-US" w:bidi="ar-SA"/>
    </w:rPr>
  </w:style>
  <w:style w:type="paragraph" w:customStyle="1" w:styleId="5">
    <w:name w:val="Default"/>
    <w:autoRedefine/>
    <w:qFormat/>
    <w:uiPriority w:val="0"/>
    <w:pPr>
      <w:widowControl w:val="0"/>
      <w:autoSpaceDE w:val="0"/>
      <w:autoSpaceDN w:val="0"/>
      <w:adjustRightInd w:val="0"/>
    </w:pPr>
    <w:rPr>
      <w:rFonts w:ascii="Arial Unicode MS" w:eastAsia="Arial Unicode MS" w:cs="Arial Unicode MS"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2024-04-16T01:07:00Z</dcterms:created>
  <dc:creator>蔡永健</dc:creator>
  <cp:lastModifiedBy>蔡永健</cp:lastModifiedBy>
  <dcterms:modified xsi:type="dcterms:W3CDTF">2024-04-16T02:58:17Z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3B9BBEEAB6F74ED2B4AA8A7DF07FC1A4_11</vt:lpwstr>
  </property>
</Properties>
</file>