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default" w:ascii="宋体" w:hAnsi="宋体" w:eastAsia="宋体" w:cs="宋体"/>
          <w:b/>
          <w:bCs/>
          <w:sz w:val="32"/>
          <w:szCs w:val="32"/>
          <w:lang w:val="en-US" w:eastAsia="zh-CN"/>
        </w:rPr>
      </w:pPr>
      <w:r>
        <w:rPr>
          <w:rFonts w:hint="eastAsia" w:ascii="宋体" w:hAnsi="宋体" w:eastAsia="宋体" w:cs="宋体"/>
          <w:b/>
          <w:bCs/>
          <w:sz w:val="32"/>
          <w:szCs w:val="32"/>
          <w:lang w:eastAsia="zh-CN"/>
        </w:rPr>
        <w:t>重庆聚悦健康管理有限公司</w:t>
      </w:r>
      <w:r>
        <w:rPr>
          <w:rFonts w:hint="eastAsia" w:ascii="宋体" w:hAnsi="宋体" w:eastAsia="宋体" w:cs="宋体"/>
          <w:b/>
          <w:bCs/>
          <w:sz w:val="32"/>
          <w:szCs w:val="32"/>
          <w:lang w:val="en-US" w:eastAsia="zh-CN"/>
        </w:rPr>
        <w:t>破产清算案</w:t>
      </w:r>
    </w:p>
    <w:p>
      <w:pPr>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rPr>
        <w:t>关于债权申报及召开第一次债权人会议时间的公告</w:t>
      </w:r>
    </w:p>
    <w:p>
      <w:pPr>
        <w:spacing w:line="360" w:lineRule="auto"/>
        <w:jc w:val="right"/>
        <w:rPr>
          <w:rFonts w:hint="eastAsia" w:ascii="宋体" w:hAnsi="宋体" w:eastAsia="宋体" w:cs="宋体"/>
          <w:sz w:val="24"/>
        </w:rPr>
      </w:pPr>
      <w:r>
        <w:rPr>
          <w:rFonts w:hint="eastAsia" w:ascii="宋体" w:hAnsi="宋体" w:eastAsia="宋体" w:cs="宋体"/>
          <w:sz w:val="24"/>
        </w:rPr>
        <w:t>（202</w:t>
      </w:r>
      <w:r>
        <w:rPr>
          <w:rFonts w:hint="eastAsia" w:ascii="宋体" w:hAnsi="宋体" w:eastAsia="宋体" w:cs="宋体"/>
          <w:sz w:val="24"/>
          <w:lang w:val="en-US" w:eastAsia="zh-CN"/>
        </w:rPr>
        <w:t>4</w:t>
      </w:r>
      <w:r>
        <w:rPr>
          <w:rFonts w:hint="eastAsia" w:ascii="宋体" w:hAnsi="宋体" w:eastAsia="宋体" w:cs="宋体"/>
          <w:sz w:val="24"/>
        </w:rPr>
        <w:t>）</w:t>
      </w:r>
      <w:r>
        <w:rPr>
          <w:rFonts w:hint="eastAsia" w:ascii="宋体" w:hAnsi="宋体" w:eastAsia="宋体" w:cs="宋体"/>
          <w:sz w:val="24"/>
          <w:lang w:val="en-US" w:eastAsia="zh-CN"/>
        </w:rPr>
        <w:t>聚悦</w:t>
      </w:r>
      <w:r>
        <w:rPr>
          <w:rFonts w:hint="eastAsia" w:ascii="宋体" w:hAnsi="宋体" w:eastAsia="宋体" w:cs="宋体"/>
          <w:sz w:val="24"/>
        </w:rPr>
        <w:t>破管字第</w:t>
      </w:r>
      <w:r>
        <w:rPr>
          <w:rFonts w:hint="eastAsia" w:ascii="宋体" w:hAnsi="宋体" w:eastAsia="宋体" w:cs="宋体"/>
          <w:sz w:val="24"/>
          <w:lang w:val="en-US" w:eastAsia="zh-CN"/>
        </w:rPr>
        <w:t>1</w:t>
      </w:r>
      <w:r>
        <w:rPr>
          <w:rFonts w:hint="eastAsia" w:ascii="宋体" w:hAnsi="宋体" w:eastAsia="宋体" w:cs="宋体"/>
          <w:sz w:val="24"/>
        </w:rPr>
        <w:t>号</w:t>
      </w:r>
    </w:p>
    <w:p>
      <w:pPr>
        <w:spacing w:line="360" w:lineRule="auto"/>
        <w:rPr>
          <w:rFonts w:hint="eastAsia" w:ascii="宋体" w:hAnsi="宋体" w:eastAsia="宋体" w:cs="宋体"/>
          <w:sz w:val="24"/>
        </w:rPr>
      </w:pPr>
      <w:r>
        <w:rPr>
          <w:rFonts w:hint="eastAsia" w:ascii="宋体" w:hAnsi="宋体" w:eastAsia="宋体" w:cs="宋体"/>
          <w:sz w:val="24"/>
          <w:lang w:eastAsia="zh-CN"/>
        </w:rPr>
        <w:t>重庆聚悦健康管理有限公司</w:t>
      </w:r>
      <w:r>
        <w:rPr>
          <w:rFonts w:hint="eastAsia" w:ascii="宋体" w:hAnsi="宋体" w:eastAsia="宋体" w:cs="宋体"/>
          <w:sz w:val="24"/>
        </w:rPr>
        <w:t>债权人：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20</w:t>
      </w:r>
      <w:r>
        <w:rPr>
          <w:rFonts w:hint="eastAsia" w:ascii="宋体" w:hAnsi="宋体" w:eastAsia="宋体" w:cs="宋体"/>
          <w:sz w:val="24"/>
          <w:lang w:val="en-US" w:eastAsia="zh-CN"/>
        </w:rPr>
        <w:t>24</w:t>
      </w:r>
      <w:r>
        <w:rPr>
          <w:rFonts w:hint="eastAsia" w:ascii="宋体" w:hAnsi="宋体" w:eastAsia="宋体" w:cs="宋体"/>
          <w:sz w:val="24"/>
        </w:rPr>
        <w:t>年</w:t>
      </w:r>
      <w:r>
        <w:rPr>
          <w:rFonts w:hint="eastAsia" w:ascii="宋体" w:hAnsi="宋体" w:eastAsia="宋体" w:cs="宋体"/>
          <w:sz w:val="24"/>
          <w:lang w:val="en-US" w:eastAsia="zh-CN"/>
        </w:rPr>
        <w:t>4</w:t>
      </w:r>
      <w:r>
        <w:rPr>
          <w:rFonts w:hint="eastAsia" w:ascii="宋体" w:hAnsi="宋体" w:eastAsia="宋体" w:cs="宋体"/>
          <w:sz w:val="24"/>
        </w:rPr>
        <w:t>月</w:t>
      </w:r>
      <w:r>
        <w:rPr>
          <w:rFonts w:hint="eastAsia" w:ascii="宋体" w:hAnsi="宋体" w:eastAsia="宋体" w:cs="宋体"/>
          <w:sz w:val="24"/>
          <w:lang w:val="en-US" w:eastAsia="zh-CN"/>
        </w:rPr>
        <w:t>25</w:t>
      </w:r>
      <w:r>
        <w:rPr>
          <w:rFonts w:hint="eastAsia" w:ascii="宋体" w:hAnsi="宋体" w:eastAsia="宋体" w:cs="宋体"/>
          <w:sz w:val="24"/>
        </w:rPr>
        <w:t>日，重庆市第五中级人民法院作出（2024）渝05破申172号民事裁定书，裁定受理申请人重庆聚悦健康管理有限公司清算组对被申请人重庆聚悦健康管理有限公司的破产清算一案</w:t>
      </w:r>
      <w:r>
        <w:rPr>
          <w:rFonts w:hint="eastAsia" w:ascii="宋体" w:hAnsi="宋体" w:eastAsia="宋体" w:cs="宋体"/>
          <w:sz w:val="24"/>
          <w:lang w:eastAsia="zh-CN"/>
        </w:rPr>
        <w:t>。</w:t>
      </w:r>
      <w:r>
        <w:rPr>
          <w:rFonts w:hint="eastAsia" w:ascii="宋体" w:hAnsi="宋体" w:eastAsia="宋体" w:cs="宋体"/>
          <w:sz w:val="24"/>
          <w:lang w:val="en-US" w:eastAsia="zh-CN"/>
        </w:rPr>
        <w:t>2024年4月28日，</w:t>
      </w:r>
      <w:r>
        <w:rPr>
          <w:rFonts w:hint="eastAsia" w:ascii="宋体" w:hAnsi="宋体" w:eastAsia="宋体" w:cs="宋体"/>
          <w:sz w:val="24"/>
        </w:rPr>
        <w:t>重庆市第五中级人民法院</w:t>
      </w:r>
      <w:r>
        <w:rPr>
          <w:rFonts w:hint="eastAsia" w:ascii="宋体" w:hAnsi="宋体" w:eastAsia="宋体" w:cs="宋体"/>
          <w:sz w:val="24"/>
          <w:lang w:val="en-US" w:eastAsia="zh-CN"/>
        </w:rPr>
        <w:t>作出（2024）渝05破116号决定书，</w:t>
      </w:r>
      <w:r>
        <w:rPr>
          <w:rFonts w:hint="eastAsia" w:ascii="宋体" w:hAnsi="宋体" w:eastAsia="宋体" w:cs="宋体"/>
          <w:sz w:val="24"/>
        </w:rPr>
        <w:t>指定泰和泰（重庆）律师事务所为重庆聚悦健康管理有限公司的破产管理人（以下简称“管理人”）</w:t>
      </w:r>
    </w:p>
    <w:p>
      <w:pPr>
        <w:spacing w:line="360" w:lineRule="auto"/>
        <w:ind w:firstLine="480" w:firstLineChars="200"/>
        <w:rPr>
          <w:rFonts w:hint="eastAsia" w:ascii="宋体" w:hAnsi="宋体" w:eastAsia="宋体" w:cs="宋体"/>
          <w:sz w:val="24"/>
        </w:rPr>
      </w:pPr>
      <w:r>
        <w:rPr>
          <w:rFonts w:hint="eastAsia" w:ascii="宋体" w:hAnsi="宋体" w:eastAsia="宋体" w:cs="宋体"/>
          <w:sz w:val="24"/>
        </w:rPr>
        <w:t>依据重庆市第五中级人民法院发</w:t>
      </w:r>
      <w:r>
        <w:rPr>
          <w:rFonts w:hint="eastAsia" w:ascii="宋体" w:hAnsi="宋体" w:eastAsia="宋体" w:cs="宋体"/>
          <w:sz w:val="24"/>
          <w:lang w:val="en-US" w:eastAsia="zh-CN"/>
        </w:rPr>
        <w:t>出</w:t>
      </w:r>
      <w:r>
        <w:rPr>
          <w:rFonts w:hint="eastAsia" w:ascii="宋体" w:hAnsi="宋体" w:eastAsia="宋体" w:cs="宋体"/>
          <w:sz w:val="24"/>
        </w:rPr>
        <w:t>的公告，</w:t>
      </w:r>
      <w:r>
        <w:rPr>
          <w:rFonts w:hint="eastAsia" w:ascii="宋体" w:hAnsi="宋体" w:eastAsia="宋体" w:cs="宋体"/>
          <w:sz w:val="24"/>
          <w:lang w:eastAsia="zh-CN"/>
        </w:rPr>
        <w:t>重庆聚悦健康管理有限公司</w:t>
      </w:r>
      <w:r>
        <w:rPr>
          <w:rFonts w:hint="eastAsia" w:ascii="宋体" w:hAnsi="宋体" w:eastAsia="宋体" w:cs="宋体"/>
          <w:sz w:val="24"/>
          <w:lang w:val="en-US" w:eastAsia="zh-CN"/>
        </w:rPr>
        <w:t>管理人</w:t>
      </w:r>
      <w:r>
        <w:rPr>
          <w:rFonts w:hint="eastAsia" w:ascii="宋体" w:hAnsi="宋体" w:eastAsia="宋体" w:cs="宋体"/>
          <w:sz w:val="24"/>
        </w:rPr>
        <w:t>定于</w:t>
      </w:r>
      <w:r>
        <w:rPr>
          <w:rFonts w:hint="eastAsia" w:ascii="宋体" w:hAnsi="宋体" w:eastAsia="宋体" w:cs="宋体"/>
          <w:b/>
          <w:bCs/>
          <w:color w:val="FF0000"/>
          <w:sz w:val="24"/>
        </w:rPr>
        <w:t>202</w:t>
      </w:r>
      <w:r>
        <w:rPr>
          <w:rFonts w:hint="eastAsia" w:ascii="宋体" w:hAnsi="宋体" w:eastAsia="宋体" w:cs="宋体"/>
          <w:b/>
          <w:bCs/>
          <w:color w:val="FF0000"/>
          <w:sz w:val="24"/>
          <w:lang w:val="en-US" w:eastAsia="zh-CN"/>
        </w:rPr>
        <w:t>4</w:t>
      </w:r>
      <w:r>
        <w:rPr>
          <w:rFonts w:hint="eastAsia" w:ascii="宋体" w:hAnsi="宋体" w:eastAsia="宋体" w:cs="宋体"/>
          <w:b/>
          <w:bCs/>
          <w:color w:val="FF0000"/>
          <w:sz w:val="24"/>
        </w:rPr>
        <w:t>年</w:t>
      </w:r>
      <w:r>
        <w:rPr>
          <w:rFonts w:hint="eastAsia" w:ascii="宋体" w:hAnsi="宋体" w:eastAsia="宋体" w:cs="宋体"/>
          <w:b/>
          <w:bCs/>
          <w:color w:val="FF0000"/>
          <w:sz w:val="24"/>
          <w:lang w:val="en-US" w:eastAsia="zh-CN"/>
        </w:rPr>
        <w:t>6</w:t>
      </w:r>
      <w:r>
        <w:rPr>
          <w:rFonts w:hint="eastAsia" w:ascii="宋体" w:hAnsi="宋体" w:eastAsia="宋体" w:cs="宋体"/>
          <w:b/>
          <w:bCs/>
          <w:color w:val="FF0000"/>
          <w:sz w:val="24"/>
        </w:rPr>
        <w:t>月</w:t>
      </w:r>
      <w:r>
        <w:rPr>
          <w:rFonts w:hint="eastAsia" w:ascii="宋体" w:hAnsi="宋体" w:eastAsia="宋体" w:cs="宋体"/>
          <w:b/>
          <w:bCs/>
          <w:color w:val="FF0000"/>
          <w:sz w:val="24"/>
          <w:lang w:val="en-US" w:eastAsia="zh-CN"/>
        </w:rPr>
        <w:t>6</w:t>
      </w:r>
      <w:r>
        <w:rPr>
          <w:rFonts w:hint="eastAsia" w:ascii="宋体" w:hAnsi="宋体" w:eastAsia="宋体" w:cs="宋体"/>
          <w:b/>
          <w:bCs/>
          <w:color w:val="FF0000"/>
          <w:sz w:val="24"/>
        </w:rPr>
        <w:t>日</w:t>
      </w:r>
      <w:r>
        <w:rPr>
          <w:rFonts w:hint="eastAsia" w:ascii="宋体" w:hAnsi="宋体" w:eastAsia="宋体" w:cs="宋体"/>
          <w:b/>
          <w:bCs/>
          <w:color w:val="FF0000"/>
          <w:sz w:val="24"/>
          <w:lang w:val="en-US" w:eastAsia="zh-CN"/>
        </w:rPr>
        <w:t>上</w:t>
      </w:r>
      <w:r>
        <w:rPr>
          <w:rFonts w:hint="eastAsia" w:ascii="宋体" w:hAnsi="宋体" w:eastAsia="宋体" w:cs="宋体"/>
          <w:b/>
          <w:bCs/>
          <w:color w:val="FF0000"/>
          <w:sz w:val="24"/>
        </w:rPr>
        <w:t>午</w:t>
      </w:r>
      <w:r>
        <w:rPr>
          <w:rFonts w:hint="eastAsia" w:ascii="宋体" w:hAnsi="宋体" w:eastAsia="宋体" w:cs="宋体"/>
          <w:b/>
          <w:bCs/>
          <w:color w:val="FF0000"/>
          <w:sz w:val="24"/>
          <w:lang w:val="en-US" w:eastAsia="zh-CN"/>
        </w:rPr>
        <w:t>9</w:t>
      </w:r>
      <w:r>
        <w:rPr>
          <w:rFonts w:hint="eastAsia" w:ascii="宋体" w:hAnsi="宋体" w:eastAsia="宋体" w:cs="宋体"/>
          <w:b/>
          <w:bCs/>
          <w:color w:val="FF0000"/>
          <w:sz w:val="24"/>
        </w:rPr>
        <w:t>时</w:t>
      </w:r>
      <w:r>
        <w:rPr>
          <w:rFonts w:hint="eastAsia" w:ascii="宋体" w:hAnsi="宋体" w:eastAsia="宋体" w:cs="宋体"/>
          <w:b/>
          <w:bCs/>
          <w:color w:val="FF0000"/>
          <w:sz w:val="24"/>
          <w:lang w:val="en-US" w:eastAsia="zh-CN"/>
        </w:rPr>
        <w:t>30</w:t>
      </w:r>
      <w:r>
        <w:rPr>
          <w:rFonts w:hint="eastAsia" w:ascii="宋体" w:hAnsi="宋体" w:eastAsia="宋体" w:cs="宋体"/>
          <w:b/>
          <w:bCs/>
          <w:color w:val="FF0000"/>
          <w:sz w:val="24"/>
        </w:rPr>
        <w:t>分</w:t>
      </w:r>
      <w:r>
        <w:rPr>
          <w:rFonts w:hint="eastAsia" w:ascii="宋体" w:hAnsi="宋体" w:eastAsia="宋体" w:cs="宋体"/>
          <w:sz w:val="24"/>
        </w:rPr>
        <w:t>召开第一次债权人会议（管理人将在会前告知债权人参会方式</w:t>
      </w:r>
      <w:r>
        <w:rPr>
          <w:rFonts w:hint="eastAsia" w:ascii="宋体" w:hAnsi="宋体" w:eastAsia="宋体" w:cs="宋体"/>
          <w:sz w:val="24"/>
          <w:lang w:eastAsia="zh-CN"/>
        </w:rPr>
        <w:t>）</w:t>
      </w:r>
      <w:r>
        <w:rPr>
          <w:rFonts w:hint="eastAsia" w:ascii="宋体" w:hAnsi="宋体" w:eastAsia="宋体" w:cs="宋体"/>
          <w:sz w:val="24"/>
        </w:rPr>
        <w:t>，各债权人应在</w:t>
      </w:r>
      <w:r>
        <w:rPr>
          <w:rFonts w:hint="eastAsia" w:ascii="宋体" w:hAnsi="宋体" w:eastAsia="宋体" w:cs="宋体"/>
          <w:b/>
          <w:bCs/>
          <w:color w:val="FF0000"/>
          <w:sz w:val="24"/>
          <w:lang w:val="en-US" w:eastAsia="zh-CN"/>
        </w:rPr>
        <w:t>2024年5月30日前</w:t>
      </w:r>
      <w:r>
        <w:rPr>
          <w:rFonts w:hint="eastAsia" w:ascii="宋体" w:hAnsi="宋体" w:eastAsia="宋体" w:cs="宋体"/>
          <w:sz w:val="24"/>
        </w:rPr>
        <w:t>向管理人申报债权，管理人特针对债权申报制作了《</w:t>
      </w:r>
      <w:r>
        <w:rPr>
          <w:rFonts w:hint="eastAsia" w:ascii="宋体" w:hAnsi="宋体" w:eastAsia="宋体" w:cs="宋体"/>
          <w:sz w:val="24"/>
          <w:lang w:eastAsia="zh-CN"/>
        </w:rPr>
        <w:t>重庆聚悦健康管理有限公司</w:t>
      </w:r>
      <w:r>
        <w:rPr>
          <w:rFonts w:hint="eastAsia" w:ascii="宋体" w:hAnsi="宋体" w:eastAsia="宋体" w:cs="宋体"/>
          <w:sz w:val="24"/>
        </w:rPr>
        <w:t>破产</w:t>
      </w:r>
      <w:r>
        <w:rPr>
          <w:rFonts w:hint="eastAsia" w:ascii="宋体" w:hAnsi="宋体" w:eastAsia="宋体" w:cs="宋体"/>
          <w:sz w:val="24"/>
          <w:lang w:val="en-US" w:eastAsia="zh-CN"/>
        </w:rPr>
        <w:t>清算</w:t>
      </w:r>
      <w:r>
        <w:rPr>
          <w:rFonts w:hint="eastAsia" w:ascii="宋体" w:hAnsi="宋体" w:eastAsia="宋体" w:cs="宋体"/>
          <w:sz w:val="24"/>
        </w:rPr>
        <w:t>案件债权申报指引》（详见附件），请按照指引申报债权，如有疑问请联系人管理人(通信地址:重庆市两江新区财富大道1号财富中心FFC</w:t>
      </w:r>
      <w:r>
        <w:rPr>
          <w:rFonts w:hint="eastAsia" w:ascii="宋体" w:hAnsi="宋体" w:eastAsia="宋体" w:cs="宋体"/>
          <w:sz w:val="24"/>
          <w:lang w:val="en-US" w:eastAsia="zh-CN"/>
        </w:rPr>
        <w:t>43</w:t>
      </w:r>
      <w:r>
        <w:rPr>
          <w:rFonts w:hint="eastAsia" w:ascii="宋体" w:hAnsi="宋体" w:eastAsia="宋体" w:cs="宋体"/>
          <w:sz w:val="24"/>
        </w:rPr>
        <w:t>楼泰和泰(重庆)律师事务所</w:t>
      </w:r>
      <w:r>
        <w:rPr>
          <w:rFonts w:hint="eastAsia" w:ascii="宋体" w:hAnsi="宋体" w:eastAsia="宋体" w:cs="宋体"/>
          <w:sz w:val="24"/>
          <w:lang w:eastAsia="zh-CN"/>
        </w:rPr>
        <w:t>；</w:t>
      </w:r>
      <w:r>
        <w:rPr>
          <w:rFonts w:hint="eastAsia" w:ascii="宋体" w:hAnsi="宋体" w:eastAsia="宋体" w:cs="宋体"/>
          <w:sz w:val="24"/>
        </w:rPr>
        <w:t>邮政编码401147</w:t>
      </w:r>
      <w:r>
        <w:rPr>
          <w:rFonts w:hint="eastAsia" w:ascii="宋体" w:hAnsi="宋体" w:eastAsia="宋体" w:cs="宋体"/>
          <w:sz w:val="24"/>
          <w:lang w:eastAsia="zh-CN"/>
        </w:rPr>
        <w:t>；</w:t>
      </w:r>
      <w:r>
        <w:rPr>
          <w:rFonts w:hint="eastAsia" w:ascii="宋体" w:hAnsi="宋体" w:eastAsia="宋体" w:cs="宋体"/>
          <w:sz w:val="24"/>
        </w:rPr>
        <w:t>联系人:石彤歌，联系电话：13618211791、</w:t>
      </w:r>
      <w:r>
        <w:rPr>
          <w:rFonts w:hint="eastAsia" w:ascii="宋体" w:hAnsi="宋体" w:eastAsia="宋体" w:cs="宋体"/>
          <w:color w:val="auto"/>
          <w:sz w:val="24"/>
          <w:lang w:val="en-US" w:eastAsia="zh-CN"/>
        </w:rPr>
        <w:t>陈清淋</w:t>
      </w:r>
      <w:r>
        <w:rPr>
          <w:rFonts w:hint="eastAsia" w:ascii="宋体" w:hAnsi="宋体" w:eastAsia="宋体" w:cs="宋体"/>
          <w:color w:val="auto"/>
          <w:sz w:val="24"/>
        </w:rPr>
        <w:t>，联系电话：</w:t>
      </w:r>
      <w:r>
        <w:rPr>
          <w:rFonts w:hint="eastAsia" w:ascii="宋体" w:hAnsi="宋体" w:eastAsia="宋体" w:cs="宋体"/>
          <w:color w:val="auto"/>
          <w:sz w:val="24"/>
          <w:lang w:val="en-US" w:eastAsia="zh-CN"/>
        </w:rPr>
        <w:t>15730533399</w:t>
      </w:r>
      <w:r>
        <w:rPr>
          <w:rFonts w:hint="eastAsia" w:ascii="宋体" w:hAnsi="宋体" w:eastAsia="宋体" w:cs="宋体"/>
          <w:color w:val="auto"/>
          <w:sz w:val="24"/>
        </w:rPr>
        <w:t>）</w:t>
      </w:r>
      <w:r>
        <w:rPr>
          <w:rFonts w:hint="eastAsia" w:ascii="宋体" w:hAnsi="宋体" w:eastAsia="宋体" w:cs="宋体"/>
          <w:sz w:val="24"/>
        </w:rPr>
        <w:t>。</w:t>
      </w:r>
    </w:p>
    <w:p>
      <w:pPr>
        <w:spacing w:line="360" w:lineRule="auto"/>
        <w:ind w:firstLine="480" w:firstLineChars="200"/>
        <w:rPr>
          <w:rFonts w:hint="eastAsia" w:ascii="宋体" w:hAnsi="宋体" w:eastAsia="宋体" w:cs="宋体"/>
          <w:sz w:val="24"/>
          <w:lang w:eastAsia="zh-CN"/>
        </w:rPr>
      </w:pPr>
      <w:r>
        <w:rPr>
          <w:rFonts w:hint="eastAsia" w:ascii="宋体" w:hAnsi="宋体" w:eastAsia="宋体" w:cs="宋体"/>
          <w:sz w:val="24"/>
        </w:rPr>
        <w:t>特此公告</w:t>
      </w:r>
      <w:r>
        <w:rPr>
          <w:rFonts w:hint="eastAsia" w:ascii="宋体" w:hAnsi="宋体" w:eastAsia="宋体" w:cs="宋体"/>
          <w:sz w:val="24"/>
          <w:lang w:eastAsia="zh-CN"/>
        </w:rPr>
        <w:t>。</w:t>
      </w:r>
    </w:p>
    <w:p>
      <w:pPr>
        <w:spacing w:line="360" w:lineRule="auto"/>
        <w:jc w:val="right"/>
        <w:rPr>
          <w:rFonts w:hint="eastAsia" w:ascii="宋体" w:hAnsi="宋体" w:eastAsia="宋体" w:cs="宋体"/>
          <w:sz w:val="24"/>
        </w:rPr>
      </w:pPr>
      <w:r>
        <w:rPr>
          <w:rFonts w:hint="eastAsia" w:ascii="宋体" w:hAnsi="宋体" w:eastAsia="宋体" w:cs="宋体"/>
          <w:sz w:val="24"/>
          <w:lang w:eastAsia="zh-CN"/>
        </w:rPr>
        <w:t>重庆聚悦健康管理有限公司</w:t>
      </w:r>
      <w:r>
        <w:rPr>
          <w:rFonts w:hint="eastAsia" w:ascii="宋体" w:hAnsi="宋体" w:eastAsia="宋体" w:cs="宋体"/>
          <w:sz w:val="24"/>
        </w:rPr>
        <w:t>管理人</w:t>
      </w:r>
    </w:p>
    <w:p>
      <w:pPr>
        <w:spacing w:line="360" w:lineRule="auto"/>
        <w:jc w:val="right"/>
        <w:rPr>
          <w:rFonts w:hint="default" w:ascii="宋体" w:hAnsi="宋体" w:eastAsia="宋体" w:cs="宋体"/>
          <w:b/>
          <w:bCs/>
          <w:color w:val="auto"/>
          <w:sz w:val="24"/>
          <w:lang w:val="en-US"/>
        </w:rPr>
      </w:pPr>
      <w:r>
        <w:rPr>
          <w:rFonts w:hint="eastAsia" w:ascii="宋体" w:hAnsi="宋体" w:eastAsia="宋体" w:cs="宋体"/>
          <w:color w:val="auto"/>
          <w:sz w:val="24"/>
        </w:rPr>
        <w:t>二〇二</w:t>
      </w:r>
      <w:r>
        <w:rPr>
          <w:rFonts w:hint="eastAsia" w:ascii="宋体" w:hAnsi="宋体" w:eastAsia="宋体" w:cs="宋体"/>
          <w:color w:val="auto"/>
          <w:sz w:val="24"/>
          <w:lang w:val="en-US" w:eastAsia="zh-CN"/>
        </w:rPr>
        <w:t>四</w:t>
      </w:r>
      <w:r>
        <w:rPr>
          <w:rFonts w:hint="eastAsia" w:ascii="宋体" w:hAnsi="宋体" w:eastAsia="宋体" w:cs="宋体"/>
          <w:color w:val="auto"/>
          <w:sz w:val="24"/>
        </w:rPr>
        <w:t>年</w:t>
      </w:r>
      <w:r>
        <w:rPr>
          <w:rFonts w:hint="eastAsia" w:ascii="宋体" w:hAnsi="宋体" w:eastAsia="宋体" w:cs="宋体"/>
          <w:color w:val="auto"/>
          <w:sz w:val="24"/>
          <w:lang w:val="en-US" w:eastAsia="zh-CN"/>
        </w:rPr>
        <w:t>四</w:t>
      </w:r>
      <w:r>
        <w:rPr>
          <w:rFonts w:hint="eastAsia" w:ascii="宋体" w:hAnsi="宋体" w:eastAsia="宋体" w:cs="宋体"/>
          <w:color w:val="auto"/>
          <w:sz w:val="24"/>
        </w:rPr>
        <w:t>月</w:t>
      </w:r>
      <w:r>
        <w:rPr>
          <w:rFonts w:hint="eastAsia" w:ascii="宋体" w:hAnsi="宋体" w:eastAsia="宋体" w:cs="宋体"/>
          <w:color w:val="auto"/>
          <w:sz w:val="24"/>
          <w:lang w:val="en-US" w:eastAsia="zh-CN"/>
        </w:rPr>
        <w:t>三十</w:t>
      </w:r>
      <w:bookmarkStart w:id="0" w:name="_GoBack"/>
      <w:bookmarkEnd w:id="0"/>
      <w:r>
        <w:rPr>
          <w:rFonts w:hint="eastAsia" w:ascii="宋体" w:hAnsi="宋体" w:eastAsia="宋体" w:cs="宋体"/>
          <w:color w:val="auto"/>
          <w:sz w:val="24"/>
          <w:lang w:val="en-US" w:eastAsia="zh-CN"/>
        </w:rPr>
        <w:t>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567" w:gutter="0"/>
      <w:cols w:space="720" w:num="1"/>
      <w:titlePg/>
      <w:docGrid w:type="lines" w:linePitch="38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10" w:usb3="00000000" w:csb0="00040001" w:csb1="00000000"/>
  </w:font>
  <w:font w:name="Heiti SC Light">
    <w:altName w:val="Malgun Gothic Semilight"/>
    <w:panose1 w:val="02000000000000000000"/>
    <w:charset w:val="88"/>
    <w:family w:val="auto"/>
    <w:pitch w:val="default"/>
    <w:sig w:usb0="00000000" w:usb1="00000000" w:usb2="00000010" w:usb3="00000000" w:csb0="003E0001"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Kaiti SC">
    <w:altName w:val="微软雅黑"/>
    <w:panose1 w:val="02010600040101010101"/>
    <w:charset w:val="86"/>
    <w:family w:val="auto"/>
    <w:pitch w:val="default"/>
    <w:sig w:usb0="00000000" w:usb1="00000000" w:usb2="00000016" w:usb3="00000000" w:csb0="0004001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algun Gothic Semilight">
    <w:panose1 w:val="020B0502040204020203"/>
    <w:charset w:val="86"/>
    <w:family w:val="auto"/>
    <w:pitch w:val="default"/>
    <w:sig w:usb0="900002AF" w:usb1="01D77CFB" w:usb2="00000012" w:usb3="00000000" w:csb0="203E01BD"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49318106"/>
      <w:docPartObj>
        <w:docPartGallery w:val="autotext"/>
      </w:docPartObj>
    </w:sdtPr>
    <w:sdtContent>
      <w:sdt>
        <w:sdtPr>
          <w:id w:val="1728636285"/>
          <w:docPartObj>
            <w:docPartGallery w:val="autotext"/>
          </w:docPartObj>
        </w:sdtPr>
        <w:sdtContent>
          <w:p>
            <w:pPr>
              <w:pStyle w:val="3"/>
              <w:spacing w:line="360" w:lineRule="auto"/>
            </w:pPr>
            <w:r>
              <mc:AlternateContent>
                <mc:Choice Requires="wps">
                  <w:drawing>
                    <wp:anchor distT="0" distB="0" distL="114300" distR="114300" simplePos="0" relativeHeight="251660288" behindDoc="0" locked="0" layoutInCell="1" allowOverlap="1">
                      <wp:simplePos x="0" y="0"/>
                      <wp:positionH relativeFrom="column">
                        <wp:posOffset>5715</wp:posOffset>
                      </wp:positionH>
                      <wp:positionV relativeFrom="paragraph">
                        <wp:posOffset>125095</wp:posOffset>
                      </wp:positionV>
                      <wp:extent cx="5277485" cy="0"/>
                      <wp:effectExtent l="25400" t="25400" r="31115" b="76200"/>
                      <wp:wrapNone/>
                      <wp:docPr id="2" name="直线连接符 2"/>
                      <wp:cNvGraphicFramePr/>
                      <a:graphic xmlns:a="http://schemas.openxmlformats.org/drawingml/2006/main">
                        <a:graphicData uri="http://schemas.microsoft.com/office/word/2010/wordprocessingShape">
                          <wps:wsp>
                            <wps:cNvCnPr/>
                            <wps:spPr>
                              <a:xfrm>
                                <a:off x="0" y="0"/>
                                <a:ext cx="5277678" cy="0"/>
                              </a:xfrm>
                              <a:prstGeom prst="line">
                                <a:avLst/>
                              </a:prstGeom>
                              <a:ln w="9525"/>
                            </wps:spPr>
                            <wps:style>
                              <a:lnRef idx="2">
                                <a:schemeClr val="dk1"/>
                              </a:lnRef>
                              <a:fillRef idx="0">
                                <a:schemeClr val="dk1"/>
                              </a:fillRef>
                              <a:effectRef idx="1">
                                <a:schemeClr val="dk1"/>
                              </a:effectRef>
                              <a:fontRef idx="minor">
                                <a:schemeClr val="tx1"/>
                              </a:fontRef>
                            </wps:style>
                            <wps:bodyPr/>
                          </wps:wsp>
                        </a:graphicData>
                      </a:graphic>
                    </wp:anchor>
                  </w:drawing>
                </mc:Choice>
                <mc:Fallback>
                  <w:pict>
                    <v:line id="直线连接符 2" o:spid="_x0000_s1026" o:spt="20" style="position:absolute;left:0pt;margin-left:0.45pt;margin-top:9.85pt;height:0pt;width:415.55pt;z-index:251660288;mso-width-relative:page;mso-height-relative:page;" filled="f" stroked="t" coordsize="21600,21600" o:gfxdata="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0sg3p0QAAAAYB&#10;AAAPAAAAAAAAAAEAIAAAACIAAABkcnMvZG93bnJldi54bWxQSwECFAAUAAAACACHTuJAeek+ESIC&#10;AABGBAAADgAAAAAAAAABACAAAAAgAQAAZHJzL2Uyb0RvYy54bWxQSwUGAAAAAAYABgBZAQAAtAUA&#10;AAAA&#10;">
                      <v:fill on="f" focussize="0,0"/>
                      <v:stroke color="#000000 [3200]" joinstyle="round"/>
                      <v:imagedata o:title=""/>
                      <o:lock v:ext="edit" aspectratio="f"/>
                      <v:shadow on="t" color="#000000" opacity="24903f" offset="0pt,1.5748031496063pt" origin="0f,32768f" matrix="65536f,0f,0f,65536f"/>
                    </v:line>
                  </w:pict>
                </mc:Fallback>
              </mc:AlternateContent>
            </w:r>
          </w:p>
          <w:p>
            <w:pPr>
              <w:pStyle w:val="3"/>
              <w:spacing w:line="360" w:lineRule="auto"/>
            </w:pPr>
            <w:r>
              <w:drawing>
                <wp:anchor distT="0" distB="0" distL="114300" distR="114300" simplePos="0" relativeHeight="251659264" behindDoc="1" locked="0" layoutInCell="1" allowOverlap="1">
                  <wp:simplePos x="0" y="0"/>
                  <wp:positionH relativeFrom="column">
                    <wp:posOffset>4879340</wp:posOffset>
                  </wp:positionH>
                  <wp:positionV relativeFrom="paragraph">
                    <wp:posOffset>23495</wp:posOffset>
                  </wp:positionV>
                  <wp:extent cx="389255" cy="386080"/>
                  <wp:effectExtent l="0" t="0" r="4445" b="0"/>
                  <wp:wrapTight wrapText="bothSides">
                    <wp:wrapPolygon>
                      <wp:start x="0" y="0"/>
                      <wp:lineTo x="0" y="20605"/>
                      <wp:lineTo x="21142" y="20605"/>
                      <wp:lineTo x="21142" y="0"/>
                      <wp:lineTo x="0" y="0"/>
                    </wp:wrapPolygon>
                  </wp:wrapTight>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389255" cy="386080"/>
                          </a:xfrm>
                          <a:prstGeom prst="rect">
                            <a:avLst/>
                          </a:prstGeom>
                        </pic:spPr>
                      </pic:pic>
                    </a:graphicData>
                  </a:graphic>
                </wp:anchor>
              </w:drawing>
            </w:r>
            <w:r>
              <w:t xml:space="preserve">| </w:t>
            </w:r>
            <w:r>
              <w:rPr>
                <w:rFonts w:hint="eastAsia"/>
              </w:rPr>
              <w:t>北京</w:t>
            </w:r>
            <w:r>
              <w:t xml:space="preserve"> | </w:t>
            </w:r>
            <w:r>
              <w:rPr>
                <w:rFonts w:hint="eastAsia"/>
              </w:rPr>
              <w:t xml:space="preserve">成都 </w:t>
            </w:r>
            <w:r>
              <w:t xml:space="preserve">| </w:t>
            </w:r>
            <w:r>
              <w:rPr>
                <w:rFonts w:hint="eastAsia"/>
              </w:rPr>
              <w:t xml:space="preserve">重庆 </w:t>
            </w:r>
            <w:r>
              <w:t xml:space="preserve">| </w:t>
            </w:r>
            <w:r>
              <w:rPr>
                <w:rFonts w:hint="eastAsia"/>
              </w:rPr>
              <w:t xml:space="preserve">济南 </w:t>
            </w:r>
            <w:r>
              <w:t xml:space="preserve">| </w:t>
            </w:r>
            <w:r>
              <w:rPr>
                <w:rFonts w:hint="eastAsia"/>
              </w:rPr>
              <w:t xml:space="preserve">昆明 </w:t>
            </w:r>
            <w:r>
              <w:t xml:space="preserve">| </w:t>
            </w:r>
            <w:r>
              <w:rPr>
                <w:rFonts w:hint="eastAsia"/>
              </w:rPr>
              <w:t xml:space="preserve">拉萨 </w:t>
            </w:r>
            <w:r>
              <w:t xml:space="preserve">| </w:t>
            </w:r>
            <w:r>
              <w:rPr>
                <w:rFonts w:hint="eastAsia"/>
              </w:rPr>
              <w:t xml:space="preserve">深圳 </w:t>
            </w:r>
            <w:r>
              <w:t xml:space="preserve">| </w:t>
            </w:r>
            <w:r>
              <w:rPr>
                <w:rFonts w:hint="eastAsia"/>
              </w:rPr>
              <w:t xml:space="preserve">上海 </w:t>
            </w:r>
            <w:r>
              <w:t xml:space="preserve">| </w:t>
            </w:r>
            <w:r>
              <w:rPr>
                <w:rFonts w:hint="eastAsia"/>
              </w:rPr>
              <w:t xml:space="preserve">贵阳 </w:t>
            </w:r>
            <w:r>
              <w:t xml:space="preserve">| </w:t>
            </w:r>
            <w:r>
              <w:rPr>
                <w:rFonts w:hint="eastAsia"/>
              </w:rPr>
              <w:t xml:space="preserve">天津 </w:t>
            </w:r>
            <w:r>
              <w:t xml:space="preserve">| </w:t>
            </w:r>
            <w:r>
              <w:rPr>
                <w:rFonts w:hint="eastAsia"/>
              </w:rPr>
              <w:t xml:space="preserve">西安 </w:t>
            </w:r>
            <w:r>
              <w:t xml:space="preserve">| </w:t>
            </w:r>
            <w:r>
              <w:rPr>
                <w:rFonts w:hint="eastAsia"/>
              </w:rPr>
              <w:t xml:space="preserve">太原 </w:t>
            </w:r>
            <w:r>
              <w:t>|</w:t>
            </w:r>
          </w:p>
          <w:p>
            <w:pPr>
              <w:pStyle w:val="3"/>
              <w:spacing w:line="360" w:lineRule="auto"/>
            </w:pPr>
            <w:r>
              <w:t xml:space="preserve">| </w:t>
            </w:r>
            <w:r>
              <w:rPr>
                <w:rFonts w:hint="eastAsia"/>
              </w:rPr>
              <w:t xml:space="preserve">西宁 </w:t>
            </w:r>
            <w:r>
              <w:t xml:space="preserve">| </w:t>
            </w:r>
            <w:r>
              <w:rPr>
                <w:rFonts w:hint="eastAsia"/>
              </w:rPr>
              <w:t xml:space="preserve">南京 </w:t>
            </w:r>
            <w:r>
              <w:t xml:space="preserve">| </w:t>
            </w:r>
            <w:r>
              <w:rPr>
                <w:rFonts w:hint="eastAsia"/>
              </w:rPr>
              <w:t xml:space="preserve">武汉 </w:t>
            </w:r>
            <w:r>
              <w:t xml:space="preserve">| </w:t>
            </w:r>
            <w:r>
              <w:rPr>
                <w:rFonts w:hint="eastAsia"/>
              </w:rPr>
              <w:t xml:space="preserve">海口 </w:t>
            </w:r>
            <w:r>
              <w:t xml:space="preserve">| </w:t>
            </w:r>
            <w:r>
              <w:rPr>
                <w:rFonts w:hint="eastAsia"/>
              </w:rPr>
              <w:t xml:space="preserve">香港 </w:t>
            </w:r>
            <w:r>
              <w:t xml:space="preserve">| </w:t>
            </w:r>
            <w:r>
              <w:rPr>
                <w:rFonts w:hint="eastAsia"/>
              </w:rPr>
              <w:t xml:space="preserve">华盛顿 </w:t>
            </w:r>
            <w:r>
              <w:t xml:space="preserve">| </w:t>
            </w:r>
            <w:r>
              <w:rPr>
                <w:rFonts w:hint="eastAsia"/>
              </w:rPr>
              <w:t xml:space="preserve">悉尼 </w:t>
            </w:r>
            <w:r>
              <w:t xml:space="preserve">| </w:t>
            </w:r>
            <w:r>
              <w:rPr>
                <w:rFonts w:hint="eastAsia"/>
              </w:rPr>
              <w:t xml:space="preserve">加德满都 </w:t>
            </w:r>
            <w:r>
              <w:t xml:space="preserve">| </w:t>
            </w:r>
          </w:p>
          <w:p>
            <w:pPr>
              <w:pStyle w:val="3"/>
              <w:jc w:val="center"/>
            </w:pPr>
          </w:p>
        </w:sdtContent>
      </w:sd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8"/>
      </w:rPr>
      <w:id w:val="-399909197"/>
      <w:docPartObj>
        <w:docPartGallery w:val="autotext"/>
      </w:docPartObj>
    </w:sdtPr>
    <w:sdtEndPr>
      <w:rPr>
        <w:rStyle w:val="8"/>
      </w:rPr>
    </w:sdtEndPr>
    <w:sdtContent>
      <w:p>
        <w:pPr>
          <w:pStyle w:val="3"/>
          <w:framePr w:wrap="around" w:vAnchor="text" w:hAnchor="margin" w:xAlign="center" w:y="1"/>
          <w:rPr>
            <w:rStyle w:val="8"/>
          </w:rPr>
        </w:pPr>
        <w:r>
          <w:rPr>
            <w:rStyle w:val="8"/>
          </w:rPr>
          <w:fldChar w:fldCharType="begin"/>
        </w:r>
        <w:r>
          <w:rPr>
            <w:rStyle w:val="8"/>
          </w:rPr>
          <w:instrText xml:space="preserve"> PAGE </w:instrText>
        </w:r>
        <w:r>
          <w:rPr>
            <w:rStyle w:val="8"/>
          </w:rPr>
          <w:fldChar w:fldCharType="end"/>
        </w:r>
      </w:p>
    </w:sdtContent>
  </w:sdt>
  <w:p>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Kaiti SC" w:hAnsi="Kaiti SC" w:eastAsia="Kaiti SC"/>
      </w:rPr>
    </w:pPr>
    <w:r>
      <w:rPr>
        <w:rFonts w:ascii="华文仿宋" w:hAnsi="华文仿宋" w:eastAsia="华文仿宋"/>
      </w:rPr>
      <w:fldChar w:fldCharType="begin"/>
    </w:r>
    <w:r>
      <w:rPr>
        <w:rFonts w:ascii="华文仿宋" w:hAnsi="华文仿宋" w:eastAsia="华文仿宋"/>
      </w:rPr>
      <w:instrText xml:space="preserve">PAGE  \* Arabic  \* MERGEFORMAT</w:instrText>
    </w:r>
    <w:r>
      <w:rPr>
        <w:rFonts w:ascii="华文仿宋" w:hAnsi="华文仿宋" w:eastAsia="华文仿宋"/>
      </w:rPr>
      <w:fldChar w:fldCharType="separate"/>
    </w:r>
    <w:r>
      <w:rPr>
        <w:rFonts w:ascii="华文仿宋" w:hAnsi="华文仿宋" w:eastAsia="华文仿宋"/>
        <w:lang w:val="zh-CN"/>
      </w:rPr>
      <w:t>1</w:t>
    </w:r>
    <w:r>
      <w:rPr>
        <w:rFonts w:ascii="华文仿宋" w:hAnsi="华文仿宋" w:eastAsia="华文仿宋"/>
      </w:rPr>
      <w:fldChar w:fldCharType="end"/>
    </w:r>
    <w:r>
      <w:rPr>
        <w:rFonts w:ascii="华文仿宋" w:hAnsi="华文仿宋" w:eastAsia="华文仿宋"/>
        <w:lang w:val="zh-CN"/>
      </w:rPr>
      <w:t xml:space="preserve"> / </w:t>
    </w:r>
    <w:r>
      <w:rPr>
        <w:rFonts w:ascii="华文仿宋" w:hAnsi="华文仿宋" w:eastAsia="华文仿宋"/>
      </w:rPr>
      <w:fldChar w:fldCharType="begin"/>
    </w:r>
    <w:r>
      <w:rPr>
        <w:rFonts w:ascii="华文仿宋" w:hAnsi="华文仿宋" w:eastAsia="华文仿宋"/>
      </w:rPr>
      <w:instrText xml:space="preserve">NUMPAGES  \* Arabic  \* MERGEFORMAT</w:instrText>
    </w:r>
    <w:r>
      <w:rPr>
        <w:rFonts w:ascii="华文仿宋" w:hAnsi="华文仿宋" w:eastAsia="华文仿宋"/>
      </w:rPr>
      <w:fldChar w:fldCharType="separate"/>
    </w:r>
    <w:r>
      <w:rPr>
        <w:rFonts w:ascii="华文仿宋" w:hAnsi="华文仿宋" w:eastAsia="华文仿宋"/>
        <w:lang w:val="zh-CN"/>
      </w:rPr>
      <w:t>2</w:t>
    </w:r>
    <w:r>
      <w:rPr>
        <w:rFonts w:ascii="华文仿宋" w:hAnsi="华文仿宋" w:eastAsia="华文仿宋"/>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drawing>
        <wp:inline distT="0" distB="0" distL="0" distR="0">
          <wp:extent cx="1075055" cy="271145"/>
          <wp:effectExtent l="0" t="0" r="0" b="8255"/>
          <wp:docPr id="11" name="図 11" descr="THT 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図 11" descr="THT Logo-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075055" cy="271145"/>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attachedTemplate r:id="rId1"/>
  <w:documentProtection w:enforcement="0"/>
  <w:defaultTabStop w:val="420"/>
  <w:drawingGridHorizontalSpacing w:val="140"/>
  <w:drawingGridVerticalSpacing w:val="381"/>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jdhMzA2M2Y0MGUwZDQzNWYxMDExNjRjNzk3NWI0ZmQifQ=="/>
  </w:docVars>
  <w:rsids>
    <w:rsidRoot w:val="009031B7"/>
    <w:rsid w:val="000518F3"/>
    <w:rsid w:val="00061EFA"/>
    <w:rsid w:val="000735E6"/>
    <w:rsid w:val="00082B45"/>
    <w:rsid w:val="001124BE"/>
    <w:rsid w:val="001772D2"/>
    <w:rsid w:val="001905D7"/>
    <w:rsid w:val="001939E0"/>
    <w:rsid w:val="001B34DA"/>
    <w:rsid w:val="001B4BAD"/>
    <w:rsid w:val="001C5A9C"/>
    <w:rsid w:val="001D216B"/>
    <w:rsid w:val="001F4254"/>
    <w:rsid w:val="0021335D"/>
    <w:rsid w:val="0024504F"/>
    <w:rsid w:val="0024764B"/>
    <w:rsid w:val="00255C4F"/>
    <w:rsid w:val="00261536"/>
    <w:rsid w:val="002809C7"/>
    <w:rsid w:val="00295B39"/>
    <w:rsid w:val="0029744F"/>
    <w:rsid w:val="002A33AF"/>
    <w:rsid w:val="002A3A8E"/>
    <w:rsid w:val="002B20F5"/>
    <w:rsid w:val="00301D1A"/>
    <w:rsid w:val="00302394"/>
    <w:rsid w:val="00326A1B"/>
    <w:rsid w:val="00331576"/>
    <w:rsid w:val="00347562"/>
    <w:rsid w:val="00374B15"/>
    <w:rsid w:val="00394B2F"/>
    <w:rsid w:val="003E5D12"/>
    <w:rsid w:val="00447E21"/>
    <w:rsid w:val="00470560"/>
    <w:rsid w:val="004859F1"/>
    <w:rsid w:val="004B07B4"/>
    <w:rsid w:val="004C1CEB"/>
    <w:rsid w:val="004E7AA4"/>
    <w:rsid w:val="005146FA"/>
    <w:rsid w:val="00530F01"/>
    <w:rsid w:val="00591461"/>
    <w:rsid w:val="005A4310"/>
    <w:rsid w:val="005A5277"/>
    <w:rsid w:val="005C2B3F"/>
    <w:rsid w:val="005F523B"/>
    <w:rsid w:val="00686B9B"/>
    <w:rsid w:val="006B0D57"/>
    <w:rsid w:val="006D4BED"/>
    <w:rsid w:val="006D6BE3"/>
    <w:rsid w:val="006E7FCC"/>
    <w:rsid w:val="006F782E"/>
    <w:rsid w:val="0076271D"/>
    <w:rsid w:val="0078063C"/>
    <w:rsid w:val="00795757"/>
    <w:rsid w:val="007A0513"/>
    <w:rsid w:val="007A3D4B"/>
    <w:rsid w:val="008119D3"/>
    <w:rsid w:val="00812ED6"/>
    <w:rsid w:val="008136B2"/>
    <w:rsid w:val="008270F7"/>
    <w:rsid w:val="00896861"/>
    <w:rsid w:val="008B5DA6"/>
    <w:rsid w:val="008C0A60"/>
    <w:rsid w:val="008F3200"/>
    <w:rsid w:val="00900384"/>
    <w:rsid w:val="009031B7"/>
    <w:rsid w:val="009301A1"/>
    <w:rsid w:val="00955A35"/>
    <w:rsid w:val="00984A33"/>
    <w:rsid w:val="009B7AF9"/>
    <w:rsid w:val="009C3A7E"/>
    <w:rsid w:val="009D58F4"/>
    <w:rsid w:val="00A102DB"/>
    <w:rsid w:val="00A219D5"/>
    <w:rsid w:val="00A317D0"/>
    <w:rsid w:val="00A341CC"/>
    <w:rsid w:val="00A41687"/>
    <w:rsid w:val="00A45977"/>
    <w:rsid w:val="00A66159"/>
    <w:rsid w:val="00AA5A64"/>
    <w:rsid w:val="00AC2D29"/>
    <w:rsid w:val="00AD0BF6"/>
    <w:rsid w:val="00AD10F5"/>
    <w:rsid w:val="00AD676F"/>
    <w:rsid w:val="00AF5686"/>
    <w:rsid w:val="00B263A3"/>
    <w:rsid w:val="00B40A56"/>
    <w:rsid w:val="00B9042C"/>
    <w:rsid w:val="00BA0F62"/>
    <w:rsid w:val="00BE6087"/>
    <w:rsid w:val="00BF6227"/>
    <w:rsid w:val="00C02389"/>
    <w:rsid w:val="00C317DF"/>
    <w:rsid w:val="00C86366"/>
    <w:rsid w:val="00C903F8"/>
    <w:rsid w:val="00D02BBE"/>
    <w:rsid w:val="00D11649"/>
    <w:rsid w:val="00D13183"/>
    <w:rsid w:val="00D35B04"/>
    <w:rsid w:val="00D44276"/>
    <w:rsid w:val="00D537F6"/>
    <w:rsid w:val="00D73BAC"/>
    <w:rsid w:val="00DA62ED"/>
    <w:rsid w:val="00DB7045"/>
    <w:rsid w:val="00DC0E96"/>
    <w:rsid w:val="00DE0282"/>
    <w:rsid w:val="00E06CF3"/>
    <w:rsid w:val="00E07E41"/>
    <w:rsid w:val="00E1140C"/>
    <w:rsid w:val="00E172B4"/>
    <w:rsid w:val="00E17A3E"/>
    <w:rsid w:val="00E300CC"/>
    <w:rsid w:val="00E47AC8"/>
    <w:rsid w:val="00ED59B9"/>
    <w:rsid w:val="00EE6B32"/>
    <w:rsid w:val="00EF0D87"/>
    <w:rsid w:val="00F1476C"/>
    <w:rsid w:val="00F17749"/>
    <w:rsid w:val="00F372EE"/>
    <w:rsid w:val="00F6119A"/>
    <w:rsid w:val="00F70A06"/>
    <w:rsid w:val="00F73B25"/>
    <w:rsid w:val="00F80D66"/>
    <w:rsid w:val="00F81A2A"/>
    <w:rsid w:val="00F81F1E"/>
    <w:rsid w:val="00FB1871"/>
    <w:rsid w:val="00FD2CED"/>
    <w:rsid w:val="00FF2B2A"/>
    <w:rsid w:val="037B57EB"/>
    <w:rsid w:val="046F2972"/>
    <w:rsid w:val="04AF7B25"/>
    <w:rsid w:val="062A67BD"/>
    <w:rsid w:val="06BE7953"/>
    <w:rsid w:val="08742EA3"/>
    <w:rsid w:val="0AA00C4B"/>
    <w:rsid w:val="0B947BFE"/>
    <w:rsid w:val="0C207ACA"/>
    <w:rsid w:val="0CDB6C0C"/>
    <w:rsid w:val="0D91785E"/>
    <w:rsid w:val="0E423FF0"/>
    <w:rsid w:val="0F9D76B6"/>
    <w:rsid w:val="12592E4F"/>
    <w:rsid w:val="16EC4411"/>
    <w:rsid w:val="17A14A39"/>
    <w:rsid w:val="17B347D6"/>
    <w:rsid w:val="19600787"/>
    <w:rsid w:val="1DAE0E93"/>
    <w:rsid w:val="203D3B8D"/>
    <w:rsid w:val="274847F7"/>
    <w:rsid w:val="27EC74F4"/>
    <w:rsid w:val="288942AE"/>
    <w:rsid w:val="2BD27D38"/>
    <w:rsid w:val="2BD83373"/>
    <w:rsid w:val="2CEC0EE2"/>
    <w:rsid w:val="2E5B652E"/>
    <w:rsid w:val="304B0237"/>
    <w:rsid w:val="30CC2399"/>
    <w:rsid w:val="31AB7239"/>
    <w:rsid w:val="34593570"/>
    <w:rsid w:val="35AF75DF"/>
    <w:rsid w:val="38786FB0"/>
    <w:rsid w:val="39746524"/>
    <w:rsid w:val="3AF10716"/>
    <w:rsid w:val="3BBB3E12"/>
    <w:rsid w:val="3DB5356C"/>
    <w:rsid w:val="3E1F120E"/>
    <w:rsid w:val="40DA77D9"/>
    <w:rsid w:val="434268CE"/>
    <w:rsid w:val="4528023C"/>
    <w:rsid w:val="452D3B70"/>
    <w:rsid w:val="453217AF"/>
    <w:rsid w:val="472F07B2"/>
    <w:rsid w:val="474C28AF"/>
    <w:rsid w:val="479A4CE1"/>
    <w:rsid w:val="47A00007"/>
    <w:rsid w:val="481E6FB5"/>
    <w:rsid w:val="494D1ED3"/>
    <w:rsid w:val="49730334"/>
    <w:rsid w:val="4C10727C"/>
    <w:rsid w:val="4C766C04"/>
    <w:rsid w:val="4E9E5ADF"/>
    <w:rsid w:val="505870AF"/>
    <w:rsid w:val="5150088B"/>
    <w:rsid w:val="53B510C4"/>
    <w:rsid w:val="54A733C6"/>
    <w:rsid w:val="55124B31"/>
    <w:rsid w:val="552212F4"/>
    <w:rsid w:val="55F33F0E"/>
    <w:rsid w:val="575C1915"/>
    <w:rsid w:val="597524DF"/>
    <w:rsid w:val="5B112E16"/>
    <w:rsid w:val="5B16174F"/>
    <w:rsid w:val="5B8A6619"/>
    <w:rsid w:val="5CF205FA"/>
    <w:rsid w:val="5E182770"/>
    <w:rsid w:val="5F184A3D"/>
    <w:rsid w:val="60205D9B"/>
    <w:rsid w:val="609F1262"/>
    <w:rsid w:val="61A20F8D"/>
    <w:rsid w:val="61C92204"/>
    <w:rsid w:val="633B2FBE"/>
    <w:rsid w:val="645960B5"/>
    <w:rsid w:val="647D0B6D"/>
    <w:rsid w:val="687F44AF"/>
    <w:rsid w:val="68EB5D63"/>
    <w:rsid w:val="6932069D"/>
    <w:rsid w:val="6A5326CA"/>
    <w:rsid w:val="6B0212D7"/>
    <w:rsid w:val="6B517D09"/>
    <w:rsid w:val="6C031EC6"/>
    <w:rsid w:val="6C630520"/>
    <w:rsid w:val="6E685603"/>
    <w:rsid w:val="6E9B73B9"/>
    <w:rsid w:val="6EFD107C"/>
    <w:rsid w:val="6F39222A"/>
    <w:rsid w:val="6F624DB8"/>
    <w:rsid w:val="6FBF7E0C"/>
    <w:rsid w:val="70C42972"/>
    <w:rsid w:val="71A74D89"/>
    <w:rsid w:val="737874C5"/>
    <w:rsid w:val="739D7478"/>
    <w:rsid w:val="75167BD0"/>
    <w:rsid w:val="79232904"/>
    <w:rsid w:val="7C353927"/>
    <w:rsid w:val="7ED144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72"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仿宋_GB2312" w:cs="Times New Roman"/>
      <w:kern w:val="2"/>
      <w:sz w:val="28"/>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rFonts w:ascii="Heiti SC Light" w:eastAsia="Heiti SC Light"/>
      <w:sz w:val="18"/>
      <w:szCs w:val="18"/>
    </w:rPr>
  </w:style>
  <w:style w:type="paragraph" w:styleId="3">
    <w:name w:val="footer"/>
    <w:basedOn w:val="1"/>
    <w:link w:val="10"/>
    <w:unhideWhenUsed/>
    <w:qFormat/>
    <w:uiPriority w:val="99"/>
    <w:pPr>
      <w:tabs>
        <w:tab w:val="center" w:pos="4513"/>
        <w:tab w:val="right" w:pos="902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513"/>
        <w:tab w:val="right" w:pos="902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semiHidden/>
    <w:unhideWhenUsed/>
    <w:qFormat/>
    <w:uiPriority w:val="99"/>
  </w:style>
  <w:style w:type="character" w:customStyle="1" w:styleId="9">
    <w:name w:val="页眉 字符"/>
    <w:link w:val="4"/>
    <w:qFormat/>
    <w:uiPriority w:val="99"/>
    <w:rPr>
      <w:rFonts w:ascii="Times New Roman" w:hAnsi="Times New Roman" w:eastAsia="仿宋_GB2312" w:cs="Times New Roman"/>
      <w:sz w:val="18"/>
      <w:szCs w:val="18"/>
    </w:rPr>
  </w:style>
  <w:style w:type="character" w:customStyle="1" w:styleId="10">
    <w:name w:val="页脚 字符"/>
    <w:link w:val="3"/>
    <w:qFormat/>
    <w:uiPriority w:val="99"/>
    <w:rPr>
      <w:rFonts w:ascii="Times New Roman" w:hAnsi="Times New Roman" w:eastAsia="仿宋_GB2312" w:cs="Times New Roman"/>
      <w:sz w:val="18"/>
      <w:szCs w:val="18"/>
    </w:rPr>
  </w:style>
  <w:style w:type="character" w:customStyle="1" w:styleId="11">
    <w:name w:val="批注框文本 字符"/>
    <w:basedOn w:val="7"/>
    <w:link w:val="2"/>
    <w:semiHidden/>
    <w:qFormat/>
    <w:uiPriority w:val="99"/>
    <w:rPr>
      <w:rFonts w:ascii="Heiti SC Light" w:hAnsi="Times New Roman" w:eastAsia="Heiti SC Light"/>
      <w:kern w:val="2"/>
      <w:sz w:val="18"/>
      <w:szCs w:val="18"/>
    </w:rPr>
  </w:style>
  <w:style w:type="paragraph" w:customStyle="1" w:styleId="12">
    <w:name w:val="Default"/>
    <w:qFormat/>
    <w:uiPriority w:val="0"/>
    <w:pPr>
      <w:autoSpaceDE w:val="0"/>
      <w:autoSpaceDN w:val="0"/>
      <w:adjustRightInd w:val="0"/>
    </w:pPr>
    <w:rPr>
      <w:rFonts w:ascii="楷体" w:hAnsi="楷体" w:eastAsia="宋体" w:cs="楷体"/>
      <w:color w:val="000000"/>
      <w:sz w:val="24"/>
      <w:szCs w:val="24"/>
      <w:lang w:val="en-US" w:eastAsia="zh-CN" w:bidi="ar-SA"/>
    </w:rPr>
  </w:style>
  <w:style w:type="paragraph" w:styleId="13">
    <w:name w:val="List Paragraph"/>
    <w:basedOn w:val="1"/>
    <w:unhideWhenUsed/>
    <w:qFormat/>
    <w:uiPriority w:val="72"/>
    <w:pPr>
      <w:ind w:firstLine="420" w:firstLineChars="200"/>
    </w:pPr>
  </w:style>
  <w:style w:type="paragraph" w:customStyle="1" w:styleId="14">
    <w:name w:val="正常"/>
    <w:qFormat/>
    <w:uiPriority w:val="0"/>
    <w:pPr>
      <w:widowControl w:val="0"/>
      <w:jc w:val="both"/>
    </w:pPr>
    <w:rPr>
      <w:rFonts w:ascii="Cambria" w:hAnsi="Cambria" w:eastAsia="宋体" w:cs="Times New Roman"/>
      <w:kern w:val="2"/>
      <w:sz w:val="24"/>
      <w:szCs w:val="24"/>
      <w:lang w:val="en-US" w:eastAsia="zh-CN" w:bidi="ar-SA"/>
    </w:rPr>
  </w:style>
  <w:style w:type="table" w:customStyle="1" w:styleId="15">
    <w:name w:val="Grid Table Light"/>
    <w:basedOn w:val="5"/>
    <w:qFormat/>
    <w:uiPriority w:val="99"/>
    <w:tblPr>
      <w:tblBorders>
        <w:top w:val="single" w:color="BEBEBE" w:themeColor="background1" w:themeShade="BF" w:sz="4" w:space="0"/>
        <w:left w:val="single" w:color="BEBEBE" w:themeColor="background1" w:themeShade="BF" w:sz="4" w:space="0"/>
        <w:bottom w:val="single" w:color="BEBEBE" w:themeColor="background1" w:themeShade="BF" w:sz="4" w:space="0"/>
        <w:right w:val="single" w:color="BEBEBE" w:themeColor="background1" w:themeShade="BF" w:sz="4" w:space="0"/>
        <w:insideH w:val="single" w:color="BEBEBE" w:themeColor="background1" w:themeShade="BF" w:sz="4" w:space="0"/>
        <w:insideV w:val="single" w:color="BEBEBE" w:themeColor="background1" w:themeShade="BF" w:sz="4" w:space="0"/>
      </w:tblBorders>
    </w:tblPr>
  </w:style>
  <w:style w:type="paragraph" w:styleId="16">
    <w:name w:val="No Spacing"/>
    <w:qFormat/>
    <w:uiPriority w:val="1"/>
    <w:rPr>
      <w:rFonts w:eastAsia="Microsoft YaHei UI" w:asciiTheme="minorHAnsi" w:hAnsiTheme="minorHAnsi" w:cstheme="minorBidi"/>
      <w:sz w:val="22"/>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F:\C:\Users\btshz\Documents\&#30740;&#31350;&#37096;\&#26631;&#20934;&#25991;&#26412;\&#25991;&#20070;&#27169;&#26495;&#65288;pc&#12289;mac&#36890;&#29992;\&#24459;&#24072;&#20989;\&#24459;&#24072;&#20989;&#27169;&#26495;&#12304;20170206&#12305;.dotx" TargetMode="Externa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2FFEE2F-1393-F24D-8719-67EADA628237}">
  <ds:schemaRefs/>
</ds:datastoreItem>
</file>

<file path=docProps/app.xml><?xml version="1.0" encoding="utf-8"?>
<Properties xmlns="http://schemas.openxmlformats.org/officeDocument/2006/extended-properties" xmlns:vt="http://schemas.openxmlformats.org/officeDocument/2006/docPropsVTypes">
  <Template>C:\Users\btshz\Documents\研究部\标准文本\文书模板（pc、mac通用\律师函\律师函模板【20170206】.dotx</Template>
  <Pages>1</Pages>
  <Words>471</Words>
  <Characters>528</Characters>
  <Lines>1</Lines>
  <Paragraphs>1</Paragraphs>
  <TotalTime>0</TotalTime>
  <ScaleCrop>false</ScaleCrop>
  <LinksUpToDate>false</LinksUpToDate>
  <CharactersWithSpaces>528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2020-02-28T09:53:00Z</dcterms:created>
  <dc:creator>kou so</dc:creator>
  <cp:lastModifiedBy>石律师</cp:lastModifiedBy>
  <cp:lastPrinted>2020-02-22T11:25:00Z</cp:lastPrinted>
  <dcterms:modified xsi:type="dcterms:W3CDTF">2024-04-30T03:42:16Z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82F5DFA5E99B4559A4E5F96B8175C659</vt:lpwstr>
  </property>
</Properties>
</file>