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5"/>
        <w:widowControl/>
        <w:spacing w:beforeAutospacing="0" w:afterAutospacing="0" w:line="324" w:lineRule="atLeast"/>
        <w:jc w:val="center"/>
        <w:rPr>
          <w:rFonts w:hint="eastAsia" w:ascii="仿宋" w:hAnsi="仿宋" w:eastAsia="仿宋" w:cs="仿宋"/>
          <w:b/>
          <w:bCs/>
          <w:sz w:val="36"/>
          <w:szCs w:val="36"/>
          <w:lang w:eastAsia="zh-CN"/>
        </w:rPr>
      </w:pPr>
      <w:r>
        <w:rPr>
          <w:rFonts w:hint="eastAsia" w:ascii="仿宋" w:hAnsi="仿宋" w:eastAsia="仿宋" w:cs="仿宋"/>
          <w:b/>
          <w:bCs/>
          <w:sz w:val="36"/>
          <w:szCs w:val="36"/>
          <w:lang w:val="en-US" w:eastAsia="zh-CN"/>
        </w:rPr>
        <w:t>湄潭蚁巢装饰有限公司</w:t>
      </w:r>
      <w:r>
        <w:rPr>
          <w:rFonts w:hint="eastAsia" w:ascii="仿宋" w:hAnsi="仿宋" w:eastAsia="仿宋" w:cs="仿宋"/>
          <w:b/>
          <w:bCs/>
          <w:sz w:val="36"/>
          <w:szCs w:val="36"/>
          <w:lang w:eastAsia="zh-CN"/>
        </w:rPr>
        <w:t>破产清算案</w:t>
      </w:r>
      <w:r>
        <w:rPr>
          <w:rFonts w:hint="eastAsia" w:ascii="仿宋" w:hAnsi="仿宋" w:eastAsia="仿宋" w:cs="仿宋"/>
          <w:b/>
          <w:bCs/>
          <w:sz w:val="36"/>
          <w:szCs w:val="36"/>
        </w:rPr>
        <w:t>补充申报债权的审查和确认收费标准</w:t>
      </w:r>
    </w:p>
    <w:p>
      <w:pPr>
        <w:pStyle w:val="5"/>
        <w:widowControl/>
        <w:spacing w:beforeAutospacing="0" w:afterAutospacing="0" w:line="324" w:lineRule="atLeast"/>
        <w:jc w:val="center"/>
        <w:rPr>
          <w:rStyle w:val="8"/>
          <w:rFonts w:ascii="Arial" w:hAnsi="Arial" w:cs="Arial"/>
          <w:bCs/>
          <w:sz w:val="20"/>
          <w:szCs w:val="20"/>
        </w:rPr>
      </w:pPr>
    </w:p>
    <w:p>
      <w:pPr>
        <w:keepNext w:val="0"/>
        <w:keepLines w:val="0"/>
        <w:pageBreakBefore w:val="0"/>
        <w:kinsoku/>
        <w:wordWrap/>
        <w:overflowPunct/>
        <w:topLinePunct w:val="0"/>
        <w:autoSpaceDE/>
        <w:autoSpaceDN/>
        <w:bidi w:val="0"/>
        <w:adjustRightInd/>
        <w:snapToGrid/>
        <w:spacing w:line="520" w:lineRule="exact"/>
        <w:textAlignment w:val="auto"/>
        <w:rPr>
          <w:rFonts w:ascii="仿宋" w:hAnsi="仿宋" w:eastAsia="仿宋" w:cs="仿宋"/>
          <w:b/>
          <w:sz w:val="30"/>
          <w:szCs w:val="30"/>
          <w:u w:val="single"/>
        </w:rPr>
      </w:pPr>
      <w:r>
        <w:rPr>
          <w:rFonts w:ascii="仿宋" w:hAnsi="仿宋" w:eastAsia="仿宋" w:cs="仿宋"/>
          <w:b/>
          <w:sz w:val="30"/>
          <w:szCs w:val="30"/>
          <w:u w:val="single"/>
        </w:rPr>
        <w:t>尊敬的</w:t>
      </w:r>
      <w:r>
        <w:rPr>
          <w:rFonts w:hint="eastAsia" w:ascii="仿宋" w:hAnsi="仿宋" w:eastAsia="仿宋" w:cs="仿宋"/>
          <w:b/>
          <w:sz w:val="30"/>
          <w:szCs w:val="30"/>
          <w:u w:val="single"/>
          <w:lang w:val="en-US" w:eastAsia="zh-CN"/>
        </w:rPr>
        <w:t>湄潭蚁巢装饰有限公司</w:t>
      </w:r>
      <w:r>
        <w:rPr>
          <w:rFonts w:hint="eastAsia" w:ascii="仿宋" w:hAnsi="仿宋" w:eastAsia="仿宋" w:cs="仿宋"/>
          <w:b/>
          <w:sz w:val="30"/>
          <w:szCs w:val="30"/>
          <w:u w:val="single"/>
        </w:rPr>
        <w:t>债权人：</w:t>
      </w:r>
    </w:p>
    <w:p>
      <w:pPr>
        <w:keepNext w:val="0"/>
        <w:keepLines w:val="0"/>
        <w:pageBreakBefore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sz w:val="30"/>
          <w:szCs w:val="30"/>
        </w:rPr>
      </w:pPr>
      <w:r>
        <w:rPr>
          <w:rFonts w:hint="eastAsia" w:ascii="仿宋" w:hAnsi="仿宋" w:eastAsia="仿宋"/>
          <w:sz w:val="30"/>
          <w:szCs w:val="30"/>
          <w:lang w:val="en-US" w:eastAsia="zh-CN"/>
        </w:rPr>
        <w:t>湄潭蚁巢装饰有限公司</w:t>
      </w:r>
      <w:r>
        <w:rPr>
          <w:rFonts w:hint="eastAsia" w:ascii="仿宋" w:hAnsi="仿宋" w:eastAsia="仿宋"/>
          <w:sz w:val="30"/>
          <w:szCs w:val="30"/>
        </w:rPr>
        <w:t>（以下简称“债务人”）因不能清偿到期债务，</w:t>
      </w:r>
      <w:r>
        <w:rPr>
          <w:rFonts w:ascii="仿宋_GB2312" w:hAnsi="仿宋_GB2312" w:eastAsia="仿宋_GB2312" w:cs="仿宋_GB2312"/>
          <w:b w:val="0"/>
          <w:bCs w:val="0"/>
          <w:color w:val="000000"/>
          <w:sz w:val="30"/>
          <w:szCs w:val="30"/>
        </w:rPr>
        <w:t>根据刘阳、陈锞的申请</w:t>
      </w:r>
      <w:r>
        <w:rPr>
          <w:rFonts w:hint="eastAsia" w:ascii="仿宋_GB2312" w:hAnsi="仿宋_GB2312" w:eastAsia="仿宋_GB2312" w:cs="仿宋_GB2312"/>
          <w:b w:val="0"/>
          <w:bCs w:val="0"/>
          <w:color w:val="000000"/>
          <w:sz w:val="30"/>
          <w:szCs w:val="30"/>
          <w:lang w:eastAsia="zh-CN"/>
        </w:rPr>
        <w:t>，</w:t>
      </w:r>
      <w:r>
        <w:rPr>
          <w:rFonts w:hint="eastAsia" w:ascii="仿宋" w:hAnsi="仿宋" w:eastAsia="仿宋"/>
          <w:sz w:val="30"/>
          <w:szCs w:val="30"/>
          <w:lang w:val="en-US" w:eastAsia="zh-CN"/>
        </w:rPr>
        <w:t>贵州省湄潭县人民法院</w:t>
      </w:r>
      <w:r>
        <w:rPr>
          <w:rFonts w:hint="eastAsia" w:ascii="仿宋_GB2312" w:hAnsi="仿宋_GB2312" w:eastAsia="仿宋_GB2312" w:cs="仿宋_GB2312"/>
          <w:b w:val="0"/>
          <w:bCs w:val="0"/>
          <w:color w:val="000000"/>
          <w:sz w:val="30"/>
          <w:szCs w:val="30"/>
          <w:lang w:val="en-US" w:eastAsia="zh-CN"/>
        </w:rPr>
        <w:t>于2024年4月15日作出</w:t>
      </w:r>
      <w:r>
        <w:rPr>
          <w:rFonts w:ascii="仿宋_GB2312" w:hAnsi="仿宋_GB2312" w:eastAsia="仿宋_GB2312" w:cs="仿宋_GB2312"/>
          <w:b w:val="0"/>
          <w:bCs w:val="0"/>
          <w:color w:val="000000"/>
          <w:sz w:val="30"/>
          <w:szCs w:val="30"/>
        </w:rPr>
        <w:t>（2024）黔 0328 破1号</w:t>
      </w:r>
      <w:r>
        <w:rPr>
          <w:rFonts w:hint="eastAsia" w:ascii="仿宋_GB2312" w:hAnsi="仿宋_GB2312" w:eastAsia="仿宋_GB2312" w:cs="仿宋_GB2312"/>
          <w:b w:val="0"/>
          <w:bCs w:val="0"/>
          <w:color w:val="000000"/>
          <w:sz w:val="30"/>
          <w:szCs w:val="30"/>
          <w:lang w:val="en-US" w:eastAsia="zh-CN"/>
        </w:rPr>
        <w:t>民事裁定书，</w:t>
      </w:r>
      <w:r>
        <w:rPr>
          <w:rFonts w:ascii="仿宋_GB2312" w:hAnsi="仿宋_GB2312" w:eastAsia="仿宋_GB2312" w:cs="仿宋_GB2312"/>
          <w:b w:val="0"/>
          <w:bCs w:val="0"/>
          <w:color w:val="000000"/>
          <w:sz w:val="30"/>
          <w:szCs w:val="30"/>
        </w:rPr>
        <w:t>裁定受理湄潭蚁巢装饰有限公司破产清算一案</w:t>
      </w:r>
      <w:r>
        <w:rPr>
          <w:rFonts w:hint="eastAsia" w:ascii="仿宋_GB2312" w:hAnsi="仿宋_GB2312" w:eastAsia="仿宋_GB2312" w:cs="仿宋_GB2312"/>
          <w:b w:val="0"/>
          <w:bCs w:val="0"/>
          <w:color w:val="000000"/>
          <w:sz w:val="30"/>
          <w:szCs w:val="30"/>
          <w:lang w:eastAsia="zh-CN"/>
        </w:rPr>
        <w:t>。</w:t>
      </w:r>
      <w:r>
        <w:rPr>
          <w:rFonts w:ascii="仿宋_GB2312" w:hAnsi="仿宋_GB2312" w:eastAsia="仿宋_GB2312" w:cs="仿宋_GB2312"/>
          <w:b w:val="0"/>
          <w:bCs w:val="0"/>
          <w:color w:val="000000"/>
          <w:sz w:val="30"/>
          <w:szCs w:val="30"/>
        </w:rPr>
        <w:t>经遵义市破产管理协会推荐，</w:t>
      </w:r>
      <w:r>
        <w:rPr>
          <w:rFonts w:hint="eastAsia" w:ascii="仿宋_GB2312" w:hAnsi="仿宋_GB2312" w:eastAsia="仿宋_GB2312" w:cs="仿宋_GB2312"/>
          <w:b w:val="0"/>
          <w:bCs w:val="0"/>
          <w:color w:val="000000"/>
          <w:sz w:val="30"/>
          <w:szCs w:val="30"/>
          <w:lang w:val="en-US" w:eastAsia="zh-CN"/>
        </w:rPr>
        <w:t>湄潭县人民法院</w:t>
      </w:r>
      <w:r>
        <w:rPr>
          <w:rFonts w:ascii="仿宋_GB2312" w:hAnsi="仿宋_GB2312" w:eastAsia="仿宋_GB2312" w:cs="仿宋_GB2312"/>
          <w:b w:val="0"/>
          <w:bCs w:val="0"/>
          <w:color w:val="000000"/>
          <w:sz w:val="30"/>
          <w:szCs w:val="30"/>
        </w:rPr>
        <w:t>于</w:t>
      </w:r>
      <w:r>
        <w:rPr>
          <w:rFonts w:hint="eastAsia" w:ascii="仿宋_GB2312" w:hAnsi="仿宋_GB2312" w:eastAsia="仿宋_GB2312" w:cs="仿宋_GB2312"/>
          <w:b w:val="0"/>
          <w:bCs w:val="0"/>
          <w:color w:val="000000"/>
          <w:sz w:val="30"/>
          <w:szCs w:val="30"/>
          <w:lang w:val="en-US" w:eastAsia="zh-CN"/>
        </w:rPr>
        <w:t>同日作出</w:t>
      </w:r>
      <w:r>
        <w:rPr>
          <w:rFonts w:ascii="仿宋_GB2312" w:hAnsi="仿宋_GB2312" w:eastAsia="仿宋_GB2312" w:cs="仿宋_GB2312"/>
          <w:b w:val="0"/>
          <w:bCs w:val="0"/>
          <w:color w:val="000000"/>
          <w:sz w:val="30"/>
          <w:szCs w:val="30"/>
        </w:rPr>
        <w:t>（2024）黔 0328 破1号</w:t>
      </w:r>
      <w:r>
        <w:rPr>
          <w:rFonts w:hint="eastAsia" w:ascii="仿宋_GB2312" w:hAnsi="仿宋_GB2312" w:eastAsia="仿宋_GB2312" w:cs="仿宋_GB2312"/>
          <w:b w:val="0"/>
          <w:bCs w:val="0"/>
          <w:color w:val="000000"/>
          <w:sz w:val="30"/>
          <w:szCs w:val="30"/>
          <w:lang w:val="en-US" w:eastAsia="zh-CN"/>
        </w:rPr>
        <w:t>决定书，</w:t>
      </w:r>
      <w:r>
        <w:rPr>
          <w:rFonts w:ascii="仿宋_GB2312" w:hAnsi="仿宋_GB2312" w:eastAsia="仿宋_GB2312" w:cs="仿宋_GB2312"/>
          <w:b w:val="0"/>
          <w:bCs w:val="0"/>
          <w:color w:val="000000"/>
          <w:sz w:val="30"/>
          <w:szCs w:val="30"/>
        </w:rPr>
        <w:t>指定贵州黔公律师事务所</w:t>
      </w:r>
      <w:r>
        <w:rPr>
          <w:rFonts w:hint="eastAsia" w:ascii="仿宋_GB2312" w:hAnsi="仿宋_GB2312" w:eastAsia="仿宋_GB2312" w:cs="仿宋_GB2312"/>
          <w:b w:val="0"/>
          <w:bCs w:val="0"/>
          <w:color w:val="000000"/>
          <w:sz w:val="30"/>
          <w:szCs w:val="30"/>
          <w:lang w:val="en-US" w:eastAsia="zh-CN"/>
        </w:rPr>
        <w:t>担任</w:t>
      </w:r>
      <w:r>
        <w:rPr>
          <w:rFonts w:ascii="仿宋_GB2312" w:hAnsi="仿宋_GB2312" w:eastAsia="仿宋_GB2312" w:cs="仿宋_GB2312"/>
          <w:b w:val="0"/>
          <w:bCs w:val="0"/>
          <w:color w:val="000000"/>
          <w:sz w:val="30"/>
          <w:szCs w:val="30"/>
        </w:rPr>
        <w:t>湄潭蚁巢装饰有限公司</w:t>
      </w:r>
      <w:r>
        <w:rPr>
          <w:rFonts w:hint="eastAsia" w:ascii="仿宋_GB2312" w:hAnsi="仿宋_GB2312" w:eastAsia="仿宋_GB2312" w:cs="仿宋_GB2312"/>
          <w:b w:val="0"/>
          <w:bCs w:val="0"/>
          <w:color w:val="000000"/>
          <w:sz w:val="30"/>
          <w:szCs w:val="30"/>
          <w:lang w:val="en-US" w:eastAsia="zh-CN"/>
        </w:rPr>
        <w:t>的</w:t>
      </w:r>
      <w:r>
        <w:rPr>
          <w:rFonts w:ascii="仿宋_GB2312" w:hAnsi="仿宋_GB2312" w:eastAsia="仿宋_GB2312" w:cs="仿宋_GB2312"/>
          <w:b w:val="0"/>
          <w:bCs w:val="0"/>
          <w:color w:val="000000"/>
          <w:sz w:val="30"/>
          <w:szCs w:val="30"/>
        </w:rPr>
        <w:t>管理人。</w:t>
      </w:r>
    </w:p>
    <w:p>
      <w:pPr>
        <w:keepNext w:val="0"/>
        <w:keepLines w:val="0"/>
        <w:pageBreakBefore w:val="0"/>
        <w:kinsoku/>
        <w:wordWrap/>
        <w:overflowPunct/>
        <w:topLinePunct w:val="0"/>
        <w:autoSpaceDE/>
        <w:autoSpaceDN/>
        <w:bidi w:val="0"/>
        <w:adjustRightInd/>
        <w:snapToGrid/>
        <w:spacing w:line="52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依照《中华人民共和国企业破产法》的规定，</w:t>
      </w:r>
      <w:r>
        <w:rPr>
          <w:rFonts w:hint="eastAsia" w:ascii="仿宋" w:hAnsi="仿宋" w:eastAsia="仿宋" w:cs="仿宋"/>
          <w:sz w:val="30"/>
          <w:szCs w:val="30"/>
          <w:lang w:val="en-US" w:eastAsia="zh-CN"/>
        </w:rPr>
        <w:t>湄潭蚁巢装饰有限公司</w:t>
      </w:r>
      <w:r>
        <w:rPr>
          <w:rFonts w:hint="eastAsia" w:ascii="仿宋" w:hAnsi="仿宋" w:eastAsia="仿宋" w:cs="仿宋"/>
          <w:sz w:val="30"/>
          <w:szCs w:val="30"/>
        </w:rPr>
        <w:t>各债权人应当在人民法院确定的债权申报期限内申报债权，未在确定的债权申报期限内申报债权的，可以补充申报，但应当承担因审查和确认补充申报债权而产生的费用。故此，为保障破产</w:t>
      </w:r>
      <w:r>
        <w:rPr>
          <w:rFonts w:hint="eastAsia" w:ascii="仿宋" w:hAnsi="仿宋" w:eastAsia="仿宋" w:cs="仿宋"/>
          <w:sz w:val="30"/>
          <w:szCs w:val="30"/>
          <w:lang w:eastAsia="zh-CN"/>
        </w:rPr>
        <w:t>清算</w:t>
      </w:r>
      <w:r>
        <w:rPr>
          <w:rFonts w:hint="eastAsia" w:ascii="仿宋" w:hAnsi="仿宋" w:eastAsia="仿宋" w:cs="仿宋"/>
          <w:sz w:val="30"/>
          <w:szCs w:val="30"/>
        </w:rPr>
        <w:t>程序的顺利进行和全体债权人的利益，同时考虑到尽量减轻逾期申报人的费用成本，经研究决定，管理人将参照人民法院关于财产纠纷案件收费标准收取逾期补充申报债权的审查费用。逾期申报人不按照本办法缴纳相关审查费用的，属于未依法申报债权的情形，管理人将不作为债权登记，逾期申报人也不得依照《中华人民共和国企业破产法》规定的程序行使权利。</w:t>
      </w:r>
    </w:p>
    <w:p>
      <w:pPr>
        <w:keepNext w:val="0"/>
        <w:keepLines w:val="0"/>
        <w:pageBreakBefore w:val="0"/>
        <w:kinsoku/>
        <w:wordWrap/>
        <w:overflowPunct/>
        <w:topLinePunct w:val="0"/>
        <w:autoSpaceDE/>
        <w:autoSpaceDN/>
        <w:bidi w:val="0"/>
        <w:adjustRightInd/>
        <w:snapToGrid/>
        <w:spacing w:line="52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特此告知</w:t>
      </w:r>
    </w:p>
    <w:p>
      <w:pPr>
        <w:pStyle w:val="5"/>
        <w:keepNext w:val="0"/>
        <w:keepLines w:val="0"/>
        <w:pageBreakBefore w:val="0"/>
        <w:widowControl/>
        <w:kinsoku/>
        <w:wordWrap/>
        <w:overflowPunct/>
        <w:topLinePunct w:val="0"/>
        <w:autoSpaceDE/>
        <w:autoSpaceDN/>
        <w:bidi w:val="0"/>
        <w:adjustRightInd/>
        <w:snapToGrid/>
        <w:spacing w:beforeAutospacing="0" w:afterAutospacing="0" w:line="520" w:lineRule="exact"/>
        <w:ind w:firstLine="420"/>
        <w:jc w:val="right"/>
        <w:textAlignment w:val="auto"/>
        <w:rPr>
          <w:rStyle w:val="8"/>
          <w:rFonts w:hint="eastAsia" w:ascii="仿宋" w:hAnsi="仿宋" w:eastAsia="仿宋" w:cs="仿宋"/>
          <w:sz w:val="30"/>
          <w:szCs w:val="30"/>
        </w:rPr>
      </w:pPr>
      <w:bookmarkStart w:id="0" w:name="OLE_LINK1"/>
      <w:r>
        <w:rPr>
          <w:rStyle w:val="8"/>
          <w:rFonts w:hint="eastAsia" w:ascii="仿宋" w:hAnsi="仿宋" w:eastAsia="仿宋" w:cs="仿宋"/>
          <w:sz w:val="30"/>
          <w:szCs w:val="30"/>
        </w:rPr>
        <w:t>湄潭蚁巢装饰有限公司管理人</w:t>
      </w:r>
      <w:bookmarkEnd w:id="0"/>
    </w:p>
    <w:p>
      <w:pPr>
        <w:pStyle w:val="5"/>
        <w:keepNext w:val="0"/>
        <w:keepLines w:val="0"/>
        <w:pageBreakBefore w:val="0"/>
        <w:widowControl/>
        <w:kinsoku/>
        <w:wordWrap/>
        <w:overflowPunct/>
        <w:topLinePunct w:val="0"/>
        <w:autoSpaceDE/>
        <w:autoSpaceDN/>
        <w:bidi w:val="0"/>
        <w:adjustRightInd/>
        <w:snapToGrid/>
        <w:spacing w:beforeAutospacing="0" w:afterAutospacing="0" w:line="520" w:lineRule="exact"/>
        <w:ind w:firstLine="420"/>
        <w:jc w:val="right"/>
        <w:textAlignment w:val="auto"/>
        <w:rPr>
          <w:rStyle w:val="8"/>
          <w:rFonts w:hint="eastAsia" w:ascii="仿宋" w:hAnsi="仿宋" w:eastAsia="仿宋" w:cs="仿宋"/>
          <w:sz w:val="30"/>
          <w:szCs w:val="30"/>
          <w:lang w:eastAsia="zh-CN"/>
        </w:rPr>
      </w:pPr>
      <w:r>
        <w:rPr>
          <w:rStyle w:val="8"/>
          <w:rFonts w:hint="eastAsia" w:ascii="仿宋" w:hAnsi="仿宋" w:eastAsia="仿宋" w:cs="仿宋"/>
          <w:sz w:val="30"/>
          <w:szCs w:val="30"/>
          <w:lang w:eastAsia="zh-CN"/>
        </w:rPr>
        <w:t>二〇二</w:t>
      </w:r>
      <w:r>
        <w:rPr>
          <w:rStyle w:val="8"/>
          <w:rFonts w:hint="eastAsia" w:ascii="仿宋" w:hAnsi="仿宋" w:eastAsia="仿宋" w:cs="仿宋"/>
          <w:sz w:val="30"/>
          <w:szCs w:val="30"/>
          <w:lang w:val="en-US" w:eastAsia="zh-CN"/>
        </w:rPr>
        <w:t>四</w:t>
      </w:r>
      <w:r>
        <w:rPr>
          <w:rStyle w:val="8"/>
          <w:rFonts w:hint="eastAsia" w:ascii="仿宋" w:hAnsi="仿宋" w:eastAsia="仿宋" w:cs="仿宋"/>
          <w:sz w:val="30"/>
          <w:szCs w:val="30"/>
          <w:lang w:eastAsia="zh-CN"/>
        </w:rPr>
        <w:t>年</w:t>
      </w:r>
      <w:r>
        <w:rPr>
          <w:rStyle w:val="8"/>
          <w:rFonts w:hint="eastAsia" w:ascii="仿宋" w:hAnsi="仿宋" w:eastAsia="仿宋" w:cs="仿宋"/>
          <w:sz w:val="30"/>
          <w:szCs w:val="30"/>
          <w:lang w:val="en-US" w:eastAsia="zh-CN"/>
        </w:rPr>
        <w:t>四</w:t>
      </w:r>
      <w:r>
        <w:rPr>
          <w:rStyle w:val="8"/>
          <w:rFonts w:hint="eastAsia" w:ascii="仿宋" w:hAnsi="仿宋" w:eastAsia="仿宋" w:cs="仿宋"/>
          <w:sz w:val="30"/>
          <w:szCs w:val="30"/>
          <w:lang w:eastAsia="zh-CN"/>
        </w:rPr>
        <w:t>月</w:t>
      </w:r>
      <w:r>
        <w:rPr>
          <w:rStyle w:val="8"/>
          <w:rFonts w:hint="eastAsia" w:ascii="仿宋" w:hAnsi="仿宋" w:eastAsia="仿宋" w:cs="仿宋"/>
          <w:sz w:val="30"/>
          <w:szCs w:val="30"/>
          <w:lang w:val="en-US" w:eastAsia="zh-CN"/>
        </w:rPr>
        <w:t>十六</w:t>
      </w:r>
      <w:r>
        <w:rPr>
          <w:rStyle w:val="8"/>
          <w:rFonts w:hint="eastAsia" w:ascii="仿宋" w:hAnsi="仿宋" w:eastAsia="仿宋" w:cs="仿宋"/>
          <w:sz w:val="30"/>
          <w:szCs w:val="30"/>
          <w:lang w:eastAsia="zh-CN"/>
        </w:rPr>
        <w:t>日</w:t>
      </w:r>
    </w:p>
    <w:p>
      <w:pPr>
        <w:pStyle w:val="5"/>
        <w:widowControl/>
        <w:spacing w:beforeAutospacing="0" w:afterAutospacing="0" w:line="324" w:lineRule="atLeast"/>
        <w:ind w:firstLine="420"/>
        <w:jc w:val="right"/>
        <w:rPr>
          <w:rStyle w:val="8"/>
          <w:rFonts w:ascii="仿宋" w:hAnsi="仿宋" w:eastAsia="仿宋" w:cs="仿宋"/>
          <w:sz w:val="28"/>
          <w:szCs w:val="28"/>
        </w:rPr>
      </w:pPr>
    </w:p>
    <w:p>
      <w:pPr>
        <w:pStyle w:val="5"/>
        <w:widowControl/>
        <w:spacing w:beforeAutospacing="0" w:afterAutospacing="0" w:line="324" w:lineRule="atLeast"/>
        <w:ind w:firstLine="420"/>
        <w:jc w:val="right"/>
        <w:rPr>
          <w:rStyle w:val="8"/>
          <w:rFonts w:ascii="仿宋" w:hAnsi="仿宋" w:eastAsia="仿宋" w:cs="仿宋"/>
          <w:sz w:val="28"/>
          <w:szCs w:val="28"/>
        </w:rPr>
      </w:pPr>
      <w:bookmarkStart w:id="1" w:name="_GoBack"/>
      <w:bookmarkEnd w:id="1"/>
    </w:p>
    <w:p>
      <w:pPr>
        <w:pStyle w:val="5"/>
        <w:widowControl/>
        <w:spacing w:beforeAutospacing="0" w:afterAutospacing="0" w:line="324" w:lineRule="atLeast"/>
        <w:rPr>
          <w:rFonts w:ascii="仿宋" w:hAnsi="仿宋" w:eastAsia="仿宋" w:cs="仿宋"/>
          <w:sz w:val="28"/>
          <w:szCs w:val="28"/>
        </w:rPr>
      </w:pPr>
      <w:r>
        <w:rPr>
          <w:rStyle w:val="8"/>
          <w:rFonts w:hint="eastAsia" w:ascii="仿宋" w:hAnsi="仿宋" w:eastAsia="仿宋" w:cs="仿宋"/>
          <w:sz w:val="28"/>
          <w:szCs w:val="28"/>
        </w:rPr>
        <w:t>附：人民法院关于财产纠纷案件收费标准</w:t>
      </w:r>
    </w:p>
    <w:p>
      <w:pPr>
        <w:pStyle w:val="5"/>
        <w:keepNext w:val="0"/>
        <w:keepLines w:val="0"/>
        <w:pageBreakBefore w:val="0"/>
        <w:widowControl/>
        <w:kinsoku/>
        <w:wordWrap/>
        <w:overflowPunct/>
        <w:topLinePunct w:val="0"/>
        <w:autoSpaceDE/>
        <w:autoSpaceDN/>
        <w:bidi w:val="0"/>
        <w:adjustRightInd/>
        <w:snapToGrid/>
        <w:spacing w:beforeAutospacing="0" w:afterAutospacing="0" w:line="324" w:lineRule="atLeas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财产案件根据诉讼请求的金额或者价额，按照下列比例分段累计交纳：</w:t>
      </w:r>
      <w:r>
        <w:rPr>
          <w:rFonts w:hint="eastAsia" w:ascii="仿宋" w:hAnsi="仿宋" w:eastAsia="仿宋" w:cs="仿宋"/>
          <w:sz w:val="28"/>
          <w:szCs w:val="28"/>
        </w:rPr>
        <w:br w:type="textWrapping"/>
      </w:r>
      <w:r>
        <w:rPr>
          <w:rFonts w:hint="eastAsia" w:ascii="仿宋" w:hAnsi="仿宋" w:eastAsia="仿宋" w:cs="仿宋"/>
          <w:sz w:val="28"/>
          <w:szCs w:val="28"/>
        </w:rPr>
        <w:t>1.</w:t>
      </w:r>
      <w:r>
        <w:rPr>
          <w:rFonts w:ascii="仿宋" w:hAnsi="仿宋" w:eastAsia="仿宋" w:cs="仿宋"/>
          <w:sz w:val="28"/>
          <w:szCs w:val="28"/>
        </w:rPr>
        <w:t xml:space="preserve"> </w:t>
      </w:r>
      <w:r>
        <w:rPr>
          <w:rFonts w:hint="eastAsia" w:ascii="仿宋" w:hAnsi="仿宋" w:eastAsia="仿宋" w:cs="仿宋"/>
          <w:sz w:val="28"/>
          <w:szCs w:val="28"/>
        </w:rPr>
        <w:t>不超过1万元的，每件交纳50元；</w:t>
      </w:r>
      <w:r>
        <w:rPr>
          <w:rFonts w:hint="eastAsia" w:ascii="仿宋" w:hAnsi="仿宋" w:eastAsia="仿宋" w:cs="仿宋"/>
          <w:sz w:val="28"/>
          <w:szCs w:val="28"/>
        </w:rPr>
        <w:br w:type="textWrapping"/>
      </w:r>
      <w:r>
        <w:rPr>
          <w:rFonts w:hint="eastAsia" w:ascii="仿宋" w:hAnsi="仿宋" w:eastAsia="仿宋" w:cs="仿宋"/>
          <w:sz w:val="28"/>
          <w:szCs w:val="28"/>
        </w:rPr>
        <w:t>2.</w:t>
      </w:r>
      <w:r>
        <w:rPr>
          <w:rFonts w:ascii="仿宋" w:hAnsi="仿宋" w:eastAsia="仿宋" w:cs="仿宋"/>
          <w:sz w:val="28"/>
          <w:szCs w:val="28"/>
        </w:rPr>
        <w:t xml:space="preserve"> </w:t>
      </w:r>
      <w:r>
        <w:rPr>
          <w:rFonts w:hint="eastAsia" w:ascii="仿宋" w:hAnsi="仿宋" w:eastAsia="仿宋" w:cs="仿宋"/>
          <w:sz w:val="28"/>
          <w:szCs w:val="28"/>
        </w:rPr>
        <w:t>超过1万元至10万元的部分，按照2.5％交纳；</w:t>
      </w:r>
      <w:r>
        <w:rPr>
          <w:rFonts w:hint="eastAsia" w:ascii="仿宋" w:hAnsi="仿宋" w:eastAsia="仿宋" w:cs="仿宋"/>
          <w:sz w:val="28"/>
          <w:szCs w:val="28"/>
        </w:rPr>
        <w:br w:type="textWrapping"/>
      </w:r>
      <w:r>
        <w:rPr>
          <w:rFonts w:hint="eastAsia" w:ascii="仿宋" w:hAnsi="仿宋" w:eastAsia="仿宋" w:cs="仿宋"/>
          <w:sz w:val="28"/>
          <w:szCs w:val="28"/>
        </w:rPr>
        <w:t>3.</w:t>
      </w:r>
      <w:r>
        <w:rPr>
          <w:rFonts w:ascii="仿宋" w:hAnsi="仿宋" w:eastAsia="仿宋" w:cs="仿宋"/>
          <w:sz w:val="28"/>
          <w:szCs w:val="28"/>
        </w:rPr>
        <w:t xml:space="preserve"> </w:t>
      </w:r>
      <w:r>
        <w:rPr>
          <w:rFonts w:hint="eastAsia" w:ascii="仿宋" w:hAnsi="仿宋" w:eastAsia="仿宋" w:cs="仿宋"/>
          <w:sz w:val="28"/>
          <w:szCs w:val="28"/>
        </w:rPr>
        <w:t>超过10万元至20万元的部分，按照2％交纳；</w:t>
      </w:r>
      <w:r>
        <w:rPr>
          <w:rFonts w:hint="eastAsia" w:ascii="仿宋" w:hAnsi="仿宋" w:eastAsia="仿宋" w:cs="仿宋"/>
          <w:sz w:val="28"/>
          <w:szCs w:val="28"/>
        </w:rPr>
        <w:br w:type="textWrapping"/>
      </w:r>
      <w:r>
        <w:rPr>
          <w:rFonts w:hint="eastAsia" w:ascii="仿宋" w:hAnsi="仿宋" w:eastAsia="仿宋" w:cs="仿宋"/>
          <w:sz w:val="28"/>
          <w:szCs w:val="28"/>
        </w:rPr>
        <w:t>4.</w:t>
      </w:r>
      <w:r>
        <w:rPr>
          <w:rFonts w:ascii="仿宋" w:hAnsi="仿宋" w:eastAsia="仿宋" w:cs="仿宋"/>
          <w:sz w:val="28"/>
          <w:szCs w:val="28"/>
        </w:rPr>
        <w:t xml:space="preserve"> </w:t>
      </w:r>
      <w:r>
        <w:rPr>
          <w:rFonts w:hint="eastAsia" w:ascii="仿宋" w:hAnsi="仿宋" w:eastAsia="仿宋" w:cs="仿宋"/>
          <w:sz w:val="28"/>
          <w:szCs w:val="28"/>
        </w:rPr>
        <w:t>超过20万元至50万元的部分，按照1.5％交纳；</w:t>
      </w:r>
      <w:r>
        <w:rPr>
          <w:rFonts w:hint="eastAsia" w:ascii="仿宋" w:hAnsi="仿宋" w:eastAsia="仿宋" w:cs="仿宋"/>
          <w:sz w:val="28"/>
          <w:szCs w:val="28"/>
        </w:rPr>
        <w:br w:type="textWrapping"/>
      </w:r>
      <w:r>
        <w:rPr>
          <w:rFonts w:hint="eastAsia" w:ascii="仿宋" w:hAnsi="仿宋" w:eastAsia="仿宋" w:cs="仿宋"/>
          <w:sz w:val="28"/>
          <w:szCs w:val="28"/>
        </w:rPr>
        <w:t>5.</w:t>
      </w:r>
      <w:r>
        <w:rPr>
          <w:rFonts w:ascii="仿宋" w:hAnsi="仿宋" w:eastAsia="仿宋" w:cs="仿宋"/>
          <w:sz w:val="28"/>
          <w:szCs w:val="28"/>
        </w:rPr>
        <w:t xml:space="preserve"> </w:t>
      </w:r>
      <w:r>
        <w:rPr>
          <w:rFonts w:hint="eastAsia" w:ascii="仿宋" w:hAnsi="仿宋" w:eastAsia="仿宋" w:cs="仿宋"/>
          <w:sz w:val="28"/>
          <w:szCs w:val="28"/>
        </w:rPr>
        <w:t>超过50万元至100万元的部分，按照1％交纳；</w:t>
      </w:r>
      <w:r>
        <w:rPr>
          <w:rFonts w:hint="eastAsia" w:ascii="仿宋" w:hAnsi="仿宋" w:eastAsia="仿宋" w:cs="仿宋"/>
          <w:sz w:val="28"/>
          <w:szCs w:val="28"/>
        </w:rPr>
        <w:br w:type="textWrapping"/>
      </w:r>
      <w:r>
        <w:rPr>
          <w:rFonts w:hint="eastAsia" w:ascii="仿宋" w:hAnsi="仿宋" w:eastAsia="仿宋" w:cs="仿宋"/>
          <w:sz w:val="28"/>
          <w:szCs w:val="28"/>
        </w:rPr>
        <w:t>6.</w:t>
      </w:r>
      <w:r>
        <w:rPr>
          <w:rFonts w:ascii="仿宋" w:hAnsi="仿宋" w:eastAsia="仿宋" w:cs="仿宋"/>
          <w:sz w:val="28"/>
          <w:szCs w:val="28"/>
        </w:rPr>
        <w:t xml:space="preserve"> </w:t>
      </w:r>
      <w:r>
        <w:rPr>
          <w:rFonts w:hint="eastAsia" w:ascii="仿宋" w:hAnsi="仿宋" w:eastAsia="仿宋" w:cs="仿宋"/>
          <w:sz w:val="28"/>
          <w:szCs w:val="28"/>
        </w:rPr>
        <w:t>超过100万元至200万元的部分，按照0.9％交纳；</w:t>
      </w:r>
      <w:r>
        <w:rPr>
          <w:rFonts w:hint="eastAsia" w:ascii="仿宋" w:hAnsi="仿宋" w:eastAsia="仿宋" w:cs="仿宋"/>
          <w:sz w:val="28"/>
          <w:szCs w:val="28"/>
        </w:rPr>
        <w:br w:type="textWrapping"/>
      </w:r>
      <w:r>
        <w:rPr>
          <w:rFonts w:hint="eastAsia" w:ascii="仿宋" w:hAnsi="仿宋" w:eastAsia="仿宋" w:cs="仿宋"/>
          <w:sz w:val="28"/>
          <w:szCs w:val="28"/>
        </w:rPr>
        <w:t>7.</w:t>
      </w:r>
      <w:r>
        <w:rPr>
          <w:rFonts w:ascii="仿宋" w:hAnsi="仿宋" w:eastAsia="仿宋" w:cs="仿宋"/>
          <w:sz w:val="28"/>
          <w:szCs w:val="28"/>
        </w:rPr>
        <w:t xml:space="preserve"> </w:t>
      </w:r>
      <w:r>
        <w:rPr>
          <w:rFonts w:hint="eastAsia" w:ascii="仿宋" w:hAnsi="仿宋" w:eastAsia="仿宋" w:cs="仿宋"/>
          <w:sz w:val="28"/>
          <w:szCs w:val="28"/>
        </w:rPr>
        <w:t>超过200万元至500万元的部分，按照0.8％交纳；</w:t>
      </w:r>
      <w:r>
        <w:rPr>
          <w:rFonts w:hint="eastAsia" w:ascii="仿宋" w:hAnsi="仿宋" w:eastAsia="仿宋" w:cs="仿宋"/>
          <w:sz w:val="28"/>
          <w:szCs w:val="28"/>
        </w:rPr>
        <w:br w:type="textWrapping"/>
      </w:r>
      <w:r>
        <w:rPr>
          <w:rFonts w:hint="eastAsia" w:ascii="仿宋" w:hAnsi="仿宋" w:eastAsia="仿宋" w:cs="仿宋"/>
          <w:sz w:val="28"/>
          <w:szCs w:val="28"/>
        </w:rPr>
        <w:t>8.</w:t>
      </w:r>
      <w:r>
        <w:rPr>
          <w:rFonts w:ascii="仿宋" w:hAnsi="仿宋" w:eastAsia="仿宋" w:cs="仿宋"/>
          <w:sz w:val="28"/>
          <w:szCs w:val="28"/>
        </w:rPr>
        <w:t xml:space="preserve"> </w:t>
      </w:r>
      <w:r>
        <w:rPr>
          <w:rFonts w:hint="eastAsia" w:ascii="仿宋" w:hAnsi="仿宋" w:eastAsia="仿宋" w:cs="仿宋"/>
          <w:sz w:val="28"/>
          <w:szCs w:val="28"/>
        </w:rPr>
        <w:t>超过500万元至1000万元的部分，按照0.7％交纳；</w:t>
      </w:r>
      <w:r>
        <w:rPr>
          <w:rFonts w:hint="eastAsia" w:ascii="仿宋" w:hAnsi="仿宋" w:eastAsia="仿宋" w:cs="仿宋"/>
          <w:sz w:val="28"/>
          <w:szCs w:val="28"/>
        </w:rPr>
        <w:br w:type="textWrapping"/>
      </w:r>
      <w:r>
        <w:rPr>
          <w:rFonts w:hint="eastAsia" w:ascii="仿宋" w:hAnsi="仿宋" w:eastAsia="仿宋" w:cs="仿宋"/>
          <w:sz w:val="28"/>
          <w:szCs w:val="28"/>
        </w:rPr>
        <w:t>9.</w:t>
      </w:r>
      <w:r>
        <w:rPr>
          <w:rFonts w:ascii="仿宋" w:hAnsi="仿宋" w:eastAsia="仿宋" w:cs="仿宋"/>
          <w:sz w:val="28"/>
          <w:szCs w:val="28"/>
        </w:rPr>
        <w:t xml:space="preserve"> </w:t>
      </w:r>
      <w:r>
        <w:rPr>
          <w:rFonts w:hint="eastAsia" w:ascii="仿宋" w:hAnsi="仿宋" w:eastAsia="仿宋" w:cs="仿宋"/>
          <w:sz w:val="28"/>
          <w:szCs w:val="28"/>
        </w:rPr>
        <w:t>超过1000万元至2000万元的部分，按照0.6％交纳；</w:t>
      </w:r>
      <w:r>
        <w:rPr>
          <w:rFonts w:hint="eastAsia" w:ascii="仿宋" w:hAnsi="仿宋" w:eastAsia="仿宋" w:cs="仿宋"/>
          <w:sz w:val="28"/>
          <w:szCs w:val="28"/>
        </w:rPr>
        <w:br w:type="textWrapping"/>
      </w:r>
      <w:r>
        <w:rPr>
          <w:rFonts w:hint="eastAsia" w:ascii="仿宋" w:hAnsi="仿宋" w:eastAsia="仿宋" w:cs="仿宋"/>
          <w:sz w:val="28"/>
          <w:szCs w:val="28"/>
        </w:rPr>
        <w:t>10.</w:t>
      </w:r>
      <w:r>
        <w:rPr>
          <w:rFonts w:ascii="仿宋" w:hAnsi="仿宋" w:eastAsia="仿宋" w:cs="仿宋"/>
          <w:sz w:val="28"/>
          <w:szCs w:val="28"/>
        </w:rPr>
        <w:t xml:space="preserve"> </w:t>
      </w:r>
      <w:r>
        <w:rPr>
          <w:rFonts w:hint="eastAsia" w:ascii="仿宋" w:hAnsi="仿宋" w:eastAsia="仿宋" w:cs="仿宋"/>
          <w:sz w:val="28"/>
          <w:szCs w:val="28"/>
        </w:rPr>
        <w:t>超过2000万元的部分，按照0.5％交纳。</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3922001"/>
    </w:sdtPr>
    <w:sdtContent>
      <w:sdt>
        <w:sdtPr>
          <w:id w:val="1728636285"/>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w:t>
            </w:r>
            <w:r>
              <w:rPr>
                <w:b/>
                <w:bCs/>
                <w:sz w:val="24"/>
                <w:szCs w:val="24"/>
              </w:rPr>
              <w:fldChar w:fldCharType="end"/>
            </w:r>
          </w:p>
        </w:sdtContent>
      </w:sdt>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zNWVjMDEwY2IwMzRmY2UyZWIzNGU4MTgyZGI1YWIifQ=="/>
  </w:docVars>
  <w:rsids>
    <w:rsidRoot w:val="5A551108"/>
    <w:rsid w:val="00013865"/>
    <w:rsid w:val="00072F85"/>
    <w:rsid w:val="0008120A"/>
    <w:rsid w:val="001072AE"/>
    <w:rsid w:val="00157252"/>
    <w:rsid w:val="001619EB"/>
    <w:rsid w:val="001B59C2"/>
    <w:rsid w:val="001D562B"/>
    <w:rsid w:val="00287A9C"/>
    <w:rsid w:val="00337AAF"/>
    <w:rsid w:val="00384FB6"/>
    <w:rsid w:val="003C415C"/>
    <w:rsid w:val="004927E3"/>
    <w:rsid w:val="004C1C54"/>
    <w:rsid w:val="00551FBA"/>
    <w:rsid w:val="005A2F4B"/>
    <w:rsid w:val="00604049"/>
    <w:rsid w:val="007313CA"/>
    <w:rsid w:val="00746564"/>
    <w:rsid w:val="00762CAC"/>
    <w:rsid w:val="00837140"/>
    <w:rsid w:val="008A29DA"/>
    <w:rsid w:val="00954BEE"/>
    <w:rsid w:val="0096787B"/>
    <w:rsid w:val="00A2697A"/>
    <w:rsid w:val="00A87F3B"/>
    <w:rsid w:val="00B51A5C"/>
    <w:rsid w:val="00B5238A"/>
    <w:rsid w:val="00BB147D"/>
    <w:rsid w:val="00BD6CA2"/>
    <w:rsid w:val="00C4486D"/>
    <w:rsid w:val="00CB63AD"/>
    <w:rsid w:val="00D04D6D"/>
    <w:rsid w:val="00D732F0"/>
    <w:rsid w:val="00E0550B"/>
    <w:rsid w:val="00EE6AE8"/>
    <w:rsid w:val="00EF2D56"/>
    <w:rsid w:val="00FB04FF"/>
    <w:rsid w:val="00FC2A1E"/>
    <w:rsid w:val="01086541"/>
    <w:rsid w:val="01101C99"/>
    <w:rsid w:val="01EE6104"/>
    <w:rsid w:val="0D6748F7"/>
    <w:rsid w:val="0DFB2FE7"/>
    <w:rsid w:val="0FDD014C"/>
    <w:rsid w:val="12341B0F"/>
    <w:rsid w:val="144B380C"/>
    <w:rsid w:val="189A33A4"/>
    <w:rsid w:val="1A7A7BC4"/>
    <w:rsid w:val="216A58F8"/>
    <w:rsid w:val="220412B4"/>
    <w:rsid w:val="257B699E"/>
    <w:rsid w:val="2BD826A6"/>
    <w:rsid w:val="34025BC2"/>
    <w:rsid w:val="346F5941"/>
    <w:rsid w:val="38B74411"/>
    <w:rsid w:val="3D4D60B3"/>
    <w:rsid w:val="40C36B50"/>
    <w:rsid w:val="43260376"/>
    <w:rsid w:val="449444A9"/>
    <w:rsid w:val="44DC20F9"/>
    <w:rsid w:val="485F00A4"/>
    <w:rsid w:val="48EC3E09"/>
    <w:rsid w:val="4B3507DD"/>
    <w:rsid w:val="4F8117B0"/>
    <w:rsid w:val="559D3DB3"/>
    <w:rsid w:val="5A551108"/>
    <w:rsid w:val="660B3831"/>
    <w:rsid w:val="6680015E"/>
    <w:rsid w:val="6CDE3845"/>
    <w:rsid w:val="6EB3699C"/>
    <w:rsid w:val="7401771C"/>
    <w:rsid w:val="74DB33AE"/>
    <w:rsid w:val="77887259"/>
    <w:rsid w:val="7A141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spacing w:line="520" w:lineRule="exact"/>
      <w:ind w:firstLine="464" w:firstLineChars="200"/>
      <w:jc w:val="both"/>
    </w:pPr>
    <w:rPr>
      <w:rFonts w:ascii="宋体" w:hAnsi="宋体" w:eastAsia="仿宋" w:cs="宋体"/>
      <w:sz w:val="28"/>
      <w:szCs w:val="21"/>
      <w:lang w:val="zh-CN" w:bidi="zh-CN"/>
    </w:rPr>
  </w:style>
  <w:style w:type="paragraph" w:styleId="3">
    <w:name w:val="footer"/>
    <w:basedOn w:val="1"/>
    <w:link w:val="10"/>
    <w:autoRedefine/>
    <w:qFormat/>
    <w:uiPriority w:val="99"/>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spacing w:beforeAutospacing="1" w:afterAutospacing="1"/>
      <w:jc w:val="left"/>
    </w:pPr>
    <w:rPr>
      <w:rFonts w:cs="Times New Roman"/>
      <w:kern w:val="0"/>
      <w:sz w:val="24"/>
    </w:rPr>
  </w:style>
  <w:style w:type="character" w:styleId="8">
    <w:name w:val="Strong"/>
    <w:basedOn w:val="7"/>
    <w:autoRedefine/>
    <w:qFormat/>
    <w:uiPriority w:val="0"/>
    <w:rPr>
      <w:b/>
    </w:rPr>
  </w:style>
  <w:style w:type="character" w:customStyle="1" w:styleId="9">
    <w:name w:val="页眉 字符"/>
    <w:basedOn w:val="7"/>
    <w:link w:val="4"/>
    <w:autoRedefine/>
    <w:qFormat/>
    <w:uiPriority w:val="0"/>
    <w:rPr>
      <w:rFonts w:asciiTheme="minorHAnsi" w:hAnsiTheme="minorHAnsi" w:eastAsiaTheme="minorEastAsia" w:cstheme="minorBidi"/>
      <w:kern w:val="2"/>
      <w:sz w:val="18"/>
      <w:szCs w:val="18"/>
    </w:rPr>
  </w:style>
  <w:style w:type="character" w:customStyle="1" w:styleId="10">
    <w:name w:val="页脚 字符"/>
    <w:basedOn w:val="7"/>
    <w:link w:val="3"/>
    <w:autoRedefine/>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151</Words>
  <Characters>862</Characters>
  <Lines>7</Lines>
  <Paragraphs>2</Paragraphs>
  <TotalTime>2</TotalTime>
  <ScaleCrop>false</ScaleCrop>
  <LinksUpToDate>false</LinksUpToDate>
  <CharactersWithSpaces>1011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2016-04-24T14:18:00Z</dcterms:created>
  <dc:creator>Administrator</dc:creator>
  <cp:lastModifiedBy>艾罗</cp:lastModifiedBy>
  <cp:lastPrinted>2020-09-30T07:43:00Z</cp:lastPrinted>
  <dcterms:modified xsi:type="dcterms:W3CDTF">2024-04-17T04:55:38Z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B8327AFC671D485EB0DD0C92F21B4E0F</vt:lpwstr>
  </property>
</Properties>
</file>