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b/>
          <w:sz w:val="44"/>
          <w:szCs w:val="44"/>
        </w:rPr>
      </w:pPr>
      <w:bookmarkStart w:id="0" w:name="_Hlk113378080"/>
      <w:r>
        <w:rPr>
          <w:rFonts w:hint="eastAsia"/>
          <w:b/>
          <w:sz w:val="44"/>
          <w:szCs w:val="44"/>
          <w:lang w:eastAsia="zh-CN"/>
        </w:rPr>
        <w:t>赣州小时侯餐饮有限公司</w:t>
      </w:r>
      <w:r>
        <w:rPr>
          <w:rFonts w:hint="eastAsia"/>
          <w:b/>
          <w:sz w:val="44"/>
          <w:szCs w:val="44"/>
        </w:rPr>
        <w:t>破产清算案</w:t>
      </w:r>
      <w:bookmarkEnd w:id="0"/>
    </w:p>
    <w:p>
      <w:pPr>
        <w:spacing w:line="240" w:lineRule="auto"/>
        <w:jc w:val="center"/>
        <w:rPr>
          <w:b/>
          <w:sz w:val="44"/>
          <w:szCs w:val="44"/>
        </w:rPr>
      </w:pPr>
      <w:r>
        <w:rPr>
          <w:rFonts w:hint="eastAsia"/>
          <w:b/>
          <w:sz w:val="44"/>
          <w:szCs w:val="44"/>
        </w:rPr>
        <w:t>债权申报及第一次债权人会议公告</w:t>
      </w:r>
    </w:p>
    <w:p>
      <w:pPr>
        <w:spacing w:line="500" w:lineRule="exact"/>
        <w:jc w:val="center"/>
        <w:rPr>
          <w:b/>
          <w:sz w:val="44"/>
          <w:szCs w:val="44"/>
        </w:rPr>
      </w:pPr>
    </w:p>
    <w:p>
      <w:pPr>
        <w:spacing w:line="500" w:lineRule="exact"/>
        <w:ind w:firstLine="560" w:firstLineChars="200"/>
        <w:rPr>
          <w:rFonts w:ascii="仿宋" w:hAnsi="仿宋"/>
          <w:szCs w:val="28"/>
        </w:rPr>
      </w:pPr>
      <w:bookmarkStart w:id="1" w:name="_Hlk115202146"/>
      <w:r>
        <w:rPr>
          <w:rFonts w:hint="eastAsia" w:ascii="仿宋" w:hAnsi="仿宋"/>
          <w:szCs w:val="28"/>
        </w:rPr>
        <w:t>202</w:t>
      </w:r>
      <w:r>
        <w:rPr>
          <w:rFonts w:hint="eastAsia" w:ascii="仿宋" w:hAnsi="仿宋"/>
          <w:szCs w:val="28"/>
          <w:lang w:val="en-US" w:eastAsia="zh-CN"/>
        </w:rPr>
        <w:t>4</w:t>
      </w:r>
      <w:r>
        <w:rPr>
          <w:rFonts w:hint="eastAsia" w:ascii="仿宋" w:hAnsi="仿宋"/>
          <w:szCs w:val="28"/>
        </w:rPr>
        <w:t>年</w:t>
      </w:r>
      <w:r>
        <w:rPr>
          <w:rFonts w:hint="eastAsia" w:ascii="仿宋" w:hAnsi="仿宋"/>
          <w:szCs w:val="28"/>
          <w:lang w:val="en-US" w:eastAsia="zh-CN"/>
        </w:rPr>
        <w:t>4</w:t>
      </w:r>
      <w:r>
        <w:rPr>
          <w:rFonts w:ascii="仿宋" w:hAnsi="仿宋"/>
          <w:szCs w:val="28"/>
        </w:rPr>
        <w:t>月</w:t>
      </w:r>
      <w:r>
        <w:rPr>
          <w:rFonts w:hint="eastAsia" w:ascii="仿宋" w:hAnsi="仿宋"/>
          <w:szCs w:val="28"/>
          <w:lang w:val="en-US" w:eastAsia="zh-CN"/>
        </w:rPr>
        <w:t>23</w:t>
      </w:r>
      <w:r>
        <w:rPr>
          <w:rFonts w:ascii="仿宋" w:hAnsi="仿宋"/>
          <w:szCs w:val="28"/>
        </w:rPr>
        <w:t>日</w:t>
      </w:r>
      <w:r>
        <w:rPr>
          <w:rFonts w:hint="eastAsia" w:ascii="仿宋" w:hAnsi="仿宋"/>
          <w:szCs w:val="28"/>
        </w:rPr>
        <w:t>，</w:t>
      </w:r>
      <w:r>
        <w:rPr>
          <w:rFonts w:hint="eastAsia" w:ascii="仿宋" w:hAnsi="仿宋"/>
          <w:szCs w:val="28"/>
          <w:lang w:eastAsia="zh-CN"/>
        </w:rPr>
        <w:t>赣县区</w:t>
      </w:r>
      <w:r>
        <w:rPr>
          <w:rFonts w:hint="eastAsia" w:ascii="仿宋" w:hAnsi="仿宋"/>
          <w:szCs w:val="28"/>
        </w:rPr>
        <w:t>人民法院</w:t>
      </w:r>
      <w:r>
        <w:rPr>
          <w:rFonts w:hint="eastAsia" w:ascii="仿宋" w:hAnsi="仿宋"/>
          <w:szCs w:val="28"/>
          <w:lang w:eastAsia="zh-CN"/>
        </w:rPr>
        <w:t>根据申请人赣州市赣县区人力资源和社会保障局的申请，裁定受理赣州小时侯餐饮有限公司</w:t>
      </w:r>
      <w:r>
        <w:rPr>
          <w:rFonts w:hint="eastAsia" w:ascii="仿宋" w:hAnsi="仿宋"/>
          <w:szCs w:val="28"/>
        </w:rPr>
        <w:t>破产清算一案，并于202</w:t>
      </w:r>
      <w:r>
        <w:rPr>
          <w:rFonts w:hint="eastAsia" w:ascii="仿宋" w:hAnsi="仿宋"/>
          <w:szCs w:val="28"/>
          <w:lang w:val="en-US" w:eastAsia="zh-CN"/>
        </w:rPr>
        <w:t>4</w:t>
      </w:r>
      <w:r>
        <w:rPr>
          <w:rFonts w:hint="eastAsia" w:ascii="仿宋" w:hAnsi="仿宋"/>
          <w:szCs w:val="28"/>
        </w:rPr>
        <w:t>年</w:t>
      </w:r>
      <w:r>
        <w:rPr>
          <w:rFonts w:hint="eastAsia" w:ascii="仿宋" w:hAnsi="仿宋"/>
          <w:szCs w:val="28"/>
          <w:lang w:val="en-US" w:eastAsia="zh-CN"/>
        </w:rPr>
        <w:t>4</w:t>
      </w:r>
      <w:r>
        <w:rPr>
          <w:rFonts w:ascii="仿宋" w:hAnsi="仿宋"/>
          <w:szCs w:val="28"/>
        </w:rPr>
        <w:t>月</w:t>
      </w:r>
      <w:r>
        <w:rPr>
          <w:rFonts w:hint="eastAsia" w:ascii="仿宋" w:hAnsi="仿宋"/>
          <w:szCs w:val="28"/>
          <w:lang w:val="en-US" w:eastAsia="zh-CN"/>
        </w:rPr>
        <w:t>23</w:t>
      </w:r>
      <w:r>
        <w:rPr>
          <w:rFonts w:ascii="仿宋" w:hAnsi="仿宋"/>
          <w:szCs w:val="28"/>
        </w:rPr>
        <w:t>日</w:t>
      </w:r>
      <w:r>
        <w:rPr>
          <w:rFonts w:hint="eastAsia" w:ascii="仿宋" w:hAnsi="仿宋"/>
          <w:szCs w:val="28"/>
        </w:rPr>
        <w:t>指定本所担任</w:t>
      </w:r>
      <w:r>
        <w:rPr>
          <w:rFonts w:hint="eastAsia" w:ascii="仿宋" w:hAnsi="仿宋"/>
          <w:szCs w:val="28"/>
          <w:lang w:eastAsia="zh-CN"/>
        </w:rPr>
        <w:t>赣州小时侯餐饮</w:t>
      </w:r>
      <w:r>
        <w:rPr>
          <w:rFonts w:hint="eastAsia" w:ascii="仿宋" w:hAnsi="仿宋"/>
          <w:szCs w:val="28"/>
        </w:rPr>
        <w:t>管理人</w:t>
      </w:r>
      <w:bookmarkEnd w:id="1"/>
      <w:r>
        <w:rPr>
          <w:rFonts w:hint="eastAsia" w:ascii="仿宋" w:hAnsi="仿宋"/>
          <w:szCs w:val="28"/>
        </w:rPr>
        <w:t>（以下称“管理人”）。现将债权申报及第一次债权人会议等相关事项通知如下：</w:t>
      </w:r>
    </w:p>
    <w:p>
      <w:pPr>
        <w:spacing w:line="500" w:lineRule="exact"/>
        <w:ind w:firstLine="560" w:firstLineChars="200"/>
        <w:rPr>
          <w:rFonts w:ascii="仿宋" w:hAnsi="仿宋"/>
          <w:szCs w:val="28"/>
        </w:rPr>
      </w:pPr>
      <w:r>
        <w:rPr>
          <w:rFonts w:hint="eastAsia" w:ascii="仿宋" w:hAnsi="仿宋"/>
          <w:szCs w:val="28"/>
        </w:rPr>
        <w:t>一、债权申报时间及申报地址</w:t>
      </w:r>
    </w:p>
    <w:p>
      <w:pPr>
        <w:spacing w:line="500" w:lineRule="exact"/>
        <w:ind w:firstLine="560" w:firstLineChars="200"/>
        <w:rPr>
          <w:rFonts w:hint="eastAsia" w:ascii="仿宋" w:hAnsi="仿宋" w:eastAsia="仿宋"/>
          <w:color w:val="000000" w:themeColor="text1"/>
          <w:szCs w:val="28"/>
          <w:lang w:eastAsia="zh-CN"/>
          <w14:textFill>
            <w14:solidFill>
              <w14:schemeClr w14:val="tx1"/>
            </w14:solidFill>
          </w14:textFill>
        </w:rPr>
      </w:pPr>
      <w:r>
        <w:rPr>
          <w:rFonts w:ascii="仿宋" w:hAnsi="仿宋"/>
          <w:szCs w:val="28"/>
          <w:u w:color="FF0000"/>
        </w:rPr>
        <w:t>1</w:t>
      </w:r>
      <w:r>
        <w:rPr>
          <w:rFonts w:hint="eastAsia" w:ascii="仿宋" w:hAnsi="仿宋"/>
          <w:szCs w:val="28"/>
          <w:u w:color="FF0000"/>
        </w:rPr>
        <w:t>.</w:t>
      </w:r>
      <w:r>
        <w:rPr>
          <w:rFonts w:hint="eastAsia" w:ascii="仿宋" w:hAnsi="仿宋"/>
          <w:szCs w:val="28"/>
        </w:rPr>
        <w:t>债权申报截</w:t>
      </w:r>
      <w:r>
        <w:rPr>
          <w:rFonts w:hint="eastAsia" w:ascii="仿宋" w:hAnsi="仿宋"/>
          <w:color w:val="000000" w:themeColor="text1"/>
          <w:szCs w:val="28"/>
          <w14:textFill>
            <w14:solidFill>
              <w14:schemeClr w14:val="tx1"/>
            </w14:solidFill>
          </w14:textFill>
        </w:rPr>
        <w:t>止时间：202</w:t>
      </w:r>
      <w:r>
        <w:rPr>
          <w:rFonts w:hint="eastAsia" w:ascii="仿宋" w:hAnsi="仿宋"/>
          <w:color w:val="000000" w:themeColor="text1"/>
          <w:szCs w:val="28"/>
          <w:lang w:val="en-US" w:eastAsia="zh-CN"/>
          <w14:textFill>
            <w14:solidFill>
              <w14:schemeClr w14:val="tx1"/>
            </w14:solidFill>
          </w14:textFill>
        </w:rPr>
        <w:t>4</w:t>
      </w:r>
      <w:r>
        <w:rPr>
          <w:rFonts w:hint="eastAsia" w:ascii="仿宋" w:hAnsi="仿宋"/>
          <w:color w:val="000000" w:themeColor="text1"/>
          <w:szCs w:val="28"/>
          <w14:textFill>
            <w14:solidFill>
              <w14:schemeClr w14:val="tx1"/>
            </w14:solidFill>
          </w14:textFill>
        </w:rPr>
        <w:t>年</w:t>
      </w:r>
      <w:r>
        <w:rPr>
          <w:rFonts w:hint="eastAsia" w:ascii="仿宋" w:hAnsi="仿宋"/>
          <w:color w:val="000000" w:themeColor="text1"/>
          <w:szCs w:val="28"/>
          <w:lang w:val="en-US" w:eastAsia="zh-CN"/>
          <w14:textFill>
            <w14:solidFill>
              <w14:schemeClr w14:val="tx1"/>
            </w14:solidFill>
          </w14:textFill>
        </w:rPr>
        <w:t>5</w:t>
      </w:r>
      <w:r>
        <w:rPr>
          <w:rFonts w:hint="eastAsia" w:ascii="仿宋" w:hAnsi="仿宋"/>
          <w:color w:val="000000" w:themeColor="text1"/>
          <w:szCs w:val="28"/>
          <w14:textFill>
            <w14:solidFill>
              <w14:schemeClr w14:val="tx1"/>
            </w14:solidFill>
          </w14:textFill>
        </w:rPr>
        <w:t>月</w:t>
      </w:r>
      <w:r>
        <w:rPr>
          <w:rFonts w:hint="eastAsia" w:ascii="仿宋" w:hAnsi="仿宋"/>
          <w:color w:val="000000" w:themeColor="text1"/>
          <w:szCs w:val="28"/>
          <w:lang w:val="en-US" w:eastAsia="zh-CN"/>
          <w14:textFill>
            <w14:solidFill>
              <w14:schemeClr w14:val="tx1"/>
            </w14:solidFill>
          </w14:textFill>
        </w:rPr>
        <w:t>27</w:t>
      </w:r>
      <w:r>
        <w:rPr>
          <w:rFonts w:hint="eastAsia" w:ascii="仿宋" w:hAnsi="仿宋"/>
          <w:color w:val="000000" w:themeColor="text1"/>
          <w:szCs w:val="28"/>
          <w14:textFill>
            <w14:solidFill>
              <w14:schemeClr w14:val="tx1"/>
            </w14:solidFill>
          </w14:textFill>
        </w:rPr>
        <w:t>日</w:t>
      </w:r>
      <w:r>
        <w:rPr>
          <w:rFonts w:hint="eastAsia" w:ascii="仿宋" w:hAnsi="仿宋"/>
          <w:color w:val="000000" w:themeColor="text1"/>
          <w:szCs w:val="28"/>
          <w:lang w:eastAsia="zh-CN"/>
          <w14:textFill>
            <w14:solidFill>
              <w14:schemeClr w14:val="tx1"/>
            </w14:solidFill>
          </w14:textFill>
        </w:rPr>
        <w:t>。</w:t>
      </w:r>
    </w:p>
    <w:p>
      <w:pPr>
        <w:spacing w:line="500" w:lineRule="exact"/>
        <w:ind w:firstLine="560" w:firstLineChars="200"/>
        <w:rPr>
          <w:rFonts w:ascii="仿宋" w:hAnsi="仿宋"/>
          <w:szCs w:val="28"/>
        </w:rPr>
      </w:pPr>
      <w:r>
        <w:rPr>
          <w:rFonts w:hint="eastAsia" w:ascii="仿宋" w:hAnsi="仿宋"/>
          <w:szCs w:val="28"/>
        </w:rPr>
        <w:t>2.申报地址：</w:t>
      </w:r>
    </w:p>
    <w:p>
      <w:pPr>
        <w:spacing w:line="500" w:lineRule="exact"/>
        <w:ind w:firstLine="560" w:firstLineChars="200"/>
        <w:rPr>
          <w:rFonts w:hint="default" w:ascii="仿宋" w:hAnsi="仿宋" w:eastAsia="仿宋"/>
          <w:szCs w:val="28"/>
          <w:lang w:val="en-US" w:eastAsia="zh-CN"/>
        </w:rPr>
      </w:pPr>
      <w:r>
        <w:rPr>
          <w:rFonts w:hint="eastAsia" w:ascii="仿宋" w:hAnsi="仿宋"/>
          <w:szCs w:val="28"/>
        </w:rPr>
        <w:t>江西省赣州市章贡区登峰大道36号中航公元城一期4</w:t>
      </w:r>
      <w:r>
        <w:rPr>
          <w:rFonts w:hint="eastAsia" w:ascii="仿宋" w:hAnsi="仿宋"/>
          <w:szCs w:val="28"/>
          <w:lang w:eastAsia="zh-CN"/>
        </w:rPr>
        <w:t>栋</w:t>
      </w:r>
      <w:r>
        <w:rPr>
          <w:rFonts w:hint="eastAsia" w:ascii="仿宋" w:hAnsi="仿宋"/>
          <w:szCs w:val="28"/>
          <w:lang w:val="en-US" w:eastAsia="zh-CN"/>
        </w:rPr>
        <w:t>201室。</w:t>
      </w:r>
    </w:p>
    <w:p>
      <w:pPr>
        <w:spacing w:line="500" w:lineRule="exact"/>
        <w:ind w:firstLine="560" w:firstLineChars="200"/>
        <w:rPr>
          <w:rFonts w:ascii="仿宋" w:hAnsi="仿宋"/>
          <w:szCs w:val="28"/>
        </w:rPr>
      </w:pPr>
      <w:r>
        <w:rPr>
          <w:rFonts w:hint="eastAsia" w:ascii="仿宋" w:hAnsi="仿宋"/>
          <w:szCs w:val="28"/>
        </w:rPr>
        <w:t xml:space="preserve">3.联系人及联系方式： </w:t>
      </w:r>
    </w:p>
    <w:p>
      <w:pPr>
        <w:spacing w:line="500" w:lineRule="exact"/>
        <w:ind w:firstLine="560" w:firstLineChars="200"/>
        <w:rPr>
          <w:rFonts w:hint="eastAsia" w:ascii="仿宋" w:hAnsi="仿宋" w:eastAsia="仿宋"/>
          <w:szCs w:val="28"/>
          <w:lang w:eastAsia="zh-CN"/>
        </w:rPr>
      </w:pPr>
      <w:r>
        <w:rPr>
          <w:rFonts w:hint="eastAsia" w:ascii="仿宋" w:hAnsi="仿宋"/>
          <w:szCs w:val="28"/>
        </w:rPr>
        <w:t>曾华</w:t>
      </w:r>
      <w:r>
        <w:rPr>
          <w:rFonts w:ascii="仿宋" w:hAnsi="仿宋"/>
          <w:szCs w:val="28"/>
        </w:rPr>
        <w:t>灵</w:t>
      </w:r>
      <w:r>
        <w:rPr>
          <w:rFonts w:hint="eastAsia" w:ascii="仿宋" w:hAnsi="仿宋"/>
          <w:szCs w:val="28"/>
        </w:rPr>
        <w:t>律师，联系电话：</w:t>
      </w:r>
      <w:r>
        <w:rPr>
          <w:rFonts w:ascii="仿宋" w:hAnsi="仿宋"/>
          <w:szCs w:val="28"/>
        </w:rPr>
        <w:t>18870497756</w:t>
      </w:r>
      <w:r>
        <w:rPr>
          <w:rFonts w:hint="eastAsia" w:ascii="仿宋" w:hAnsi="仿宋"/>
          <w:szCs w:val="28"/>
          <w:lang w:eastAsia="zh-CN"/>
        </w:rPr>
        <w:t>。</w:t>
      </w:r>
    </w:p>
    <w:p>
      <w:pPr>
        <w:spacing w:line="500" w:lineRule="exact"/>
        <w:ind w:firstLine="560" w:firstLineChars="200"/>
        <w:rPr>
          <w:rFonts w:ascii="仿宋" w:hAnsi="仿宋"/>
          <w:szCs w:val="28"/>
        </w:rPr>
      </w:pPr>
      <w:r>
        <w:rPr>
          <w:rFonts w:hint="eastAsia" w:ascii="仿宋" w:hAnsi="仿宋"/>
          <w:szCs w:val="28"/>
        </w:rPr>
        <w:t>4.工作时间：上午8:30-12:00；下午14:30-17:30（节假日除外）。</w:t>
      </w:r>
    </w:p>
    <w:p>
      <w:pPr>
        <w:spacing w:line="500" w:lineRule="exact"/>
        <w:ind w:firstLine="560" w:firstLineChars="200"/>
        <w:rPr>
          <w:rFonts w:ascii="仿宋" w:hAnsi="仿宋"/>
          <w:szCs w:val="28"/>
        </w:rPr>
      </w:pPr>
      <w:r>
        <w:rPr>
          <w:rFonts w:hint="eastAsia" w:ascii="仿宋" w:hAnsi="仿宋"/>
          <w:szCs w:val="28"/>
        </w:rPr>
        <w:t>三、债权申报材料</w:t>
      </w:r>
    </w:p>
    <w:p>
      <w:pPr>
        <w:spacing w:line="500" w:lineRule="exact"/>
        <w:ind w:firstLine="560" w:firstLineChars="200"/>
        <w:rPr>
          <w:rFonts w:ascii="仿宋" w:hAnsi="仿宋"/>
          <w:szCs w:val="28"/>
        </w:rPr>
      </w:pPr>
      <w:r>
        <w:rPr>
          <w:rFonts w:hint="eastAsia" w:ascii="仿宋" w:hAnsi="仿宋"/>
          <w:szCs w:val="28"/>
        </w:rPr>
        <w:t>（一）债权申报所需材料：</w:t>
      </w:r>
    </w:p>
    <w:p>
      <w:pPr>
        <w:spacing w:line="500" w:lineRule="exact"/>
        <w:ind w:firstLine="560" w:firstLineChars="200"/>
        <w:rPr>
          <w:rFonts w:ascii="仿宋" w:hAnsi="仿宋"/>
          <w:szCs w:val="28"/>
        </w:rPr>
      </w:pPr>
      <w:r>
        <w:rPr>
          <w:rFonts w:hint="eastAsia" w:ascii="仿宋" w:hAnsi="仿宋"/>
          <w:szCs w:val="28"/>
        </w:rPr>
        <w:t>各债权人向管理人申报债权时，需提供</w:t>
      </w:r>
      <w:r>
        <w:rPr>
          <w:rFonts w:hint="eastAsia" w:ascii="仿宋" w:hAnsi="仿宋"/>
          <w:color w:val="000000" w:themeColor="text1"/>
          <w:szCs w:val="28"/>
          <w14:textFill>
            <w14:solidFill>
              <w14:schemeClr w14:val="tx1"/>
            </w14:solidFill>
          </w14:textFill>
        </w:rPr>
        <w:t>下列材料一式贰份</w:t>
      </w:r>
      <w:r>
        <w:rPr>
          <w:rFonts w:hint="eastAsia" w:ascii="仿宋" w:hAnsi="仿宋"/>
          <w:szCs w:val="28"/>
        </w:rPr>
        <w:t>，并按序整理排列：</w:t>
      </w:r>
    </w:p>
    <w:p>
      <w:pPr>
        <w:spacing w:line="500" w:lineRule="exact"/>
        <w:ind w:firstLine="560" w:firstLineChars="200"/>
        <w:rPr>
          <w:rFonts w:ascii="仿宋" w:hAnsi="仿宋"/>
          <w:szCs w:val="28"/>
        </w:rPr>
      </w:pPr>
      <w:r>
        <w:rPr>
          <w:rFonts w:hint="eastAsia" w:ascii="仿宋" w:hAnsi="仿宋"/>
          <w:szCs w:val="28"/>
        </w:rPr>
        <w:t>1.债权申报登记表； </w:t>
      </w:r>
    </w:p>
    <w:p>
      <w:pPr>
        <w:spacing w:line="500" w:lineRule="exact"/>
        <w:ind w:firstLine="560" w:firstLineChars="200"/>
        <w:rPr>
          <w:rFonts w:ascii="仿宋" w:hAnsi="仿宋"/>
          <w:szCs w:val="28"/>
        </w:rPr>
      </w:pPr>
      <w:r>
        <w:rPr>
          <w:rFonts w:hint="eastAsia" w:ascii="仿宋" w:hAnsi="仿宋"/>
          <w:szCs w:val="28"/>
        </w:rPr>
        <w:t>2.债权计算清单；</w:t>
      </w:r>
    </w:p>
    <w:p>
      <w:pPr>
        <w:spacing w:line="500" w:lineRule="exact"/>
        <w:ind w:firstLine="560" w:firstLineChars="200"/>
        <w:rPr>
          <w:rFonts w:ascii="仿宋" w:hAnsi="仿宋"/>
          <w:szCs w:val="28"/>
        </w:rPr>
      </w:pPr>
      <w:r>
        <w:rPr>
          <w:rFonts w:hint="eastAsia" w:ascii="仿宋" w:hAnsi="仿宋"/>
          <w:szCs w:val="28"/>
        </w:rPr>
        <w:t>3.债权申报证据清单；</w:t>
      </w:r>
    </w:p>
    <w:p>
      <w:pPr>
        <w:spacing w:line="500" w:lineRule="exact"/>
        <w:ind w:firstLine="560" w:firstLineChars="200"/>
        <w:rPr>
          <w:rFonts w:ascii="仿宋" w:hAnsi="仿宋"/>
          <w:szCs w:val="28"/>
        </w:rPr>
      </w:pPr>
      <w:r>
        <w:rPr>
          <w:rFonts w:hint="eastAsia" w:ascii="仿宋" w:hAnsi="仿宋"/>
          <w:szCs w:val="28"/>
        </w:rPr>
        <w:t>4.债权人送达地址（送达方式）确认书；</w:t>
      </w:r>
    </w:p>
    <w:p>
      <w:pPr>
        <w:spacing w:line="500" w:lineRule="exact"/>
        <w:ind w:firstLine="560" w:firstLineChars="200"/>
        <w:rPr>
          <w:rFonts w:ascii="仿宋" w:hAnsi="仿宋"/>
          <w:szCs w:val="28"/>
        </w:rPr>
      </w:pPr>
      <w:r>
        <w:rPr>
          <w:rFonts w:hint="eastAsia" w:ascii="仿宋" w:hAnsi="仿宋"/>
          <w:szCs w:val="28"/>
        </w:rPr>
        <w:t>5.债权人领取破产案件分配确认表；</w:t>
      </w:r>
    </w:p>
    <w:p>
      <w:pPr>
        <w:spacing w:line="500" w:lineRule="exact"/>
        <w:ind w:firstLine="560" w:firstLineChars="200"/>
        <w:rPr>
          <w:rFonts w:ascii="仿宋" w:hAnsi="仿宋"/>
          <w:szCs w:val="28"/>
        </w:rPr>
      </w:pPr>
      <w:r>
        <w:rPr>
          <w:rFonts w:hint="eastAsia" w:ascii="仿宋" w:hAnsi="仿宋"/>
          <w:szCs w:val="28"/>
        </w:rPr>
        <w:t>6.关于同意采用网络（数据电文）方式送达文书、召开会议、表决投票的声明；</w:t>
      </w:r>
    </w:p>
    <w:p>
      <w:pPr>
        <w:spacing w:line="500" w:lineRule="exact"/>
        <w:ind w:firstLine="560" w:firstLineChars="200"/>
        <w:rPr>
          <w:rFonts w:ascii="仿宋" w:hAnsi="仿宋"/>
          <w:szCs w:val="28"/>
        </w:rPr>
      </w:pPr>
      <w:r>
        <w:rPr>
          <w:rFonts w:hint="eastAsia" w:ascii="仿宋" w:hAnsi="仿宋"/>
          <w:szCs w:val="28"/>
        </w:rPr>
        <w:t>7.关于对债权申报方式和管理人履行职责的声明；</w:t>
      </w:r>
    </w:p>
    <w:p>
      <w:pPr>
        <w:spacing w:line="500" w:lineRule="exact"/>
        <w:ind w:firstLine="560" w:firstLineChars="200"/>
        <w:rPr>
          <w:rFonts w:ascii="仿宋" w:hAnsi="仿宋"/>
          <w:szCs w:val="28"/>
        </w:rPr>
      </w:pPr>
      <w:r>
        <w:rPr>
          <w:rFonts w:hint="eastAsia" w:ascii="仿宋" w:hAnsi="仿宋"/>
          <w:szCs w:val="28"/>
        </w:rPr>
        <w:t>8.债权申报回执；</w:t>
      </w:r>
    </w:p>
    <w:p>
      <w:pPr>
        <w:spacing w:line="500" w:lineRule="exact"/>
        <w:ind w:firstLine="560" w:firstLineChars="200"/>
        <w:rPr>
          <w:rFonts w:ascii="仿宋" w:hAnsi="仿宋"/>
          <w:szCs w:val="28"/>
        </w:rPr>
      </w:pPr>
      <w:r>
        <w:rPr>
          <w:rFonts w:hint="eastAsia" w:ascii="仿宋" w:hAnsi="仿宋"/>
          <w:szCs w:val="28"/>
        </w:rPr>
        <w:t>9.法定代表人身份证明[债权人为企业的，应提供已年检的营业执照复印件（加盖公章）、法定代表人身份证明书、法定代表人身份证复印件（签字确认）；债权人为个人的应提供个人身份证明（复印件签字确认）；委托代理人申报的，还须提交授权委托书（原件）及代理人身份证明（复印件签字确认）]；</w:t>
      </w:r>
    </w:p>
    <w:p>
      <w:pPr>
        <w:spacing w:line="500" w:lineRule="exact"/>
        <w:ind w:firstLine="560" w:firstLineChars="200"/>
        <w:rPr>
          <w:rFonts w:ascii="仿宋" w:hAnsi="仿宋"/>
          <w:szCs w:val="28"/>
        </w:rPr>
      </w:pPr>
      <w:r>
        <w:rPr>
          <w:rFonts w:hint="eastAsia" w:ascii="仿宋" w:hAnsi="仿宋"/>
          <w:szCs w:val="28"/>
        </w:rPr>
        <w:t>10.授权委托书[委托代理人申报的，还需提供授权委托书（原件）、代理人身份证复印件（签字按手印），若委托代理人为律师的，需提供律师事务所出具的指派函原件及律师执业证复印件（原件核查）；债权人本人或者法定代表人申报的，无需提供授权委托书]；</w:t>
      </w:r>
    </w:p>
    <w:p>
      <w:pPr>
        <w:spacing w:line="500" w:lineRule="exact"/>
        <w:ind w:firstLine="560" w:firstLineChars="200"/>
        <w:rPr>
          <w:rFonts w:ascii="仿宋" w:hAnsi="仿宋"/>
          <w:szCs w:val="28"/>
        </w:rPr>
      </w:pPr>
      <w:r>
        <w:rPr>
          <w:rFonts w:hint="eastAsia" w:ascii="仿宋" w:hAnsi="仿宋"/>
          <w:szCs w:val="28"/>
        </w:rPr>
        <w:t>（二）债权申报有关文本的获取</w:t>
      </w:r>
    </w:p>
    <w:p>
      <w:pPr>
        <w:spacing w:line="500" w:lineRule="exact"/>
        <w:ind w:firstLine="560" w:firstLineChars="200"/>
        <w:rPr>
          <w:rFonts w:ascii="仿宋" w:hAnsi="仿宋"/>
          <w:color w:val="000000" w:themeColor="text1"/>
          <w:szCs w:val="28"/>
          <w14:textFill>
            <w14:solidFill>
              <w14:schemeClr w14:val="tx1"/>
            </w14:solidFill>
          </w14:textFill>
        </w:rPr>
      </w:pPr>
      <w:r>
        <w:rPr>
          <w:rFonts w:hint="eastAsia" w:ascii="仿宋" w:hAnsi="仿宋"/>
          <w:szCs w:val="28"/>
        </w:rPr>
        <w:t>关于申报所需材料中“债权申报登记表、债权计算清单、债权申报证据清单、法定代表人身份证明书、授权委托书、债权人送达地址确认书、关于同意采用网络（数据电文）方式送达文书、债权申报回执、表决投票声明、关于对债权申报方式和管理人履行职责的声明、债权人领取破产案件分配款确认表”，</w:t>
      </w:r>
      <w:r>
        <w:rPr>
          <w:rFonts w:hint="eastAsia" w:ascii="仿宋" w:hAnsi="仿宋"/>
          <w:color w:val="000000" w:themeColor="text1"/>
          <w:szCs w:val="28"/>
          <w14:textFill>
            <w14:solidFill>
              <w14:schemeClr w14:val="tx1"/>
            </w14:solidFill>
          </w14:textFill>
        </w:rPr>
        <w:t>管理人已制作参考样本，债权人可在文末扫描二维码下载。</w:t>
      </w:r>
    </w:p>
    <w:p>
      <w:pPr>
        <w:spacing w:line="500" w:lineRule="exact"/>
        <w:ind w:firstLine="560" w:firstLineChars="200"/>
        <w:rPr>
          <w:rFonts w:ascii="仿宋" w:hAnsi="仿宋"/>
          <w:szCs w:val="28"/>
        </w:rPr>
      </w:pPr>
      <w:r>
        <w:rPr>
          <w:rFonts w:hint="eastAsia" w:ascii="仿宋" w:hAnsi="仿宋"/>
          <w:szCs w:val="28"/>
        </w:rPr>
        <w:t>（三）注意事项</w:t>
      </w:r>
    </w:p>
    <w:p>
      <w:pPr>
        <w:spacing w:line="500" w:lineRule="exact"/>
        <w:ind w:firstLine="560" w:firstLineChars="200"/>
        <w:rPr>
          <w:rFonts w:ascii="仿宋" w:hAnsi="仿宋"/>
          <w:szCs w:val="28"/>
        </w:rPr>
      </w:pPr>
      <w:r>
        <w:rPr>
          <w:rFonts w:hint="eastAsia" w:ascii="仿宋" w:hAnsi="仿宋"/>
          <w:szCs w:val="28"/>
        </w:rPr>
        <w:t>1.未到期的债权，在破产清算申请受理时（2</w:t>
      </w:r>
      <w:r>
        <w:rPr>
          <w:rFonts w:ascii="仿宋" w:hAnsi="仿宋"/>
          <w:szCs w:val="28"/>
        </w:rPr>
        <w:t>02</w:t>
      </w:r>
      <w:r>
        <w:rPr>
          <w:rFonts w:hint="eastAsia" w:ascii="仿宋" w:hAnsi="仿宋"/>
          <w:szCs w:val="28"/>
          <w:lang w:val="en-US" w:eastAsia="zh-CN"/>
        </w:rPr>
        <w:t>4</w:t>
      </w:r>
      <w:r>
        <w:rPr>
          <w:rFonts w:hint="eastAsia" w:ascii="仿宋" w:hAnsi="仿宋"/>
          <w:szCs w:val="28"/>
        </w:rPr>
        <w:t>年</w:t>
      </w:r>
      <w:r>
        <w:rPr>
          <w:rFonts w:hint="eastAsia" w:ascii="仿宋" w:hAnsi="仿宋"/>
          <w:szCs w:val="28"/>
          <w:lang w:val="en-US" w:eastAsia="zh-CN"/>
        </w:rPr>
        <w:t>4</w:t>
      </w:r>
      <w:r>
        <w:rPr>
          <w:rFonts w:ascii="仿宋" w:hAnsi="仿宋"/>
          <w:szCs w:val="28"/>
        </w:rPr>
        <w:t>月</w:t>
      </w:r>
      <w:r>
        <w:rPr>
          <w:rFonts w:hint="eastAsia" w:ascii="仿宋" w:hAnsi="仿宋"/>
          <w:szCs w:val="28"/>
          <w:lang w:val="en-US" w:eastAsia="zh-CN"/>
        </w:rPr>
        <w:t>23</w:t>
      </w:r>
      <w:r>
        <w:rPr>
          <w:rFonts w:ascii="仿宋" w:hAnsi="仿宋"/>
          <w:szCs w:val="28"/>
        </w:rPr>
        <w:t>日</w:t>
      </w:r>
      <w:r>
        <w:rPr>
          <w:rFonts w:hint="eastAsia" w:ascii="仿宋" w:hAnsi="仿宋"/>
          <w:szCs w:val="28"/>
        </w:rPr>
        <w:t>）视为债权到期；</w:t>
      </w:r>
    </w:p>
    <w:p>
      <w:pPr>
        <w:spacing w:line="500" w:lineRule="exact"/>
        <w:ind w:firstLine="560" w:firstLineChars="200"/>
        <w:rPr>
          <w:rFonts w:ascii="仿宋" w:hAnsi="仿宋"/>
          <w:szCs w:val="28"/>
        </w:rPr>
      </w:pPr>
      <w:r>
        <w:rPr>
          <w:rFonts w:hint="eastAsia" w:ascii="仿宋" w:hAnsi="仿宋"/>
          <w:szCs w:val="28"/>
        </w:rPr>
        <w:t>2.附利息的债权，自破产清算申请受理时（2</w:t>
      </w:r>
      <w:r>
        <w:rPr>
          <w:rFonts w:ascii="仿宋" w:hAnsi="仿宋"/>
          <w:szCs w:val="28"/>
        </w:rPr>
        <w:t>02</w:t>
      </w:r>
      <w:r>
        <w:rPr>
          <w:rFonts w:hint="eastAsia" w:ascii="仿宋" w:hAnsi="仿宋"/>
          <w:szCs w:val="28"/>
          <w:lang w:val="en-US" w:eastAsia="zh-CN"/>
        </w:rPr>
        <w:t>4</w:t>
      </w:r>
      <w:r>
        <w:rPr>
          <w:rFonts w:hint="eastAsia" w:ascii="仿宋" w:hAnsi="仿宋"/>
          <w:szCs w:val="28"/>
        </w:rPr>
        <w:t>年</w:t>
      </w:r>
      <w:r>
        <w:rPr>
          <w:rFonts w:hint="eastAsia" w:ascii="仿宋" w:hAnsi="仿宋"/>
          <w:szCs w:val="28"/>
          <w:lang w:val="en-US" w:eastAsia="zh-CN"/>
        </w:rPr>
        <w:t>4</w:t>
      </w:r>
      <w:r>
        <w:rPr>
          <w:rFonts w:ascii="仿宋" w:hAnsi="仿宋"/>
          <w:szCs w:val="28"/>
        </w:rPr>
        <w:t>月</w:t>
      </w:r>
      <w:r>
        <w:rPr>
          <w:rFonts w:hint="eastAsia" w:ascii="仿宋" w:hAnsi="仿宋"/>
          <w:szCs w:val="28"/>
          <w:lang w:val="en-US" w:eastAsia="zh-CN"/>
        </w:rPr>
        <w:t>23</w:t>
      </w:r>
      <w:r>
        <w:rPr>
          <w:rFonts w:ascii="仿宋" w:hAnsi="仿宋"/>
          <w:szCs w:val="28"/>
        </w:rPr>
        <w:t>日</w:t>
      </w:r>
      <w:r>
        <w:rPr>
          <w:rFonts w:hint="eastAsia" w:ascii="仿宋" w:hAnsi="仿宋"/>
          <w:szCs w:val="28"/>
        </w:rPr>
        <w:t>）起停止计息；</w:t>
      </w:r>
    </w:p>
    <w:p>
      <w:pPr>
        <w:spacing w:line="500" w:lineRule="exact"/>
        <w:ind w:firstLine="560" w:firstLineChars="200"/>
        <w:rPr>
          <w:rFonts w:ascii="仿宋" w:hAnsi="仿宋"/>
          <w:szCs w:val="28"/>
        </w:rPr>
      </w:pPr>
      <w:r>
        <w:rPr>
          <w:rFonts w:hint="eastAsia" w:ascii="仿宋" w:hAnsi="仿宋"/>
          <w:szCs w:val="28"/>
        </w:rPr>
        <w:t>3.附条件、附期限的债权和诉讼、仲裁未决的债权，债权人可以申报；</w:t>
      </w:r>
    </w:p>
    <w:p>
      <w:pPr>
        <w:spacing w:line="500" w:lineRule="exact"/>
        <w:ind w:firstLine="560" w:firstLineChars="200"/>
        <w:rPr>
          <w:rFonts w:ascii="仿宋" w:hAnsi="仿宋"/>
          <w:szCs w:val="28"/>
        </w:rPr>
      </w:pPr>
      <w:r>
        <w:rPr>
          <w:rFonts w:hint="eastAsia" w:ascii="仿宋" w:hAnsi="仿宋"/>
          <w:szCs w:val="28"/>
        </w:rPr>
        <w:t>4.债权人申报债权时，应当书面说明债权的数额和有无财产担保情况，并提交有关证据，申报的债权是连带债权的，应当说明；</w:t>
      </w:r>
    </w:p>
    <w:p>
      <w:pPr>
        <w:spacing w:line="500" w:lineRule="exact"/>
        <w:ind w:firstLine="560" w:firstLineChars="200"/>
        <w:rPr>
          <w:rFonts w:ascii="仿宋" w:hAnsi="仿宋"/>
          <w:szCs w:val="28"/>
        </w:rPr>
      </w:pPr>
      <w:r>
        <w:rPr>
          <w:rFonts w:hint="eastAsia" w:ascii="仿宋" w:hAnsi="仿宋"/>
          <w:szCs w:val="28"/>
        </w:rPr>
        <w:t>5.连带债权人可以由其中一人代表全体连带债权人申报债权，也可以共同申报债权；</w:t>
      </w:r>
    </w:p>
    <w:p>
      <w:pPr>
        <w:spacing w:line="500" w:lineRule="exact"/>
        <w:ind w:firstLine="560" w:firstLineChars="200"/>
        <w:rPr>
          <w:rFonts w:ascii="仿宋" w:hAnsi="仿宋"/>
          <w:szCs w:val="28"/>
        </w:rPr>
      </w:pPr>
      <w:r>
        <w:rPr>
          <w:rFonts w:hint="eastAsia" w:ascii="仿宋" w:hAnsi="仿宋"/>
          <w:szCs w:val="28"/>
        </w:rPr>
        <w:t>6.债务人的保证人或者其他连带债务人已经代替债务人清偿债务的，可就其对债务人的将来求偿权申报债权；</w:t>
      </w:r>
    </w:p>
    <w:p>
      <w:pPr>
        <w:spacing w:line="500" w:lineRule="exact"/>
        <w:ind w:firstLine="560" w:firstLineChars="200"/>
        <w:rPr>
          <w:rFonts w:ascii="仿宋" w:hAnsi="仿宋"/>
          <w:szCs w:val="28"/>
        </w:rPr>
      </w:pPr>
      <w:r>
        <w:rPr>
          <w:rFonts w:hint="eastAsia" w:ascii="仿宋" w:hAnsi="仿宋"/>
          <w:szCs w:val="28"/>
        </w:rPr>
        <w:t>7.债务人的保证人或者其他连带债务人尚未代替债务人清偿债务的，以其对债务人的将来求偿权申报债权，但债权人已经向管理人申报全部债权的除外；</w:t>
      </w:r>
    </w:p>
    <w:p>
      <w:pPr>
        <w:spacing w:line="500" w:lineRule="exact"/>
        <w:ind w:firstLine="560" w:firstLineChars="200"/>
        <w:rPr>
          <w:rFonts w:ascii="仿宋" w:hAnsi="仿宋"/>
          <w:szCs w:val="28"/>
        </w:rPr>
      </w:pPr>
      <w:r>
        <w:rPr>
          <w:rFonts w:hint="eastAsia" w:ascii="仿宋" w:hAnsi="仿宋"/>
          <w:szCs w:val="28"/>
        </w:rPr>
        <w:t>8.管理人或者债务人依照《中华人民共和国企业破产法》规定解除合同的，对方当事人以因合同解除所产生的损害赔偿请求权申报债权；</w:t>
      </w:r>
    </w:p>
    <w:p>
      <w:pPr>
        <w:spacing w:line="500" w:lineRule="exact"/>
        <w:ind w:firstLine="560" w:firstLineChars="200"/>
        <w:rPr>
          <w:rFonts w:ascii="仿宋" w:hAnsi="仿宋"/>
          <w:szCs w:val="28"/>
        </w:rPr>
      </w:pPr>
      <w:r>
        <w:rPr>
          <w:rFonts w:hint="eastAsia" w:ascii="仿宋" w:hAnsi="仿宋"/>
          <w:szCs w:val="28"/>
        </w:rPr>
        <w:t>9.债务人是委托合同的委托人，被裁定适用《中华人民共和国企业破产法》规定的程序，受托人不知该事实，继续处理委托事务的，受托人以由此产生的请求权申报债权；</w:t>
      </w:r>
    </w:p>
    <w:p>
      <w:pPr>
        <w:spacing w:line="500" w:lineRule="exact"/>
        <w:ind w:firstLine="560" w:firstLineChars="200"/>
        <w:rPr>
          <w:rFonts w:ascii="仿宋" w:hAnsi="仿宋"/>
          <w:szCs w:val="28"/>
        </w:rPr>
      </w:pPr>
      <w:r>
        <w:rPr>
          <w:rFonts w:hint="eastAsia" w:ascii="仿宋" w:hAnsi="仿宋"/>
          <w:szCs w:val="28"/>
        </w:rPr>
        <w:t>10.债务人是票据的出票人，被裁定适用《中华人民共和国企业破产法》规定的程序，该票据的付款人继续付款或者承兑的，付款人以由此产生的请求权申报债权；</w:t>
      </w:r>
    </w:p>
    <w:p>
      <w:pPr>
        <w:spacing w:line="500" w:lineRule="exact"/>
        <w:ind w:firstLine="560" w:firstLineChars="200"/>
        <w:rPr>
          <w:rFonts w:ascii="仿宋" w:hAnsi="仿宋"/>
          <w:szCs w:val="28"/>
        </w:rPr>
      </w:pPr>
      <w:r>
        <w:rPr>
          <w:rFonts w:hint="eastAsia" w:ascii="仿宋" w:hAnsi="仿宋"/>
          <w:szCs w:val="28"/>
        </w:rPr>
        <w:t>11.法律规定其他可以申报的债权，债权人应当予以申报。</w:t>
      </w:r>
    </w:p>
    <w:p>
      <w:pPr>
        <w:spacing w:line="500" w:lineRule="exact"/>
        <w:ind w:firstLine="560" w:firstLineChars="200"/>
        <w:rPr>
          <w:rFonts w:ascii="仿宋" w:hAnsi="仿宋"/>
          <w:szCs w:val="28"/>
        </w:rPr>
      </w:pPr>
      <w:r>
        <w:rPr>
          <w:rFonts w:hint="eastAsia" w:ascii="仿宋" w:hAnsi="仿宋"/>
          <w:szCs w:val="28"/>
        </w:rPr>
        <w:t>（四）特别提示</w:t>
      </w:r>
    </w:p>
    <w:p>
      <w:pPr>
        <w:spacing w:line="500" w:lineRule="exact"/>
        <w:ind w:firstLine="560" w:firstLineChars="200"/>
        <w:rPr>
          <w:rFonts w:ascii="仿宋" w:hAnsi="仿宋"/>
          <w:szCs w:val="28"/>
        </w:rPr>
      </w:pPr>
      <w:r>
        <w:rPr>
          <w:rFonts w:hint="eastAsia" w:ascii="仿宋" w:hAnsi="仿宋"/>
          <w:szCs w:val="28"/>
        </w:rPr>
        <w:t>1.未在上述期限内申报债权，可以在最后一次破产分配方案提交债权人会议表决之前补充申报债权，但要承担为审查和确认补充申报债权所产生的相应费用。债权人未依照《中华人民共和国企业破产法》的规定申报债权的，不得依照《中华人民共和国企业破产法》规定的程序行使权利；</w:t>
      </w:r>
    </w:p>
    <w:p>
      <w:pPr>
        <w:spacing w:line="500" w:lineRule="exact"/>
        <w:ind w:firstLine="560" w:firstLineChars="200"/>
        <w:rPr>
          <w:rFonts w:ascii="仿宋" w:hAnsi="仿宋"/>
          <w:szCs w:val="28"/>
        </w:rPr>
      </w:pPr>
      <w:r>
        <w:rPr>
          <w:rFonts w:hint="eastAsia" w:ascii="仿宋" w:hAnsi="仿宋"/>
          <w:szCs w:val="28"/>
        </w:rPr>
        <w:t>2.</w:t>
      </w:r>
      <w:bookmarkStart w:id="2" w:name="_Hlk113461936"/>
      <w:r>
        <w:rPr>
          <w:rFonts w:hint="eastAsia" w:ascii="仿宋" w:hAnsi="仿宋"/>
          <w:szCs w:val="28"/>
        </w:rPr>
        <w:t>债权申报应当以书面方式进行，书面说明债权的性质、数额、有无财产担保、是否属于连带债权等，并提供相关证据材料，包括债权人的身份证明材料、债权成立的证明材料等。进行债权申报时，应提供前述证据材料原件，供管理人核对。</w:t>
      </w:r>
    </w:p>
    <w:bookmarkEnd w:id="2"/>
    <w:p>
      <w:pPr>
        <w:spacing w:line="500" w:lineRule="exact"/>
        <w:ind w:firstLine="560" w:firstLineChars="200"/>
        <w:rPr>
          <w:rFonts w:ascii="仿宋" w:hAnsi="仿宋"/>
          <w:szCs w:val="28"/>
        </w:rPr>
      </w:pPr>
      <w:r>
        <w:rPr>
          <w:rFonts w:hint="eastAsia" w:ascii="仿宋" w:hAnsi="仿宋"/>
          <w:szCs w:val="28"/>
        </w:rPr>
        <w:t>四、第一次债权人会议召开时间</w:t>
      </w:r>
    </w:p>
    <w:p>
      <w:pPr>
        <w:spacing w:line="500" w:lineRule="exact"/>
        <w:ind w:firstLine="560" w:firstLineChars="200"/>
        <w:rPr>
          <w:rFonts w:hint="eastAsia" w:ascii="仿宋" w:hAnsi="仿宋"/>
          <w:szCs w:val="28"/>
        </w:rPr>
      </w:pPr>
      <w:r>
        <w:rPr>
          <w:rFonts w:hint="eastAsia" w:ascii="仿宋" w:hAnsi="仿宋"/>
          <w:szCs w:val="28"/>
          <w:lang w:eastAsia="zh-CN"/>
        </w:rPr>
        <w:t>赣州小时侯餐饮有限公司</w:t>
      </w:r>
      <w:r>
        <w:rPr>
          <w:rFonts w:hint="eastAsia" w:ascii="仿宋" w:hAnsi="仿宋"/>
          <w:szCs w:val="28"/>
        </w:rPr>
        <w:t>破产清算案第一次债权人会议定于</w:t>
      </w:r>
      <w:r>
        <w:rPr>
          <w:rFonts w:hint="eastAsia" w:ascii="仿宋" w:hAnsi="仿宋"/>
          <w:color w:val="000000" w:themeColor="text1"/>
          <w:szCs w:val="28"/>
          <w14:textFill>
            <w14:solidFill>
              <w14:schemeClr w14:val="tx1"/>
            </w14:solidFill>
          </w14:textFill>
        </w:rPr>
        <w:t>202</w:t>
      </w:r>
      <w:r>
        <w:rPr>
          <w:rFonts w:hint="eastAsia" w:ascii="仿宋" w:hAnsi="仿宋"/>
          <w:color w:val="000000" w:themeColor="text1"/>
          <w:szCs w:val="28"/>
          <w:lang w:val="en-US" w:eastAsia="zh-CN"/>
          <w14:textFill>
            <w14:solidFill>
              <w14:schemeClr w14:val="tx1"/>
            </w14:solidFill>
          </w14:textFill>
        </w:rPr>
        <w:t>4</w:t>
      </w:r>
      <w:r>
        <w:rPr>
          <w:rFonts w:hint="eastAsia" w:ascii="仿宋" w:hAnsi="仿宋"/>
          <w:color w:val="000000" w:themeColor="text1"/>
          <w:szCs w:val="28"/>
          <w14:textFill>
            <w14:solidFill>
              <w14:schemeClr w14:val="tx1"/>
            </w14:solidFill>
          </w14:textFill>
        </w:rPr>
        <w:t>年</w:t>
      </w:r>
      <w:r>
        <w:rPr>
          <w:rFonts w:hint="eastAsia" w:ascii="仿宋" w:hAnsi="仿宋"/>
          <w:color w:val="000000" w:themeColor="text1"/>
          <w:szCs w:val="28"/>
          <w:lang w:val="en-US" w:eastAsia="zh-CN"/>
          <w14:textFill>
            <w14:solidFill>
              <w14:schemeClr w14:val="tx1"/>
            </w14:solidFill>
          </w14:textFill>
        </w:rPr>
        <w:t>5</w:t>
      </w:r>
      <w:r>
        <w:rPr>
          <w:rFonts w:hint="eastAsia" w:ascii="仿宋" w:hAnsi="仿宋"/>
          <w:color w:val="000000" w:themeColor="text1"/>
          <w:szCs w:val="28"/>
          <w14:textFill>
            <w14:solidFill>
              <w14:schemeClr w14:val="tx1"/>
            </w14:solidFill>
          </w14:textFill>
        </w:rPr>
        <w:t>月</w:t>
      </w:r>
      <w:r>
        <w:rPr>
          <w:rFonts w:hint="eastAsia" w:ascii="仿宋" w:hAnsi="仿宋"/>
          <w:color w:val="000000" w:themeColor="text1"/>
          <w:szCs w:val="28"/>
          <w:lang w:val="en-US" w:eastAsia="zh-CN"/>
          <w14:textFill>
            <w14:solidFill>
              <w14:schemeClr w14:val="tx1"/>
            </w14:solidFill>
          </w14:textFill>
        </w:rPr>
        <w:t>28</w:t>
      </w:r>
      <w:r>
        <w:rPr>
          <w:rFonts w:hint="eastAsia" w:ascii="仿宋" w:hAnsi="仿宋"/>
          <w:color w:val="000000" w:themeColor="text1"/>
          <w:szCs w:val="28"/>
          <w14:textFill>
            <w14:solidFill>
              <w14:schemeClr w14:val="tx1"/>
            </w14:solidFill>
          </w14:textFill>
        </w:rPr>
        <w:t>日上</w:t>
      </w:r>
      <w:r>
        <w:rPr>
          <w:rFonts w:hint="eastAsia" w:ascii="仿宋" w:hAnsi="仿宋"/>
          <w:szCs w:val="28"/>
        </w:rPr>
        <w:t>午9:</w:t>
      </w:r>
      <w:r>
        <w:rPr>
          <w:rFonts w:hint="eastAsia" w:ascii="仿宋" w:hAnsi="仿宋"/>
          <w:szCs w:val="28"/>
          <w:lang w:val="en-US" w:eastAsia="zh-CN"/>
        </w:rPr>
        <w:t>30</w:t>
      </w:r>
      <w:r>
        <w:rPr>
          <w:rFonts w:hint="eastAsia" w:ascii="仿宋" w:hAnsi="仿宋"/>
          <w:szCs w:val="28"/>
          <w:lang w:eastAsia="zh-CN"/>
        </w:rPr>
        <w:t>赣县区</w:t>
      </w:r>
      <w:r>
        <w:rPr>
          <w:rFonts w:hint="eastAsia" w:ascii="仿宋" w:hAnsi="仿宋"/>
          <w:szCs w:val="28"/>
        </w:rPr>
        <w:t>人民法院</w:t>
      </w:r>
      <w:r>
        <w:rPr>
          <w:rFonts w:hint="eastAsia" w:ascii="仿宋" w:hAnsi="仿宋"/>
          <w:szCs w:val="28"/>
          <w:lang w:eastAsia="zh-CN"/>
        </w:rPr>
        <w:t>诉讼服务中心四楼执行局会议室</w:t>
      </w:r>
      <w:r>
        <w:rPr>
          <w:rFonts w:hint="eastAsia" w:ascii="仿宋" w:hAnsi="仿宋"/>
          <w:szCs w:val="28"/>
        </w:rPr>
        <w:t>(地址：</w:t>
      </w:r>
      <w:r>
        <w:rPr>
          <w:rFonts w:hint="eastAsia" w:ascii="仿宋" w:hAnsi="仿宋"/>
          <w:szCs w:val="28"/>
          <w:lang w:eastAsia="zh-CN"/>
        </w:rPr>
        <w:t>赣州市赣县区双龙大道</w:t>
      </w:r>
      <w:r>
        <w:rPr>
          <w:rFonts w:hint="eastAsia" w:ascii="仿宋" w:hAnsi="仿宋"/>
          <w:szCs w:val="28"/>
          <w:lang w:val="en-US" w:eastAsia="zh-CN"/>
        </w:rPr>
        <w:t>16号</w:t>
      </w:r>
      <w:r>
        <w:rPr>
          <w:rFonts w:hint="eastAsia" w:ascii="仿宋" w:hAnsi="仿宋"/>
          <w:szCs w:val="28"/>
        </w:rPr>
        <w:t>)召开。</w:t>
      </w:r>
    </w:p>
    <w:p>
      <w:pPr>
        <w:spacing w:line="500" w:lineRule="exact"/>
        <w:ind w:firstLine="560" w:firstLineChars="200"/>
        <w:rPr>
          <w:rFonts w:ascii="仿宋" w:hAnsi="仿宋"/>
          <w:szCs w:val="28"/>
        </w:rPr>
      </w:pPr>
      <w:r>
        <w:rPr>
          <w:rFonts w:hint="eastAsia" w:ascii="仿宋" w:hAnsi="仿宋"/>
          <w:szCs w:val="28"/>
        </w:rPr>
        <w:t>特别提示：依法申报债权的债权人有权参与债权人会议。参加会议的债权人系法人或其他组织的，由法定代表人或负责人参加的，应提交企业营业执照、法定代表人或负责人身份证明文件；债权人系自然人的，参加会议应提交个人身份证明。如委托代理人出席会议的，应提交书面授权委托书并载明委托权限、代理人身份证明文件或律师执业证、律师事务所的指派函。</w:t>
      </w:r>
    </w:p>
    <w:p>
      <w:pPr>
        <w:spacing w:line="540" w:lineRule="exact"/>
        <w:ind w:firstLine="560" w:firstLineChars="200"/>
        <w:rPr>
          <w:rFonts w:ascii="仿宋" w:hAnsi="仿宋"/>
          <w:szCs w:val="28"/>
        </w:rPr>
      </w:pPr>
    </w:p>
    <w:p>
      <w:pPr>
        <w:spacing w:line="540" w:lineRule="exact"/>
        <w:ind w:firstLine="280" w:firstLineChars="100"/>
        <w:jc w:val="right"/>
        <w:rPr>
          <w:rFonts w:ascii="仿宋" w:hAnsi="仿宋"/>
          <w:szCs w:val="28"/>
        </w:rPr>
      </w:pPr>
      <w:r>
        <w:rPr>
          <w:rFonts w:hint="eastAsia" w:ascii="仿宋" w:hAnsi="仿宋"/>
          <w:szCs w:val="28"/>
          <w:lang w:eastAsia="zh-CN"/>
        </w:rPr>
        <w:t>赣州小时侯餐饮有限公司</w:t>
      </w:r>
      <w:r>
        <w:rPr>
          <w:rFonts w:hint="eastAsia" w:ascii="仿宋" w:hAnsi="仿宋"/>
          <w:szCs w:val="28"/>
        </w:rPr>
        <w:t xml:space="preserve">管理人 </w:t>
      </w:r>
    </w:p>
    <w:p>
      <w:pPr>
        <w:spacing w:line="540" w:lineRule="exact"/>
        <w:ind w:firstLine="4760" w:firstLineChars="1700"/>
        <w:rPr>
          <w:rFonts w:hint="eastAsia" w:ascii="仿宋" w:hAnsi="仿宋"/>
          <w:szCs w:val="28"/>
        </w:rPr>
      </w:pPr>
      <w:r>
        <w:rPr>
          <w:rFonts w:hint="eastAsia" w:ascii="仿宋" w:hAnsi="仿宋"/>
          <w:szCs w:val="28"/>
        </w:rPr>
        <w:t>二〇二</w:t>
      </w:r>
      <w:r>
        <w:rPr>
          <w:rFonts w:hint="eastAsia" w:ascii="仿宋" w:hAnsi="仿宋"/>
          <w:szCs w:val="28"/>
          <w:lang w:eastAsia="zh-CN"/>
        </w:rPr>
        <w:t>四</w:t>
      </w:r>
      <w:r>
        <w:rPr>
          <w:rFonts w:hint="eastAsia" w:ascii="仿宋" w:hAnsi="仿宋"/>
          <w:szCs w:val="28"/>
        </w:rPr>
        <w:t>年</w:t>
      </w:r>
      <w:r>
        <w:rPr>
          <w:rFonts w:hint="eastAsia" w:ascii="仿宋" w:hAnsi="仿宋"/>
          <w:szCs w:val="28"/>
          <w:lang w:eastAsia="zh-CN"/>
        </w:rPr>
        <w:t>四</w:t>
      </w:r>
      <w:r>
        <w:rPr>
          <w:rFonts w:hint="eastAsia" w:ascii="仿宋" w:hAnsi="仿宋"/>
          <w:szCs w:val="28"/>
        </w:rPr>
        <w:t>月</w:t>
      </w:r>
      <w:r>
        <w:rPr>
          <w:rFonts w:hint="eastAsia" w:ascii="仿宋" w:hAnsi="仿宋"/>
          <w:szCs w:val="28"/>
          <w:lang w:eastAsia="zh-CN"/>
        </w:rPr>
        <w:t>二十三</w:t>
      </w:r>
      <w:r>
        <w:rPr>
          <w:rFonts w:hint="eastAsia" w:ascii="仿宋" w:hAnsi="仿宋"/>
          <w:szCs w:val="28"/>
        </w:rPr>
        <w:t>日</w:t>
      </w:r>
    </w:p>
    <w:p>
      <w:pPr>
        <w:spacing w:line="540" w:lineRule="exact"/>
        <w:ind w:firstLine="4760" w:firstLineChars="1700"/>
        <w:rPr>
          <w:rFonts w:hint="eastAsia" w:ascii="仿宋" w:hAnsi="仿宋" w:eastAsia="仿宋"/>
          <w:szCs w:val="28"/>
          <w:lang w:eastAsia="zh-CN"/>
        </w:rPr>
      </w:pPr>
    </w:p>
    <w:p>
      <w:pPr>
        <w:spacing w:line="540" w:lineRule="exact"/>
        <w:ind w:firstLine="4760" w:firstLineChars="1700"/>
        <w:rPr>
          <w:rFonts w:hint="eastAsia" w:ascii="仿宋" w:hAnsi="仿宋"/>
          <w:szCs w:val="28"/>
        </w:rPr>
      </w:pPr>
    </w:p>
    <w:p>
      <w:pPr>
        <w:spacing w:line="240" w:lineRule="auto"/>
        <w:jc w:val="center"/>
        <w:rPr>
          <w:rFonts w:hint="eastAsia" w:ascii="仿宋" w:hAnsi="仿宋" w:eastAsia="仿宋"/>
          <w:szCs w:val="28"/>
          <w:lang w:eastAsia="zh-CN"/>
        </w:rPr>
      </w:pPr>
      <w:r>
        <w:rPr>
          <w:rFonts w:hint="eastAsia" w:ascii="仿宋" w:hAnsi="仿宋" w:eastAsia="仿宋"/>
          <w:szCs w:val="28"/>
          <w:lang w:eastAsia="zh-CN"/>
        </w:rPr>
        <w:drawing>
          <wp:inline distT="0" distB="0" distL="114300" distR="114300">
            <wp:extent cx="2150110" cy="2150110"/>
            <wp:effectExtent l="0" t="0" r="2540" b="2540"/>
            <wp:docPr id="1" name="图片 1" descr="赣州小时侯餐饮有限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赣州小时侯餐饮有限公司"/>
                    <pic:cNvPicPr>
                      <a:picLocks noChangeAspect="1"/>
                    </pic:cNvPicPr>
                  </pic:nvPicPr>
                  <pic:blipFill>
                    <a:blip r:embed="rId5"/>
                    <a:stretch>
                      <a:fillRect/>
                    </a:stretch>
                  </pic:blipFill>
                  <pic:spPr>
                    <a:xfrm>
                      <a:off x="0" y="0"/>
                      <a:ext cx="2150110" cy="2150110"/>
                    </a:xfrm>
                    <a:prstGeom prst="rect">
                      <a:avLst/>
                    </a:prstGeom>
                  </pic:spPr>
                </pic:pic>
              </a:graphicData>
            </a:graphic>
          </wp:inline>
        </w:drawing>
      </w:r>
    </w:p>
    <w:p>
      <w:pPr>
        <w:spacing w:line="240" w:lineRule="auto"/>
        <w:jc w:val="center"/>
        <w:rPr>
          <w:rFonts w:hint="eastAsia" w:ascii="仿宋" w:hAnsi="仿宋" w:eastAsia="仿宋"/>
          <w:szCs w:val="28"/>
          <w:lang w:eastAsia="zh-CN"/>
        </w:rPr>
      </w:pPr>
      <w:r>
        <w:rPr>
          <w:rFonts w:hint="eastAsia" w:ascii="仿宋" w:hAnsi="仿宋"/>
          <w:szCs w:val="28"/>
          <w:lang w:eastAsia="zh-CN"/>
        </w:rPr>
        <w:t>扫二维码下载申报材料</w:t>
      </w:r>
      <w:bookmarkStart w:id="3" w:name="_GoBack"/>
      <w:bookmarkEnd w:id="3"/>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6087238"/>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3OWNmY2IwYTNmMTFhOTJlMmQ0NmJkMDM1ZTQ2MmUifQ=="/>
  </w:docVars>
  <w:rsids>
    <w:rsidRoot w:val="005F283B"/>
    <w:rsid w:val="00027439"/>
    <w:rsid w:val="00073677"/>
    <w:rsid w:val="000B2ABF"/>
    <w:rsid w:val="000C78DD"/>
    <w:rsid w:val="000D2D17"/>
    <w:rsid w:val="000F3058"/>
    <w:rsid w:val="001B4D32"/>
    <w:rsid w:val="001D3A70"/>
    <w:rsid w:val="001E4EC2"/>
    <w:rsid w:val="00214D5D"/>
    <w:rsid w:val="0022433F"/>
    <w:rsid w:val="00251886"/>
    <w:rsid w:val="0028699A"/>
    <w:rsid w:val="002A527E"/>
    <w:rsid w:val="00314836"/>
    <w:rsid w:val="0035004F"/>
    <w:rsid w:val="00350160"/>
    <w:rsid w:val="003804DA"/>
    <w:rsid w:val="0038155B"/>
    <w:rsid w:val="003C0D6D"/>
    <w:rsid w:val="003C3C50"/>
    <w:rsid w:val="003D11E5"/>
    <w:rsid w:val="003D3BD4"/>
    <w:rsid w:val="003E26E0"/>
    <w:rsid w:val="003E333E"/>
    <w:rsid w:val="003F3ABE"/>
    <w:rsid w:val="00463B5D"/>
    <w:rsid w:val="004859A5"/>
    <w:rsid w:val="004877F1"/>
    <w:rsid w:val="004C174F"/>
    <w:rsid w:val="004D3AAB"/>
    <w:rsid w:val="004D69AC"/>
    <w:rsid w:val="00506762"/>
    <w:rsid w:val="00521C2B"/>
    <w:rsid w:val="00536B02"/>
    <w:rsid w:val="0054015A"/>
    <w:rsid w:val="005411C7"/>
    <w:rsid w:val="005A4F21"/>
    <w:rsid w:val="005D0A80"/>
    <w:rsid w:val="005F283B"/>
    <w:rsid w:val="00614049"/>
    <w:rsid w:val="00617B9C"/>
    <w:rsid w:val="006B0C28"/>
    <w:rsid w:val="006D1A69"/>
    <w:rsid w:val="006D2CED"/>
    <w:rsid w:val="006D6603"/>
    <w:rsid w:val="006D78D4"/>
    <w:rsid w:val="006E40E5"/>
    <w:rsid w:val="00705E4B"/>
    <w:rsid w:val="00725285"/>
    <w:rsid w:val="00725FD6"/>
    <w:rsid w:val="007D6741"/>
    <w:rsid w:val="007F3EC0"/>
    <w:rsid w:val="007F691A"/>
    <w:rsid w:val="0084543D"/>
    <w:rsid w:val="0084610E"/>
    <w:rsid w:val="00857E9B"/>
    <w:rsid w:val="0086661E"/>
    <w:rsid w:val="008847EF"/>
    <w:rsid w:val="00897898"/>
    <w:rsid w:val="008A3D1C"/>
    <w:rsid w:val="008A6788"/>
    <w:rsid w:val="008B3D02"/>
    <w:rsid w:val="008C4440"/>
    <w:rsid w:val="008E5A14"/>
    <w:rsid w:val="009033F4"/>
    <w:rsid w:val="00931CFB"/>
    <w:rsid w:val="00971886"/>
    <w:rsid w:val="00993733"/>
    <w:rsid w:val="009C25D7"/>
    <w:rsid w:val="009E2ADB"/>
    <w:rsid w:val="00A05E84"/>
    <w:rsid w:val="00A90FD9"/>
    <w:rsid w:val="00AA7531"/>
    <w:rsid w:val="00AC2F8E"/>
    <w:rsid w:val="00AD1B29"/>
    <w:rsid w:val="00AD5ADB"/>
    <w:rsid w:val="00AE2529"/>
    <w:rsid w:val="00B14A9E"/>
    <w:rsid w:val="00B14B48"/>
    <w:rsid w:val="00B20ABC"/>
    <w:rsid w:val="00B23549"/>
    <w:rsid w:val="00B310D1"/>
    <w:rsid w:val="00B43F88"/>
    <w:rsid w:val="00B63618"/>
    <w:rsid w:val="00B81905"/>
    <w:rsid w:val="00B932FD"/>
    <w:rsid w:val="00C028CB"/>
    <w:rsid w:val="00C03EE7"/>
    <w:rsid w:val="00C6628E"/>
    <w:rsid w:val="00CA77D5"/>
    <w:rsid w:val="00CA78D1"/>
    <w:rsid w:val="00CE4BA6"/>
    <w:rsid w:val="00D058DC"/>
    <w:rsid w:val="00D17FC0"/>
    <w:rsid w:val="00D416D7"/>
    <w:rsid w:val="00D44833"/>
    <w:rsid w:val="00DF1D90"/>
    <w:rsid w:val="00E4373C"/>
    <w:rsid w:val="00E72788"/>
    <w:rsid w:val="00E917E8"/>
    <w:rsid w:val="00EA54B4"/>
    <w:rsid w:val="00EB0774"/>
    <w:rsid w:val="00EB4259"/>
    <w:rsid w:val="00EB4C94"/>
    <w:rsid w:val="00ED4643"/>
    <w:rsid w:val="00EE4AE3"/>
    <w:rsid w:val="00F03775"/>
    <w:rsid w:val="00F12665"/>
    <w:rsid w:val="00F4580E"/>
    <w:rsid w:val="00F71494"/>
    <w:rsid w:val="00F948A5"/>
    <w:rsid w:val="00FA0439"/>
    <w:rsid w:val="00FD3073"/>
    <w:rsid w:val="039E28E9"/>
    <w:rsid w:val="07FB5F13"/>
    <w:rsid w:val="0BF56298"/>
    <w:rsid w:val="129F0AAB"/>
    <w:rsid w:val="140B4892"/>
    <w:rsid w:val="14736230"/>
    <w:rsid w:val="15DC1B4F"/>
    <w:rsid w:val="16984BEA"/>
    <w:rsid w:val="21D50045"/>
    <w:rsid w:val="23006C29"/>
    <w:rsid w:val="28B34613"/>
    <w:rsid w:val="2CB2345D"/>
    <w:rsid w:val="2F5F2AEC"/>
    <w:rsid w:val="36B20007"/>
    <w:rsid w:val="37416EF0"/>
    <w:rsid w:val="37E42016"/>
    <w:rsid w:val="397A397D"/>
    <w:rsid w:val="3FFC3378"/>
    <w:rsid w:val="410B7A99"/>
    <w:rsid w:val="41731E02"/>
    <w:rsid w:val="469F1038"/>
    <w:rsid w:val="4CD314A1"/>
    <w:rsid w:val="4F8C65B6"/>
    <w:rsid w:val="523F1387"/>
    <w:rsid w:val="52910142"/>
    <w:rsid w:val="56AB6116"/>
    <w:rsid w:val="5D192032"/>
    <w:rsid w:val="65D132FB"/>
    <w:rsid w:val="678F4D26"/>
    <w:rsid w:val="679022E9"/>
    <w:rsid w:val="67DF4D46"/>
    <w:rsid w:val="6A003664"/>
    <w:rsid w:val="6F3B6D06"/>
    <w:rsid w:val="70A348C5"/>
    <w:rsid w:val="78997353"/>
    <w:rsid w:val="795C0EEC"/>
    <w:rsid w:val="79C3347E"/>
    <w:rsid w:val="7CD67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 w:cs="Times New Roman"/>
      <w:kern w:val="2"/>
      <w:sz w:val="28"/>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semiHidden/>
    <w:unhideWhenUsed/>
    <w:qFormat/>
    <w:uiPriority w:val="99"/>
    <w:pPr>
      <w:ind w:left="100" w:leftChars="2500"/>
    </w:p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99"/>
    <w:rPr>
      <w:rFonts w:ascii="Times New Roman" w:hAnsi="Times New Roman" w:eastAsia="仿宋" w:cs="Times New Roman"/>
      <w:sz w:val="18"/>
      <w:szCs w:val="18"/>
    </w:rPr>
  </w:style>
  <w:style w:type="character" w:customStyle="1" w:styleId="8">
    <w:name w:val="页脚 Char"/>
    <w:basedOn w:val="6"/>
    <w:link w:val="3"/>
    <w:autoRedefine/>
    <w:qFormat/>
    <w:uiPriority w:val="99"/>
    <w:rPr>
      <w:rFonts w:ascii="Times New Roman" w:hAnsi="Times New Roman" w:eastAsia="仿宋" w:cs="Times New Roman"/>
      <w:sz w:val="18"/>
      <w:szCs w:val="18"/>
    </w:rPr>
  </w:style>
  <w:style w:type="character" w:customStyle="1" w:styleId="9">
    <w:name w:val="日期 Char"/>
    <w:basedOn w:val="6"/>
    <w:link w:val="2"/>
    <w:autoRedefine/>
    <w:semiHidden/>
    <w:qFormat/>
    <w:uiPriority w:val="99"/>
    <w:rPr>
      <w:rFonts w:ascii="Times New Roman" w:hAnsi="Times New Roman" w:eastAsia="仿宋" w:cs="Times New Roman"/>
      <w:kern w:val="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1946</Words>
  <Characters>2041</Characters>
  <Lines>15</Lines>
  <Paragraphs>4</Paragraphs>
  <TotalTime>56</TotalTime>
  <ScaleCrop>false</ScaleCrop>
  <LinksUpToDate>false</LinksUpToDate>
  <CharactersWithSpaces>2044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2023-05-16T02:24:00Z</dcterms:created>
  <dc:creator>HJ</dc:creator>
  <cp:lastModifiedBy>Administrator</cp:lastModifiedBy>
  <cp:lastPrinted>2023-04-03T01:27:00Z</cp:lastPrinted>
  <dcterms:modified xsi:type="dcterms:W3CDTF">2024-04-23T09:29:46Z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3AD56CA417A84C01A75B7FEB7A6A3DBC_13</vt:lpwstr>
  </property>
</Properties>
</file>