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val="0"/>
        <w:snapToGrid w:val="0"/>
        <w:spacing w:line="500" w:lineRule="exact"/>
        <w:jc w:val="center"/>
        <w:textAlignment w:val="baseline"/>
        <w:rPr>
          <w:rFonts w:hint="eastAsia" w:ascii="仿宋_GB2312" w:hAnsi="仿宋_GB2312" w:eastAsia="仿宋_GB2312" w:cs="仿宋_GB2312"/>
          <w:b/>
          <w:bCs/>
          <w:color w:val="000000"/>
          <w:sz w:val="44"/>
          <w:szCs w:val="44"/>
          <w:lang w:val="en-US" w:eastAsia="zh-CN"/>
        </w:rPr>
      </w:pPr>
      <w:r>
        <w:rPr>
          <w:rFonts w:hint="eastAsia" w:ascii="仿宋_GB2312" w:hAnsi="仿宋_GB2312" w:eastAsia="仿宋_GB2312" w:cs="仿宋_GB2312"/>
          <w:b/>
          <w:bCs/>
          <w:color w:val="000000"/>
          <w:sz w:val="44"/>
          <w:szCs w:val="44"/>
          <w:lang w:val="en-US" w:eastAsia="zh-CN"/>
        </w:rPr>
        <w:t>湖南中安大宗商品现货交易有限公司</w:t>
      </w:r>
    </w:p>
    <w:p>
      <w:pPr>
        <w:keepNext w:val="0"/>
        <w:keepLines w:val="0"/>
        <w:pageBreakBefore w:val="0"/>
        <w:widowControl w:val="0"/>
        <w:kinsoku/>
        <w:wordWrap w:val="0"/>
        <w:overflowPunct/>
        <w:topLinePunct/>
        <w:autoSpaceDE/>
        <w:autoSpaceDN/>
        <w:bidi w:val="0"/>
        <w:adjustRightInd w:val="0"/>
        <w:snapToGrid w:val="0"/>
        <w:spacing w:line="500" w:lineRule="exact"/>
        <w:jc w:val="center"/>
        <w:textAlignment w:val="baseline"/>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b/>
          <w:bCs/>
          <w:color w:val="000000"/>
          <w:sz w:val="44"/>
          <w:szCs w:val="44"/>
          <w:lang w:val="en-US" w:eastAsia="zh-CN"/>
        </w:rPr>
        <w:t>破产清算案接管告知书</w:t>
      </w:r>
    </w:p>
    <w:p>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jc w:val="right"/>
        <w:textAlignment w:val="baseline"/>
        <w:rPr>
          <w:rFonts w:hint="eastAsia" w:ascii="仿宋" w:hAnsi="仿宋" w:eastAsia="仿宋" w:cs="仿宋"/>
          <w:sz w:val="30"/>
          <w:szCs w:val="30"/>
          <w:lang w:val="en-US" w:eastAsia="zh-CN"/>
        </w:rPr>
      </w:pPr>
      <w:r>
        <w:rPr>
          <w:rFonts w:hint="eastAsia" w:ascii="仿宋" w:hAnsi="仿宋" w:eastAsia="仿宋" w:cs="仿宋"/>
          <w:snapToGrid w:val="0"/>
          <w:color w:val="000000"/>
          <w:kern w:val="0"/>
          <w:sz w:val="30"/>
          <w:szCs w:val="30"/>
          <w:lang w:val="en-US" w:eastAsia="zh-CN"/>
        </w:rPr>
        <w:t>（2024）</w:t>
      </w:r>
      <w:r>
        <w:rPr>
          <w:rFonts w:hint="eastAsia" w:ascii="仿宋" w:hAnsi="仿宋" w:eastAsia="仿宋" w:cs="仿宋"/>
          <w:sz w:val="32"/>
          <w:szCs w:val="32"/>
          <w:lang w:val="en-US" w:eastAsia="zh-CN"/>
        </w:rPr>
        <w:t>中安大宗</w:t>
      </w:r>
      <w:r>
        <w:rPr>
          <w:rFonts w:hint="eastAsia" w:ascii="仿宋" w:hAnsi="仿宋" w:eastAsia="仿宋" w:cs="仿宋"/>
          <w:sz w:val="30"/>
          <w:szCs w:val="30"/>
          <w:lang w:val="en-US" w:eastAsia="zh-CN"/>
        </w:rPr>
        <w:t>破管字第1号</w:t>
      </w:r>
    </w:p>
    <w:p>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法定代表人、股东</w:t>
      </w:r>
      <w:r>
        <w:rPr>
          <w:rFonts w:hint="eastAsia" w:ascii="仿宋" w:hAnsi="仿宋" w:eastAsia="仿宋" w:cs="仿宋"/>
          <w:sz w:val="32"/>
          <w:szCs w:val="32"/>
          <w:lang w:eastAsia="zh-CN"/>
        </w:rPr>
        <w:t>（</w:t>
      </w:r>
      <w:r>
        <w:rPr>
          <w:rFonts w:hint="eastAsia" w:ascii="仿宋" w:hAnsi="仿宋" w:eastAsia="仿宋" w:cs="仿宋"/>
          <w:sz w:val="32"/>
          <w:szCs w:val="32"/>
        </w:rPr>
        <w:t>出资人</w:t>
      </w:r>
      <w:r>
        <w:rPr>
          <w:rFonts w:hint="eastAsia" w:ascii="仿宋" w:hAnsi="仿宋" w:eastAsia="仿宋" w:cs="仿宋"/>
          <w:sz w:val="32"/>
          <w:szCs w:val="32"/>
          <w:lang w:eastAsia="zh-CN"/>
        </w:rPr>
        <w:t>）、</w:t>
      </w:r>
      <w:r>
        <w:rPr>
          <w:rFonts w:hint="eastAsia" w:ascii="仿宋" w:hAnsi="仿宋" w:eastAsia="仿宋" w:cs="仿宋"/>
          <w:sz w:val="32"/>
          <w:szCs w:val="32"/>
        </w:rPr>
        <w:t>董事、监事、高级管理人员、财务负责人及其他经营管理人员</w:t>
      </w:r>
      <w:r>
        <w:rPr>
          <w:rFonts w:hint="eastAsia" w:ascii="仿宋" w:hAnsi="仿宋" w:eastAsia="仿宋" w:cs="仿宋"/>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湖南省怀化市中级人民法院于2023年11月29日作出（2023）湘12破申32号民事裁定书，裁定受理申请人薛贺双、孙敏婷对被申请人湖南中安大宗商品现货交易有限公司的破产清算申请；并于2024年3月28日作出2023）湘12破28号之二决定书，指定湖南怀天律师事务所担任湖南中安大宗商品现货交易有限公司管理人（以下简称“管理人”）。  </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依据《中华人民共和国企业破产法》第十五条、第二十五条及《中华人民共和国公司法》等相关法律法规的规定，管理人现</w:t>
      </w:r>
      <w:r>
        <w:rPr>
          <w:rFonts w:hint="eastAsia" w:ascii="仿宋" w:hAnsi="仿宋" w:eastAsia="仿宋" w:cs="仿宋"/>
          <w:sz w:val="32"/>
          <w:szCs w:val="32"/>
          <w:lang w:val="en-US" w:eastAsia="zh-CN"/>
        </w:rPr>
        <w:t>就湖南中安大宗商品现货交易有限公司</w:t>
      </w:r>
      <w:r>
        <w:rPr>
          <w:rFonts w:hint="eastAsia" w:ascii="仿宋" w:hAnsi="仿宋" w:eastAsia="仿宋" w:cs="仿宋"/>
          <w:sz w:val="32"/>
          <w:szCs w:val="32"/>
        </w:rPr>
        <w:t>的接管工作告知如下：</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一、接管安排</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及其相关义务人应当自收到本告知书之日起</w:t>
      </w:r>
      <w:r>
        <w:rPr>
          <w:rFonts w:hint="eastAsia" w:ascii="仿宋" w:hAnsi="仿宋" w:eastAsia="仿宋" w:cs="仿宋"/>
          <w:sz w:val="32"/>
          <w:szCs w:val="32"/>
          <w:lang w:val="en-US" w:eastAsia="zh-CN"/>
        </w:rPr>
        <w:t>3</w:t>
      </w:r>
      <w:r>
        <w:rPr>
          <w:rFonts w:hint="eastAsia" w:ascii="仿宋" w:hAnsi="仿宋" w:eastAsia="仿宋" w:cs="仿宋"/>
          <w:sz w:val="32"/>
          <w:szCs w:val="32"/>
        </w:rPr>
        <w:t>日</w:t>
      </w:r>
      <w:r>
        <w:rPr>
          <w:rFonts w:hint="eastAsia" w:ascii="仿宋" w:hAnsi="仿宋" w:eastAsia="仿宋" w:cs="仿宋"/>
          <w:sz w:val="32"/>
          <w:szCs w:val="32"/>
          <w:lang w:val="en-US" w:eastAsia="zh-CN"/>
        </w:rPr>
        <w:t>内，</w:t>
      </w:r>
      <w:r>
        <w:rPr>
          <w:rFonts w:hint="eastAsia" w:ascii="仿宋" w:hAnsi="仿宋" w:eastAsia="仿宋" w:cs="仿宋"/>
          <w:sz w:val="32"/>
          <w:szCs w:val="32"/>
        </w:rPr>
        <w:t>向管理人移交</w:t>
      </w: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以下资料：</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公司资产</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包括但不限于固定资产和实物资产</w:t>
      </w:r>
      <w:r>
        <w:rPr>
          <w:rFonts w:hint="eastAsia" w:ascii="仿宋" w:hAnsi="仿宋" w:eastAsia="仿宋" w:cs="仿宋"/>
          <w:sz w:val="32"/>
          <w:szCs w:val="32"/>
          <w:lang w:eastAsia="zh-CN"/>
        </w:rPr>
        <w:t>（</w:t>
      </w:r>
      <w:r>
        <w:rPr>
          <w:rFonts w:hint="eastAsia" w:ascii="仿宋" w:hAnsi="仿宋" w:eastAsia="仿宋" w:cs="仿宋"/>
          <w:sz w:val="32"/>
          <w:szCs w:val="32"/>
        </w:rPr>
        <w:t>包括机器设备、交通工</w:t>
      </w:r>
      <w:r>
        <w:rPr>
          <w:rFonts w:hint="eastAsia" w:ascii="仿宋" w:hAnsi="仿宋" w:eastAsia="仿宋" w:cs="仿宋"/>
          <w:sz w:val="32"/>
          <w:szCs w:val="32"/>
          <w:lang w:val="en-US" w:eastAsia="zh-CN"/>
        </w:rPr>
        <w:t>具、</w:t>
      </w:r>
      <w:r>
        <w:rPr>
          <w:rFonts w:hint="eastAsia" w:ascii="仿宋" w:hAnsi="仿宋" w:eastAsia="仿宋" w:cs="仿宋"/>
          <w:sz w:val="32"/>
          <w:szCs w:val="32"/>
        </w:rPr>
        <w:t>原材料、 产品以及办公用品等</w:t>
      </w:r>
      <w:r>
        <w:rPr>
          <w:rFonts w:hint="eastAsia" w:ascii="仿宋" w:hAnsi="仿宋" w:eastAsia="仿宋" w:cs="仿宋"/>
          <w:sz w:val="32"/>
          <w:szCs w:val="32"/>
          <w:lang w:eastAsia="zh-CN"/>
        </w:rPr>
        <w:t>）</w:t>
      </w:r>
      <w:r>
        <w:rPr>
          <w:rFonts w:hint="eastAsia" w:ascii="仿宋" w:hAnsi="仿宋" w:eastAsia="仿宋" w:cs="仿宋"/>
          <w:sz w:val="32"/>
          <w:szCs w:val="32"/>
        </w:rPr>
        <w:t>清单、无形资产</w:t>
      </w:r>
      <w:r>
        <w:rPr>
          <w:rFonts w:hint="eastAsia" w:ascii="仿宋" w:hAnsi="仿宋" w:eastAsia="仿宋" w:cs="仿宋"/>
          <w:sz w:val="32"/>
          <w:szCs w:val="32"/>
          <w:lang w:eastAsia="zh-CN"/>
        </w:rPr>
        <w:t>（</w:t>
      </w:r>
      <w:r>
        <w:rPr>
          <w:rFonts w:hint="eastAsia" w:ascii="仿宋" w:hAnsi="仿宋" w:eastAsia="仿宋" w:cs="仿宋"/>
          <w:sz w:val="32"/>
          <w:szCs w:val="32"/>
        </w:rPr>
        <w:t>知识产权、特许经营许可</w:t>
      </w:r>
      <w:r>
        <w:rPr>
          <w:rFonts w:hint="eastAsia" w:ascii="仿宋" w:hAnsi="仿宋" w:eastAsia="仿宋" w:cs="仿宋"/>
          <w:sz w:val="32"/>
          <w:szCs w:val="32"/>
          <w:lang w:eastAsia="zh-CN"/>
        </w:rPr>
        <w:t>）</w:t>
      </w:r>
      <w:r>
        <w:rPr>
          <w:rFonts w:hint="eastAsia" w:ascii="仿宋" w:hAnsi="仿宋" w:eastAsia="仿宋" w:cs="仿宋"/>
          <w:sz w:val="32"/>
          <w:szCs w:val="32"/>
        </w:rPr>
        <w:t>清单、债权债务清册</w:t>
      </w:r>
      <w:r>
        <w:rPr>
          <w:rFonts w:hint="eastAsia" w:ascii="仿宋" w:hAnsi="仿宋" w:eastAsia="仿宋" w:cs="仿宋"/>
          <w:sz w:val="32"/>
          <w:szCs w:val="32"/>
          <w:lang w:eastAsia="zh-CN"/>
        </w:rPr>
        <w:t>（</w:t>
      </w:r>
      <w:r>
        <w:rPr>
          <w:rFonts w:hint="eastAsia" w:ascii="仿宋" w:hAnsi="仿宋" w:eastAsia="仿宋" w:cs="仿宋"/>
          <w:sz w:val="32"/>
          <w:szCs w:val="32"/>
        </w:rPr>
        <w:t>含或有债务</w:t>
      </w:r>
      <w:r>
        <w:rPr>
          <w:rFonts w:hint="eastAsia" w:ascii="仿宋" w:hAnsi="仿宋" w:eastAsia="仿宋" w:cs="仿宋"/>
          <w:sz w:val="32"/>
          <w:szCs w:val="32"/>
          <w:lang w:eastAsia="zh-CN"/>
        </w:rPr>
        <w:t>）</w:t>
      </w:r>
      <w:r>
        <w:rPr>
          <w:rFonts w:hint="eastAsia" w:ascii="仿宋" w:hAnsi="仿宋" w:eastAsia="仿宋" w:cs="仿宋"/>
          <w:sz w:val="32"/>
          <w:szCs w:val="32"/>
        </w:rPr>
        <w:t>、存货、流动资产、在建工程、对外投资</w:t>
      </w:r>
      <w:r>
        <w:rPr>
          <w:rFonts w:hint="eastAsia" w:ascii="仿宋" w:hAnsi="仿宋" w:eastAsia="仿宋" w:cs="仿宋"/>
          <w:sz w:val="32"/>
          <w:szCs w:val="32"/>
          <w:lang w:eastAsia="zh-CN"/>
        </w:rPr>
        <w:t>（</w:t>
      </w:r>
      <w:r>
        <w:rPr>
          <w:rFonts w:hint="eastAsia" w:ascii="仿宋" w:hAnsi="仿宋" w:eastAsia="仿宋" w:cs="仿宋"/>
          <w:sz w:val="32"/>
          <w:szCs w:val="32"/>
        </w:rPr>
        <w:t>包括股权投资、有价证券、债权凭证、库存现金银行存款的币种、金额、银行账号等投资情况和资金情况等</w:t>
      </w:r>
      <w:r>
        <w:rPr>
          <w:rFonts w:hint="eastAsia" w:ascii="仿宋" w:hAnsi="仿宋" w:eastAsia="仿宋" w:cs="仿宋"/>
          <w:sz w:val="32"/>
          <w:szCs w:val="32"/>
          <w:lang w:eastAsia="zh-CN"/>
        </w:rPr>
        <w:t>）</w:t>
      </w:r>
      <w:r>
        <w:rPr>
          <w:rFonts w:hint="eastAsia" w:ascii="仿宋" w:hAnsi="仿宋" w:eastAsia="仿宋" w:cs="仿宋"/>
          <w:sz w:val="32"/>
          <w:szCs w:val="32"/>
        </w:rPr>
        <w:t>等财产及相关凭证。</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公司证照</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包括但不限于批准设立文件、营业执照、税务登记证书、银行开户许可证、生产许可证等各类经营资质证书、章程。</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公司印章</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包括但不限于公章、法定代表人章、财务专用章、税务登记专用章、银行账户印鉴、合同专用章、发票专用章、海关报关章、职能部门章、分支机构章、电子印章、数字证书等。</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财产权属证书</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包括但不限于</w:t>
      </w:r>
      <w:r>
        <w:rPr>
          <w:rFonts w:hint="eastAsia" w:ascii="仿宋" w:hAnsi="仿宋" w:eastAsia="仿宋" w:cs="仿宋"/>
          <w:sz w:val="32"/>
          <w:szCs w:val="32"/>
          <w:lang w:eastAsia="zh-CN"/>
        </w:rPr>
        <w:t>土地使用权</w:t>
      </w:r>
      <w:r>
        <w:rPr>
          <w:rFonts w:hint="eastAsia" w:ascii="仿宋" w:hAnsi="仿宋" w:eastAsia="仿宋" w:cs="仿宋"/>
          <w:sz w:val="32"/>
          <w:szCs w:val="32"/>
        </w:rPr>
        <w:t>证、房屋所有权证、不动产登记证等</w:t>
      </w:r>
      <w:r>
        <w:rPr>
          <w:rFonts w:hint="eastAsia" w:ascii="仿宋" w:hAnsi="仿宋" w:eastAsia="仿宋" w:cs="仿宋"/>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财务资料</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包括但不限于银行账户资料、库存现金、银行存款凭证、有价证券材料、银行信贷登记咨询系统贷款卡、网银密码和U</w:t>
      </w:r>
      <w:r>
        <w:rPr>
          <w:rFonts w:hint="eastAsia" w:ascii="仿宋" w:hAnsi="仿宋" w:eastAsia="仿宋" w:cs="仿宋"/>
          <w:sz w:val="32"/>
          <w:szCs w:val="32"/>
          <w:lang w:val="en-US" w:eastAsia="zh-CN"/>
        </w:rPr>
        <w:t>盾、</w:t>
      </w:r>
      <w:r>
        <w:rPr>
          <w:rFonts w:hint="eastAsia" w:ascii="仿宋" w:hAnsi="仿宋" w:eastAsia="仿宋" w:cs="仿宋"/>
          <w:sz w:val="32"/>
          <w:szCs w:val="32"/>
        </w:rPr>
        <w:t>税控盘、保险柜密码和钥匙等</w:t>
      </w:r>
      <w:r>
        <w:rPr>
          <w:rFonts w:hint="eastAsia" w:ascii="仿宋" w:hAnsi="仿宋" w:eastAsia="仿宋" w:cs="仿宋"/>
          <w:sz w:val="32"/>
          <w:szCs w:val="32"/>
          <w:lang w:eastAsia="zh-CN"/>
        </w:rPr>
        <w:t>；</w:t>
      </w:r>
      <w:r>
        <w:rPr>
          <w:rFonts w:hint="eastAsia" w:ascii="仿宋" w:hAnsi="仿宋" w:eastAsia="仿宋" w:cs="仿宋"/>
          <w:sz w:val="32"/>
          <w:szCs w:val="32"/>
        </w:rPr>
        <w:t>财务账册：总账、明细账、台账、日记账等账簿及全部会计凭证、重要空白凭证等；审计报告；报税资料等</w:t>
      </w:r>
      <w:r>
        <w:rPr>
          <w:rFonts w:hint="eastAsia" w:ascii="仿宋" w:hAnsi="仿宋" w:eastAsia="仿宋" w:cs="仿宋"/>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公司经营有关的合同</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包括但不限于土地出让合同、项目建设合同、采购合同、房屋销售、租赁合同</w:t>
      </w:r>
      <w:r>
        <w:rPr>
          <w:rFonts w:hint="eastAsia" w:ascii="仿宋" w:hAnsi="仿宋" w:eastAsia="仿宋" w:cs="仿宋"/>
          <w:sz w:val="32"/>
          <w:szCs w:val="32"/>
          <w:lang w:eastAsia="zh-CN"/>
        </w:rPr>
        <w:t>（</w:t>
      </w:r>
      <w:r>
        <w:rPr>
          <w:rFonts w:hint="eastAsia" w:ascii="仿宋" w:hAnsi="仿宋" w:eastAsia="仿宋" w:cs="仿宋"/>
          <w:sz w:val="32"/>
          <w:szCs w:val="32"/>
        </w:rPr>
        <w:t>包括住宅、商铺、车位</w:t>
      </w:r>
      <w:r>
        <w:rPr>
          <w:rFonts w:hint="eastAsia" w:ascii="仿宋" w:hAnsi="仿宋" w:eastAsia="仿宋" w:cs="仿宋"/>
          <w:sz w:val="32"/>
          <w:szCs w:val="32"/>
          <w:lang w:eastAsia="zh-CN"/>
        </w:rPr>
        <w:t>）</w:t>
      </w:r>
      <w:r>
        <w:rPr>
          <w:rFonts w:hint="eastAsia" w:ascii="仿宋" w:hAnsi="仿宋" w:eastAsia="仿宋" w:cs="仿宋"/>
          <w:sz w:val="32"/>
          <w:szCs w:val="32"/>
        </w:rPr>
        <w:t>、借款合同等各类合</w:t>
      </w:r>
      <w:r>
        <w:rPr>
          <w:rFonts w:hint="eastAsia" w:ascii="仿宋" w:hAnsi="仿宋" w:eastAsia="仿宋" w:cs="仿宋"/>
          <w:sz w:val="32"/>
          <w:szCs w:val="32"/>
          <w:lang w:val="en-US" w:eastAsia="zh-CN"/>
        </w:rPr>
        <w:t>同、</w:t>
      </w:r>
      <w:r>
        <w:rPr>
          <w:rFonts w:hint="eastAsia" w:ascii="仿宋" w:hAnsi="仿宋" w:eastAsia="仿宋" w:cs="仿宋"/>
          <w:sz w:val="32"/>
          <w:szCs w:val="32"/>
        </w:rPr>
        <w:t>协议文件。尚未履行完毕的合同应单独制作清单。</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公司所涉的全部诉讼、仲裁、执行案件的完整卷宗材料人事档案包括但不限于用工情况、劳动合同；公司员工清册，内容包括员工姓名、性别、年龄、工龄、企业工龄、职业种类、职务、职称、行政级别、工资状况、保险福利待遇；职工安置情况；公司现任董事监事及高级管理人员名单等。</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文书档案</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包括但不限于公司章程、股东名册、股东会、董事会、监事会议事规则、决议文件、会议记录、管理制度等。</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十</w:t>
      </w:r>
      <w:r>
        <w:rPr>
          <w:rFonts w:hint="eastAsia" w:ascii="仿宋" w:hAnsi="仿宋" w:eastAsia="仿宋" w:cs="仿宋"/>
          <w:sz w:val="32"/>
          <w:szCs w:val="32"/>
          <w:lang w:eastAsia="zh-CN"/>
        </w:rPr>
        <w:t>）</w:t>
      </w:r>
      <w:r>
        <w:rPr>
          <w:rFonts w:hint="eastAsia" w:ascii="仿宋" w:hAnsi="仿宋" w:eastAsia="仿宋" w:cs="仿宋"/>
          <w:sz w:val="32"/>
          <w:szCs w:val="32"/>
        </w:rPr>
        <w:t>其他</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有关电子数据、管理系统授权密码、U盾，以及支付宝和微信等电子支付工具的账号密码。</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十一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的其他重要资料或财产</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及其相关义务人同时需告知管理人</w:t>
      </w: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的经营情况。如知悉</w:t>
      </w: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有关债权、债务的，请及时告知管理人，由管理人通知申报债权或追收债务。如</w:t>
      </w:r>
      <w:r>
        <w:rPr>
          <w:rFonts w:hint="eastAsia" w:ascii="仿宋" w:hAnsi="仿宋" w:eastAsia="仿宋" w:cs="仿宋"/>
          <w:sz w:val="32"/>
          <w:szCs w:val="32"/>
          <w:lang w:val="en-US" w:eastAsia="zh-CN"/>
        </w:rPr>
        <w:t>湖南中安大宗商品现货交易有限公司</w:t>
      </w:r>
      <w:r>
        <w:rPr>
          <w:rFonts w:hint="eastAsia" w:ascii="仿宋" w:hAnsi="仿宋" w:eastAsia="仿宋" w:cs="仿宋"/>
          <w:sz w:val="32"/>
          <w:szCs w:val="32"/>
        </w:rPr>
        <w:t>及其相关义务人怠于履行上述义务导致无法清算的，相关义务人将依法承担法律责任。</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二、管理人联系方式</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联系地址：</w:t>
      </w:r>
      <w:r>
        <w:rPr>
          <w:rFonts w:hint="eastAsia" w:ascii="仿宋" w:hAnsi="仿宋" w:eastAsia="仿宋" w:cs="仿宋"/>
          <w:sz w:val="32"/>
          <w:szCs w:val="32"/>
          <w:lang w:val="en-US" w:eastAsia="zh-CN"/>
        </w:rPr>
        <w:t>湖南省怀化市锦溪北路192号长城大酒店12楼湖南怀天</w:t>
      </w:r>
      <w:r>
        <w:rPr>
          <w:rFonts w:hint="eastAsia" w:ascii="仿宋" w:hAnsi="仿宋" w:eastAsia="仿宋" w:cs="仿宋"/>
          <w:sz w:val="32"/>
          <w:szCs w:val="32"/>
        </w:rPr>
        <w:t>律师事务所</w:t>
      </w:r>
      <w:r>
        <w:rPr>
          <w:rFonts w:hint="eastAsia" w:ascii="仿宋" w:hAnsi="仿宋" w:eastAsia="仿宋" w:cs="仿宋"/>
          <w:sz w:val="32"/>
          <w:szCs w:val="32"/>
          <w:lang w:eastAsia="zh-CN"/>
        </w:rPr>
        <w:t>；</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黄振华18797583888、陈小印15274571556。</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500" w:lineRule="exact"/>
        <w:ind w:left="0" w:right="0" w:firstLine="48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三、逾期未提交的，管理人将依据：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500" w:lineRule="exact"/>
        <w:ind w:left="0" w:right="0" w:firstLine="48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r>
        <w:rPr>
          <w:rFonts w:hint="eastAsia" w:ascii="仿宋" w:hAnsi="仿宋" w:eastAsia="仿宋" w:cs="仿宋"/>
          <w:i w:val="0"/>
          <w:iCs w:val="0"/>
          <w:caps w:val="0"/>
          <w:color w:val="000000"/>
          <w:spacing w:val="8"/>
          <w:sz w:val="32"/>
          <w:szCs w:val="32"/>
          <w:shd w:val="clear" w:fill="FFFFFF"/>
        </w:rPr>
        <w:t>《中华人民共和国企业破产法》第一百二十七条第二款规定：债务人违反本法规定，拒不向管理人移交财产、印章和账簿、文书等资料的，或者伪造、销毁有关财产证据材料而使财产状况不明的，人民法院可以对直接责任人员依法处以罚款。</w:t>
      </w:r>
      <w:r>
        <w:rPr>
          <w:rFonts w:hint="eastAsia" w:ascii="仿宋" w:hAnsi="仿宋" w:eastAsia="仿宋" w:cs="仿宋"/>
          <w:color w:val="000000"/>
          <w:kern w:val="0"/>
          <w:sz w:val="32"/>
          <w:szCs w:val="32"/>
          <w:lang w:val="en-US" w:eastAsia="zh-CN" w:bidi="ar"/>
        </w:rPr>
        <w:t>法律规定做出相应的处理。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500" w:lineRule="exact"/>
        <w:ind w:left="0" w:right="0" w:firstLine="480"/>
        <w:jc w:val="left"/>
        <w:textAlignment w:val="auto"/>
        <w:rPr>
          <w:rFonts w:hint="eastAsia" w:ascii="仿宋" w:hAnsi="仿宋" w:eastAsia="仿宋" w:cs="仿宋"/>
          <w:i w:val="0"/>
          <w:iCs w:val="0"/>
          <w:caps w:val="0"/>
          <w:color w:val="000000"/>
          <w:spacing w:val="8"/>
          <w:sz w:val="32"/>
          <w:szCs w:val="32"/>
        </w:rPr>
      </w:pPr>
      <w:r>
        <w:rPr>
          <w:rFonts w:hint="eastAsia" w:ascii="仿宋" w:hAnsi="仿宋" w:eastAsia="仿宋" w:cs="仿宋"/>
          <w:i w:val="0"/>
          <w:iCs w:val="0"/>
          <w:caps w:val="0"/>
          <w:color w:val="000000"/>
          <w:spacing w:val="8"/>
          <w:sz w:val="32"/>
          <w:szCs w:val="32"/>
          <w:shd w:val="clear" w:fill="FFFFFF"/>
          <w:lang w:val="en-US" w:eastAsia="zh-CN"/>
        </w:rPr>
        <w:t>2、</w:t>
      </w:r>
      <w:r>
        <w:rPr>
          <w:rFonts w:hint="eastAsia" w:ascii="仿宋" w:hAnsi="仿宋" w:eastAsia="仿宋" w:cs="仿宋"/>
          <w:i w:val="0"/>
          <w:iCs w:val="0"/>
          <w:caps w:val="0"/>
          <w:color w:val="000000"/>
          <w:spacing w:val="8"/>
          <w:sz w:val="32"/>
          <w:szCs w:val="32"/>
          <w:shd w:val="clear" w:fill="FFFFFF"/>
        </w:rPr>
        <w:t>《全国法院破产审判工作会议纪要》第一百一十八第三款规定：上述批复第3款规定的“债务人的有关人员不履行法定义务，人民法院可依据有关法律规定追究其相应法律责任”，系指债务人的法定代表人、财务管理人员和其他经营管理人员不履行《企业破产法》第</w:t>
      </w:r>
      <w:r>
        <w:rPr>
          <w:rFonts w:hint="eastAsia" w:ascii="仿宋" w:hAnsi="仿宋" w:eastAsia="仿宋" w:cs="仿宋"/>
          <w:i w:val="0"/>
          <w:iCs w:val="0"/>
          <w:caps w:val="0"/>
          <w:color w:val="000000"/>
          <w:spacing w:val="8"/>
          <w:sz w:val="32"/>
          <w:szCs w:val="32"/>
          <w:shd w:val="clear" w:fill="FFFFFF"/>
          <w:lang w:val="en-US" w:eastAsia="zh-CN"/>
        </w:rPr>
        <w:t>十五</w:t>
      </w:r>
      <w:r>
        <w:rPr>
          <w:rFonts w:hint="eastAsia" w:ascii="仿宋" w:hAnsi="仿宋" w:eastAsia="仿宋" w:cs="仿宋"/>
          <w:i w:val="0"/>
          <w:iCs w:val="0"/>
          <w:caps w:val="0"/>
          <w:color w:val="000000"/>
          <w:spacing w:val="8"/>
          <w:sz w:val="32"/>
          <w:szCs w:val="32"/>
          <w:shd w:val="clear" w:fill="FFFFFF"/>
        </w:rPr>
        <w:t>条规定的配合清算义务，人民法院可以根据《企业破产法》第</w:t>
      </w:r>
      <w:r>
        <w:rPr>
          <w:rFonts w:hint="eastAsia" w:ascii="仿宋" w:hAnsi="仿宋" w:eastAsia="仿宋" w:cs="仿宋"/>
          <w:i w:val="0"/>
          <w:iCs w:val="0"/>
          <w:caps w:val="0"/>
          <w:color w:val="000000"/>
          <w:spacing w:val="8"/>
          <w:sz w:val="32"/>
          <w:szCs w:val="32"/>
          <w:shd w:val="clear" w:fill="FFFFFF"/>
          <w:lang w:val="en-US" w:eastAsia="zh-CN"/>
        </w:rPr>
        <w:t>一百二十六</w:t>
      </w:r>
      <w:r>
        <w:rPr>
          <w:rFonts w:hint="eastAsia" w:ascii="仿宋" w:hAnsi="仿宋" w:eastAsia="仿宋" w:cs="仿宋"/>
          <w:i w:val="0"/>
          <w:iCs w:val="0"/>
          <w:caps w:val="0"/>
          <w:color w:val="000000"/>
          <w:spacing w:val="8"/>
          <w:sz w:val="32"/>
          <w:szCs w:val="32"/>
          <w:shd w:val="clear" w:fill="FFFFFF"/>
        </w:rPr>
        <w:t>条、第</w:t>
      </w:r>
      <w:r>
        <w:rPr>
          <w:rFonts w:hint="eastAsia" w:ascii="仿宋" w:hAnsi="仿宋" w:eastAsia="仿宋" w:cs="仿宋"/>
          <w:i w:val="0"/>
          <w:iCs w:val="0"/>
          <w:caps w:val="0"/>
          <w:color w:val="000000"/>
          <w:spacing w:val="8"/>
          <w:sz w:val="32"/>
          <w:szCs w:val="32"/>
          <w:shd w:val="clear" w:fill="FFFFFF"/>
          <w:lang w:val="en-US" w:eastAsia="zh-CN"/>
        </w:rPr>
        <w:t>一百二十七</w:t>
      </w:r>
      <w:r>
        <w:rPr>
          <w:rFonts w:hint="eastAsia" w:ascii="仿宋" w:hAnsi="仿宋" w:eastAsia="仿宋" w:cs="仿宋"/>
          <w:i w:val="0"/>
          <w:iCs w:val="0"/>
          <w:caps w:val="0"/>
          <w:color w:val="000000"/>
          <w:spacing w:val="8"/>
          <w:sz w:val="32"/>
          <w:szCs w:val="32"/>
          <w:shd w:val="clear" w:fill="FFFFFF"/>
        </w:rPr>
        <w:t>条追究其相应法律责任，或者参照《民事诉讼法》第</w:t>
      </w:r>
      <w:r>
        <w:rPr>
          <w:rFonts w:hint="eastAsia" w:ascii="仿宋" w:hAnsi="仿宋" w:eastAsia="仿宋" w:cs="仿宋"/>
          <w:i w:val="0"/>
          <w:iCs w:val="0"/>
          <w:caps w:val="0"/>
          <w:color w:val="000000"/>
          <w:spacing w:val="8"/>
          <w:sz w:val="32"/>
          <w:szCs w:val="32"/>
          <w:shd w:val="clear" w:fill="FFFFFF"/>
          <w:lang w:val="en-US" w:eastAsia="zh-CN"/>
        </w:rPr>
        <w:t>一百一十一</w:t>
      </w:r>
      <w:r>
        <w:rPr>
          <w:rFonts w:hint="eastAsia" w:ascii="仿宋" w:hAnsi="仿宋" w:eastAsia="仿宋" w:cs="仿宋"/>
          <w:i w:val="0"/>
          <w:iCs w:val="0"/>
          <w:caps w:val="0"/>
          <w:color w:val="000000"/>
          <w:spacing w:val="8"/>
          <w:sz w:val="32"/>
          <w:szCs w:val="32"/>
          <w:shd w:val="clear" w:fill="FFFFFF"/>
        </w:rPr>
        <w:t>条的规定，依法拘留，构成犯罪的，依法追究刑事责任。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0" w:afterAutospacing="0" w:line="500" w:lineRule="exact"/>
        <w:ind w:left="0" w:right="0" w:firstLine="48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8"/>
          <w:sz w:val="32"/>
          <w:szCs w:val="32"/>
          <w:shd w:val="clear" w:fill="FFFFFF"/>
          <w:lang w:val="en-US" w:eastAsia="zh-CN"/>
        </w:rPr>
        <w:t>3、</w:t>
      </w:r>
      <w:r>
        <w:rPr>
          <w:rFonts w:hint="eastAsia" w:ascii="仿宋" w:hAnsi="仿宋" w:eastAsia="仿宋" w:cs="仿宋"/>
          <w:i w:val="0"/>
          <w:iCs w:val="0"/>
          <w:caps w:val="0"/>
          <w:color w:val="000000"/>
          <w:spacing w:val="8"/>
          <w:sz w:val="32"/>
          <w:szCs w:val="32"/>
          <w:shd w:val="clear" w:fill="FFFFFF"/>
        </w:rPr>
        <w:t>《关于推进破产案件依法高效审理的意见》第八条规定：管理人应当及时接管债务人的财产、印章和账簿、文书等资料。债务人拒不移交的，人民法院可以根据管理人的申请或者依职权对直接责任人员处以罚款，并可以就债务人应当移交的内容和期限作出裁定。债务人不履行裁定确定的义务的，人民法院可以依照民事诉讼法执行程序的</w:t>
      </w:r>
      <w:bookmarkStart w:id="0" w:name="_GoBack"/>
      <w:bookmarkEnd w:id="0"/>
      <w:r>
        <w:rPr>
          <w:rFonts w:hint="eastAsia" w:ascii="仿宋" w:hAnsi="仿宋" w:eastAsia="仿宋" w:cs="仿宋"/>
          <w:i w:val="0"/>
          <w:iCs w:val="0"/>
          <w:caps w:val="0"/>
          <w:color w:val="000000"/>
          <w:spacing w:val="8"/>
          <w:sz w:val="32"/>
          <w:szCs w:val="32"/>
          <w:shd w:val="clear" w:fill="FFFFFF"/>
        </w:rPr>
        <w:t>有关规定采取搜查、强制交付等必要措施予以强制执行。</w:t>
      </w:r>
    </w:p>
    <w:p>
      <w:pPr>
        <w:keepNext w:val="0"/>
        <w:keepLines w:val="0"/>
        <w:pageBreakBefore w:val="0"/>
        <w:widowControl w:val="0"/>
        <w:kinsoku/>
        <w:wordWrap w:val="0"/>
        <w:overflowPunct/>
        <w:topLinePunct/>
        <w:autoSpaceDE/>
        <w:autoSpaceDN/>
        <w:bidi w:val="0"/>
        <w:adjustRightInd w:val="0"/>
        <w:snapToGrid w:val="0"/>
        <w:spacing w:line="5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特此告知</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widowControl w:val="0"/>
        <w:kinsoku/>
        <w:wordWrap w:val="0"/>
        <w:overflowPunct/>
        <w:topLinePunct/>
        <w:autoSpaceDE/>
        <w:autoSpaceDN/>
        <w:bidi w:val="0"/>
        <w:adjustRightInd w:val="0"/>
        <w:snapToGrid w:val="0"/>
        <w:spacing w:line="500" w:lineRule="exact"/>
        <w:jc w:val="right"/>
        <w:textAlignment w:val="baseline"/>
        <w:rPr>
          <w:rFonts w:hint="eastAsia" w:ascii="仿宋" w:hAnsi="仿宋" w:eastAsia="仿宋" w:cs="仿宋"/>
          <w:b/>
          <w:bCs/>
          <w:sz w:val="32"/>
          <w:szCs w:val="32"/>
          <w:lang w:val="en-US" w:eastAsia="zh-CN"/>
        </w:rPr>
      </w:pPr>
    </w:p>
    <w:p>
      <w:pPr>
        <w:keepNext w:val="0"/>
        <w:keepLines w:val="0"/>
        <w:pageBreakBefore w:val="0"/>
        <w:widowControl w:val="0"/>
        <w:kinsoku/>
        <w:wordWrap w:val="0"/>
        <w:overflowPunct/>
        <w:topLinePunct/>
        <w:autoSpaceDE/>
        <w:autoSpaceDN/>
        <w:bidi w:val="0"/>
        <w:spacing w:line="50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湖南中安大宗商品现货交易有限公司管理人</w:t>
      </w:r>
    </w:p>
    <w:p>
      <w:pPr>
        <w:keepNext w:val="0"/>
        <w:keepLines w:val="0"/>
        <w:pageBreakBefore w:val="0"/>
        <w:widowControl w:val="0"/>
        <w:kinsoku/>
        <w:wordWrap w:val="0"/>
        <w:overflowPunct/>
        <w:topLinePunct/>
        <w:autoSpaceDE/>
        <w:autoSpaceDN/>
        <w:bidi w:val="0"/>
        <w:spacing w:line="500" w:lineRule="exact"/>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2024年5月8日</w:t>
      </w:r>
      <w:r>
        <w:rPr>
          <w:rFonts w:hint="eastAsia" w:ascii="仿宋" w:hAnsi="仿宋" w:eastAsia="仿宋" w:cs="仿宋"/>
          <w:sz w:val="32"/>
          <w:szCs w:val="32"/>
        </w:rPr>
        <w:pict>
          <v:shape id="_x0000_s1026" o:spid="_x0000_s1026" o:spt="202" type="#_x0000_t202" style="position:absolute;left:0pt;margin-left:354.25pt;margin-top:-5.2pt;height:30.05pt;width:30.05pt;z-index:251659264;mso-width-relative:page;mso-height-relative:page;" filled="f" stroked="f" coordsize="21600,21600">
            <v:path/>
            <v:fill on="f" focussize="0,0"/>
            <v:stroke on="f"/>
            <v:imagedata o:title=""/>
            <o:lock v:ext="edit" aspectratio="f"/>
            <v:textbox inset="0mm,0mm,0mm,0mm">
              <w:txbxContent>
                <w:p>
                  <w:pPr>
                    <w:spacing w:before="20" w:line="560" w:lineRule="exact"/>
                    <w:ind w:left="20"/>
                  </w:pPr>
                </w:p>
              </w:txbxContent>
            </v:textbox>
          </v:shape>
        </w:pict>
      </w:r>
    </w:p>
    <w:sectPr>
      <w:footerReference r:id="rId5" w:type="default"/>
      <w:pgSz w:w="11900" w:h="1684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F7672D-E45E-44CA-8E64-442B8514C6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8D66F4B-3DE0-4795-9C24-A8FC855AFFD8}"/>
  </w:font>
  <w:font w:name="方正小标宋简体">
    <w:panose1 w:val="03000509000000000000"/>
    <w:charset w:val="86"/>
    <w:family w:val="auto"/>
    <w:pitch w:val="default"/>
    <w:sig w:usb0="00000001" w:usb1="080E0000" w:usb2="00000000" w:usb3="00000000" w:csb0="00040000" w:csb1="00000000"/>
    <w:embedRegular r:id="rId3" w:fontKey="{D31FD6A3-245B-45D9-A3B1-0BB480A07C4A}"/>
  </w:font>
  <w:font w:name="仿宋">
    <w:panose1 w:val="02010609060101010101"/>
    <w:charset w:val="86"/>
    <w:family w:val="auto"/>
    <w:pitch w:val="default"/>
    <w:sig w:usb0="800002BF" w:usb1="38CF7CFA" w:usb2="00000016" w:usb3="00000000" w:csb0="00040001" w:csb1="00000000"/>
    <w:embedRegular r:id="rId4" w:fontKey="{D91600BE-278C-4596-A8DA-41742A8F57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FkMTY4ZjRjNTc3MjA3ZDg0MDU1MDlhOTQ1NjMzZTUifQ=="/>
  </w:docVars>
  <w:rsids>
    <w:rsidRoot w:val="00000000"/>
    <w:rsid w:val="09B052F6"/>
    <w:rsid w:val="0A920412"/>
    <w:rsid w:val="0C5E120C"/>
    <w:rsid w:val="0DAB2837"/>
    <w:rsid w:val="0E3F26A9"/>
    <w:rsid w:val="175A0E1B"/>
    <w:rsid w:val="1D594970"/>
    <w:rsid w:val="2401791F"/>
    <w:rsid w:val="2FBF7DE5"/>
    <w:rsid w:val="38103A87"/>
    <w:rsid w:val="3FAB18FF"/>
    <w:rsid w:val="432E789A"/>
    <w:rsid w:val="5CD55FE0"/>
    <w:rsid w:val="63597B1A"/>
    <w:rsid w:val="63AF0497"/>
    <w:rsid w:val="64201DE8"/>
    <w:rsid w:val="65946FAB"/>
    <w:rsid w:val="691C1820"/>
    <w:rsid w:val="6DD7515D"/>
    <w:rsid w:val="6F67745F"/>
    <w:rsid w:val="76266B09"/>
    <w:rsid w:val="76FA0CDE"/>
    <w:rsid w:val="78031D18"/>
    <w:rsid w:val="78C07DF5"/>
    <w:rsid w:val="7ADC79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2023-08-08T15:34:00Z</dcterms:created>
  <dc:creator>Kingsoft-PDF</dc:creator>
  <cp:lastModifiedBy>明天</cp:lastModifiedBy>
  <cp:lastPrinted>2024-04-17T12:00:00Z</cp:lastPrinted>
  <dcterms:modified xsi:type="dcterms:W3CDTF">2024-05-08T15:14:38Z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2023-08-08T15:34:44Z</vt:filetime>
  </property>
  <property fmtid="{D5CDD505-2E9C-101B-9397-08002B2CF9AE}" pid="4" name="UsrData">
    <vt:lpwstr>64d1f006423552001feadefb</vt:lpwstr>
  </property>
  <property fmtid="{D5CDD505-2E9C-101B-9397-08002B2CF9AE}" pid="5" name="KSOProductBuildVer">
    <vt:lpwstr>2052-12.1.0.16729</vt:lpwstr>
  </property>
  <property fmtid="{D5CDD505-2E9C-101B-9397-08002B2CF9AE}" pid="6" name="ICV">
    <vt:lpwstr>65A7A8F98B14431A9FE083F04227A960_13</vt:lpwstr>
  </property>
</Properties>
</file>