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湖南中安大宗商品现货交易有限公司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rPr>
        <w:t>破产清算</w:t>
      </w:r>
      <w:r>
        <w:rPr>
          <w:rFonts w:hint="eastAsia" w:ascii="宋体" w:hAnsi="宋体" w:eastAsia="宋体" w:cs="宋体"/>
          <w:b/>
          <w:bCs/>
          <w:color w:val="000000"/>
          <w:sz w:val="44"/>
          <w:szCs w:val="44"/>
          <w:lang w:val="en-US" w:eastAsia="zh-CN"/>
        </w:rPr>
        <w:t>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sz w:val="44"/>
          <w:szCs w:val="44"/>
          <w:lang w:val="en-US" w:eastAsia="zh-CN"/>
        </w:rPr>
      </w:pPr>
      <w:r>
        <w:rPr>
          <w:rFonts w:hint="eastAsia" w:ascii="宋体" w:hAnsi="宋体" w:eastAsia="宋体" w:cs="宋体"/>
          <w:b/>
          <w:bCs/>
          <w:color w:val="000000"/>
          <w:sz w:val="44"/>
          <w:szCs w:val="44"/>
          <w:lang w:val="en-US" w:eastAsia="zh-CN"/>
        </w:rPr>
        <w:t>公 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right"/>
        <w:textAlignment w:val="baseline"/>
        <w:rPr>
          <w:rFonts w:hint="eastAsia" w:ascii="方正公文小标宋" w:hAnsi="方正公文小标宋" w:eastAsia="方正公文小标宋" w:cs="方正公文小标宋"/>
          <w:color w:val="000000"/>
          <w:sz w:val="44"/>
          <w:szCs w:val="44"/>
          <w:lang w:val="en-US" w:eastAsia="zh-CN"/>
        </w:rPr>
      </w:pPr>
      <w:r>
        <w:rPr>
          <w:rFonts w:hint="eastAsia" w:ascii="仿宋" w:hAnsi="仿宋" w:eastAsia="仿宋" w:cs="仿宋"/>
          <w:sz w:val="30"/>
          <w:szCs w:val="30"/>
          <w:lang w:val="en-US" w:eastAsia="zh-CN"/>
        </w:rPr>
        <w:t>（2024）中安大宗破管字第2号</w:t>
      </w:r>
    </w:p>
    <w:p>
      <w:pPr>
        <w:pageBreakBefore w:val="0"/>
        <w:tabs>
          <w:tab w:val="left" w:pos="8278"/>
        </w:tabs>
        <w:wordWrap/>
        <w:overflowPunct/>
        <w:topLinePunct w:val="0"/>
        <w:bidi w:val="0"/>
        <w:snapToGrid w:val="0"/>
        <w:spacing w:line="520" w:lineRule="exact"/>
        <w:ind w:right="-2" w:firstLine="600" w:firstLineChars="200"/>
        <w:rPr>
          <w:rFonts w:hint="eastAsia" w:ascii="仿宋" w:hAnsi="仿宋" w:eastAsia="仿宋" w:cs="仿宋"/>
          <w:sz w:val="30"/>
          <w:szCs w:val="30"/>
        </w:rPr>
      </w:pPr>
      <w:r>
        <w:rPr>
          <w:rFonts w:hint="eastAsia" w:ascii="仿宋" w:hAnsi="仿宋" w:eastAsia="仿宋" w:cs="仿宋"/>
          <w:b w:val="0"/>
          <w:i w:val="0"/>
          <w:strike w:val="0"/>
          <w:color w:val="auto"/>
          <w:sz w:val="30"/>
          <w:szCs w:val="30"/>
          <w:u w:val="none"/>
          <w:lang w:val="en-US" w:eastAsia="zh-CN"/>
        </w:rPr>
        <w:t>湖南省怀化市中级人民法院</w:t>
      </w:r>
      <w:r>
        <w:rPr>
          <w:rFonts w:hint="eastAsia" w:ascii="仿宋" w:hAnsi="仿宋" w:eastAsia="仿宋" w:cs="仿宋"/>
          <w:sz w:val="30"/>
          <w:szCs w:val="30"/>
          <w:lang w:val="en-US" w:eastAsia="zh-CN"/>
        </w:rPr>
        <w:t>于2023年11月29日作出（2023）湘12破申32号民事裁定书，裁定受理申请人薛贺双、孙敏婷对被申请人湖南中安大宗商品现货交易有限公司的破产清算申请；并于2024年3月28日作出2023）</w:t>
      </w:r>
      <w:bookmarkStart w:id="0" w:name="_GoBack"/>
      <w:bookmarkEnd w:id="0"/>
      <w:r>
        <w:rPr>
          <w:rFonts w:hint="eastAsia" w:ascii="仿宋" w:hAnsi="仿宋" w:eastAsia="仿宋" w:cs="仿宋"/>
          <w:sz w:val="30"/>
          <w:szCs w:val="30"/>
          <w:lang w:val="en-US" w:eastAsia="zh-CN"/>
        </w:rPr>
        <w:t xml:space="preserve">湘12破28号之二决定书，指定湖南怀天律师事务所担任湖南中安大宗商品现货交易有限公司管理人（以下简称“管理人”）。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textAlignment w:val="baseline"/>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管理人</w:t>
      </w:r>
      <w:r>
        <w:rPr>
          <w:rFonts w:hint="eastAsia" w:ascii="仿宋" w:hAnsi="仿宋" w:eastAsia="仿宋" w:cs="仿宋"/>
          <w:color w:val="000000"/>
          <w:sz w:val="30"/>
          <w:szCs w:val="30"/>
        </w:rPr>
        <w:t>依据《中华人民共和国企业破产法》（以下简称《企业破产法》）及相关</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的规定，现就债权人债权申报事宜，告知如下</w:t>
      </w:r>
      <w:r>
        <w:rPr>
          <w:rFonts w:hint="eastAsia" w:ascii="仿宋" w:hAnsi="仿宋" w:eastAsia="仿宋" w:cs="仿宋"/>
          <w:color w:val="000000"/>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80" w:line="5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债权人应当在</w:t>
      </w:r>
      <w:r>
        <w:rPr>
          <w:rFonts w:hint="eastAsia" w:ascii="仿宋" w:hAnsi="仿宋" w:eastAsia="仿宋" w:cs="仿宋"/>
          <w:color w:val="000000"/>
          <w:sz w:val="30"/>
          <w:szCs w:val="30"/>
          <w:lang w:val="en-US" w:eastAsia="zh-CN"/>
        </w:rPr>
        <w:t>怀化市中级人民法院</w:t>
      </w:r>
      <w:r>
        <w:rPr>
          <w:rFonts w:hint="eastAsia" w:ascii="仿宋" w:hAnsi="仿宋" w:eastAsia="仿宋" w:cs="仿宋"/>
          <w:color w:val="000000"/>
          <w:sz w:val="30"/>
          <w:szCs w:val="30"/>
        </w:rPr>
        <w:t>公告确定的期限内向管理人申报债权，以充分保障自身权益。</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二、申报债权应提供如下材料：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（一）申报材料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包括《债权申报</w:t>
      </w:r>
      <w:r>
        <w:rPr>
          <w:rFonts w:hint="eastAsia" w:ascii="仿宋" w:hAnsi="仿宋" w:eastAsia="仿宋" w:cs="仿宋"/>
          <w:color w:val="000000"/>
          <w:sz w:val="30"/>
          <w:szCs w:val="30"/>
          <w:lang w:val="en-US" w:eastAsia="zh-CN"/>
        </w:rPr>
        <w:t>登记</w:t>
      </w:r>
      <w:r>
        <w:rPr>
          <w:rFonts w:hint="eastAsia" w:ascii="仿宋" w:hAnsi="仿宋" w:eastAsia="仿宋" w:cs="仿宋"/>
          <w:color w:val="000000"/>
          <w:sz w:val="30"/>
          <w:szCs w:val="30"/>
        </w:rPr>
        <w:t>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债权</w:t>
      </w:r>
      <w:r>
        <w:rPr>
          <w:rFonts w:hint="eastAsia" w:ascii="仿宋" w:hAnsi="仿宋" w:eastAsia="仿宋" w:cs="仿宋"/>
          <w:color w:val="000000"/>
          <w:sz w:val="30"/>
          <w:szCs w:val="30"/>
          <w:lang w:val="en-US" w:eastAsia="zh-CN"/>
        </w:rPr>
        <w:t>计算清单</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债权申报</w:t>
      </w:r>
      <w:r>
        <w:rPr>
          <w:rFonts w:hint="eastAsia" w:ascii="仿宋" w:hAnsi="仿宋" w:eastAsia="仿宋" w:cs="仿宋"/>
          <w:color w:val="000000"/>
          <w:sz w:val="30"/>
          <w:szCs w:val="30"/>
          <w:lang w:val="en-US" w:eastAsia="zh-CN"/>
        </w:rPr>
        <w:t>证据</w:t>
      </w:r>
      <w:r>
        <w:rPr>
          <w:rFonts w:hint="eastAsia" w:ascii="仿宋" w:hAnsi="仿宋" w:eastAsia="仿宋" w:cs="仿宋"/>
          <w:color w:val="000000"/>
          <w:sz w:val="30"/>
          <w:szCs w:val="30"/>
        </w:rPr>
        <w:t>清单</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送</w:t>
      </w:r>
      <w:r>
        <w:rPr>
          <w:rFonts w:hint="eastAsia" w:ascii="仿宋" w:hAnsi="仿宋" w:eastAsia="仿宋" w:cs="仿宋"/>
          <w:color w:val="000000"/>
          <w:sz w:val="30"/>
          <w:szCs w:val="30"/>
        </w:rPr>
        <w:t>达地址及联系方式确认书》、证据材料等。</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（二）主体资格证明材料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债权人为法人或其他组织的，应提供企业法人营业执照复印件（加盖公章）、法定代表人（负责人）身份证明（原件）、法定代表人身份证复印件（签字确认）或能够证明主体资格的其他文件；</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债权人为自然人的，应提供个人身份证件（复印件签字确认）；</w:t>
      </w:r>
    </w:p>
    <w:p>
      <w:pPr>
        <w:keepNext w:val="0"/>
        <w:keepLines w:val="0"/>
        <w:pageBreakBefore w:val="0"/>
        <w:widowControl w:val="0"/>
        <w:kinsoku/>
        <w:wordWrap/>
        <w:overflowPunct/>
        <w:topLinePunct w:val="0"/>
        <w:autoSpaceDE/>
        <w:autoSpaceDN/>
        <w:bidi w:val="0"/>
        <w:adjustRightInd/>
        <w:snapToGrid/>
        <w:spacing w:line="520" w:lineRule="exact"/>
        <w:ind w:firstLine="42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委托代理人申报的，需提交代理人授权委托书（原件）及代理人身份证复印件（签字确认），委托代理人是律师的还应提交律师事务所的指派函及律师执业证复印件。</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（三）证据材料</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债权人应提供真实、合法及有效的证据，举证的范围包括但不限于：</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1、证明债权成立的合同、协议、对账单及承诺函等；</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2、收条、领条、银行流水、转账凭证、交接单等交付或支付凭证；</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3、往来函件、公告、法律文书等证明债权仍在诉讼、仲裁时效、担保期间、执行期限内的文件；</w:t>
      </w:r>
    </w:p>
    <w:p>
      <w:pPr>
        <w:keepNext w:val="0"/>
        <w:keepLines w:val="0"/>
        <w:pageBreakBefore w:val="0"/>
        <w:widowControl w:val="0"/>
        <w:kinsoku/>
        <w:wordWrap/>
        <w:overflowPunct/>
        <w:topLinePunct w:val="0"/>
        <w:autoSpaceDE/>
        <w:autoSpaceDN/>
        <w:bidi w:val="0"/>
        <w:adjustRightInd/>
        <w:snapToGrid/>
        <w:spacing w:line="520" w:lineRule="exact"/>
        <w:ind w:firstLine="42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4、如申报的债权涉及诉讼、仲裁程序，须提交</w:t>
      </w:r>
      <w:r>
        <w:rPr>
          <w:rFonts w:hint="eastAsia" w:ascii="仿宋" w:hAnsi="仿宋" w:eastAsia="仿宋" w:cs="仿宋"/>
          <w:color w:val="000000"/>
          <w:sz w:val="30"/>
          <w:szCs w:val="30"/>
          <w:lang w:eastAsia="zh-CN"/>
        </w:rPr>
        <w:t>判决书</w:t>
      </w:r>
      <w:r>
        <w:rPr>
          <w:rFonts w:hint="eastAsia" w:ascii="仿宋" w:hAnsi="仿宋" w:eastAsia="仿宋" w:cs="仿宋"/>
          <w:color w:val="000000"/>
          <w:sz w:val="30"/>
          <w:szCs w:val="30"/>
        </w:rPr>
        <w:t>、调解书、裁决书、执行立案通知书、中止执行裁定书、终结本次执行裁定书、保全裁定书等法律文书；涉及执行程序，应当提交法院出具的执行情况证明文件：</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5、有担保物权的，应当提供担保合同、担保物凭证复印件、他项权证书或其他已办理相关登记的证明；</w:t>
      </w:r>
    </w:p>
    <w:p>
      <w:pPr>
        <w:keepNext w:val="0"/>
        <w:keepLines w:val="0"/>
        <w:pageBreakBefore w:val="0"/>
        <w:widowControl w:val="0"/>
        <w:kinsoku/>
        <w:wordWrap/>
        <w:overflowPunct/>
        <w:topLinePunct w:val="0"/>
        <w:autoSpaceDE/>
        <w:autoSpaceDN/>
        <w:bidi w:val="0"/>
        <w:adjustRightInd/>
        <w:snapToGrid/>
        <w:spacing w:line="520" w:lineRule="exact"/>
        <w:ind w:firstLine="42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6、债权如有部分清偿的，须提交银行流水、转账凭证、协议等清偿材料。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三、债权申报需注意的问题</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（一）债权申报基本要求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1、如实申报。债权人应当如实申报债权，因不实申报所产生的民事、刑事责任由债权人自行承担。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完整申报。债权人应严格遵守申报规则，服从管理人工作人员的安排，在申报时一并提供主体资格证明文件原件和证据原件，以便管理人核对。管理人如认为债权人提交文件材料不完整，有权要求其补充提交文件材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3、提供原件。申报债权时应按要求提供相关原件。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申报材料原件的核对仅为形式核对，并不作为债权审核时确认该债权真实性、合法性、关联性的依据；原件经管理人核对后由债权人自行保管，如管理人、债务人、其他债权人对债权持有异议，需核对原件的，债权人应及时提供。</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sectPr>
          <w:headerReference r:id="rId3" w:type="default"/>
          <w:footerReference r:id="rId4" w:type="default"/>
          <w:type w:val="continuous"/>
          <w:pgSz w:w="11906" w:h="16838"/>
          <w:pgMar w:top="2098" w:right="1474" w:bottom="1984" w:left="1587" w:header="0" w:footer="0" w:gutter="0"/>
          <w:cols w:space="0" w:num="1"/>
          <w:titlePg/>
          <w:rtlGutter w:val="0"/>
          <w:docGrid w:type="linesAndChars" w:linePitch="288" w:charSpace="9"/>
        </w:sectPr>
      </w:pPr>
      <w:r>
        <w:rPr>
          <w:rFonts w:hint="eastAsia" w:ascii="仿宋" w:hAnsi="仿宋" w:eastAsia="仿宋" w:cs="仿宋"/>
          <w:color w:val="000000"/>
          <w:sz w:val="30"/>
          <w:szCs w:val="30"/>
        </w:rPr>
        <w:t>无论以何种方式申报，如债权人未能按管理人的要求提供申报材料原件的，其所申报的债权管理人有权不予确认。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（二）债权申报材料填写要求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color w:val="000000"/>
          <w:sz w:val="30"/>
          <w:szCs w:val="30"/>
        </w:rPr>
        <w:t>1、申报债权的金额：申报</w:t>
      </w:r>
      <w:r>
        <w:rPr>
          <w:rFonts w:hint="eastAsia" w:ascii="仿宋" w:hAnsi="仿宋" w:eastAsia="仿宋" w:cs="仿宋"/>
          <w:color w:val="000000"/>
          <w:sz w:val="30"/>
          <w:szCs w:val="30"/>
          <w:lang w:val="en-US" w:eastAsia="zh-CN"/>
        </w:rPr>
        <w:t>的</w:t>
      </w:r>
      <w:r>
        <w:rPr>
          <w:rFonts w:hint="eastAsia" w:ascii="仿宋" w:hAnsi="仿宋" w:eastAsia="仿宋" w:cs="仿宋"/>
          <w:color w:val="000000"/>
          <w:sz w:val="30"/>
          <w:szCs w:val="30"/>
        </w:rPr>
        <w:t>债权金额必须确定（同一法人、组织或个人只能申报一个债权总额）；如债权系以外币进行结算</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交易的，应以破产受理日中国人民银行公布的市场交易中间价换算成人民币后进行申报</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计算</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2、孳息债权：利息等孳息债权暂计算至人民法院裁定受理案件之日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u w:val="none"/>
        </w:rPr>
        <w:t>即202</w:t>
      </w:r>
      <w:r>
        <w:rPr>
          <w:rFonts w:hint="eastAsia" w:ascii="仿宋" w:hAnsi="仿宋" w:eastAsia="仿宋" w:cs="仿宋"/>
          <w:color w:val="000000"/>
          <w:sz w:val="30"/>
          <w:szCs w:val="30"/>
          <w:u w:val="none"/>
          <w:lang w:val="en-US" w:eastAsia="zh-CN"/>
        </w:rPr>
        <w:t>3</w:t>
      </w:r>
      <w:r>
        <w:rPr>
          <w:rFonts w:hint="eastAsia" w:ascii="仿宋" w:hAnsi="仿宋" w:eastAsia="仿宋" w:cs="仿宋"/>
          <w:color w:val="000000"/>
          <w:sz w:val="30"/>
          <w:szCs w:val="30"/>
          <w:u w:val="none"/>
        </w:rPr>
        <w:t>年</w:t>
      </w:r>
      <w:r>
        <w:rPr>
          <w:rFonts w:hint="eastAsia" w:ascii="仿宋" w:hAnsi="仿宋" w:eastAsia="仿宋" w:cs="仿宋"/>
          <w:color w:val="000000"/>
          <w:sz w:val="30"/>
          <w:szCs w:val="30"/>
          <w:u w:val="none"/>
          <w:lang w:val="en-US" w:eastAsia="zh-CN"/>
        </w:rPr>
        <w:t>11</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lang w:val="en-US" w:eastAsia="zh-CN"/>
        </w:rPr>
        <w:t>28</w:t>
      </w:r>
      <w:r>
        <w:rPr>
          <w:rFonts w:hint="eastAsia" w:ascii="仿宋" w:hAnsi="仿宋" w:eastAsia="仿宋" w:cs="仿宋"/>
          <w:color w:val="000000"/>
          <w:sz w:val="30"/>
          <w:szCs w:val="30"/>
          <w:u w:val="none"/>
        </w:rPr>
        <w:t>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债权区应按照《债权计算清单》的内容和要求进行填写，涉及多笔债权的，根据债权性质分别计算和填写。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3、基本事实：简要陈述该债权的形成经过；若涉及合同关系则该合同是否已经履行完毕要填写清楚。</w:t>
      </w:r>
    </w:p>
    <w:p>
      <w:pPr>
        <w:pStyle w:val="4"/>
        <w:pageBreakBefore w:val="0"/>
        <w:widowControl w:val="0"/>
        <w:kinsoku/>
        <w:wordWrap/>
        <w:overflowPunct/>
        <w:topLinePunct w:val="0"/>
        <w:autoSpaceDE/>
        <w:autoSpaceDN/>
        <w:bidi w:val="0"/>
        <w:adjustRightInd/>
        <w:snapToGrid/>
        <w:spacing w:line="52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4、送达地址：债权人申报债权时，应在《送达地址及联系方式确认书》中明确申报人的联系地址、邮编、电话、联系人等。</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、填写方式：</w:t>
      </w:r>
      <w:r>
        <w:rPr>
          <w:rFonts w:hint="eastAsia" w:ascii="仿宋" w:hAnsi="仿宋" w:eastAsia="仿宋" w:cs="仿宋"/>
          <w:color w:val="000000"/>
          <w:sz w:val="30"/>
          <w:szCs w:val="30"/>
          <w:lang w:val="en-US" w:eastAsia="zh-CN"/>
        </w:rPr>
        <w:t>申报文件必须用正楷字认真填写或提交打印件，提交的复印件应当清晰，字迹不清或复印件模糊导致的不利</w:t>
      </w:r>
      <w:r>
        <w:rPr>
          <w:rFonts w:hint="eastAsia" w:ascii="仿宋" w:hAnsi="仿宋" w:eastAsia="仿宋" w:cs="仿宋"/>
          <w:color w:val="000000"/>
          <w:sz w:val="30"/>
          <w:szCs w:val="30"/>
        </w:rPr>
        <w:t>法律后果由债权人自行承担。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（三）其他注意事项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根据《企业破产法》的规定，债权人在申报债权时还应当注意以下几点：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1、未到期的债权，在破产申请受理时视为到期；</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2、附条件、附期限的债权和诉讼、仲裁未决的债权，债权人可以申报；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3、债权人申报债权时，应当书面说明债权的数额、性质和有无财产担保情况；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4、连带债权人可以由其中一人代表全体连带债权人申报债权，也可以共同申报债权；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5、债务人的保证人或者其他连带债务人已经代替债务人清偿债务的，可就其对债务人的求偿权申报债权；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6、债务人的保证人或者其他连带债务人尚未代替债务人清偿债务的，以其对债务人的将来求偿权申报债权，但债权人已经向管理人申报全部债权的除外；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7、债务人或者管理人解除合同的，对方当事人以因合同解除所产生的损害赔偿请求权申报债权；</w:t>
      </w:r>
    </w:p>
    <w:p>
      <w:pPr>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8、债务人是委托合同的委托人，被裁定适用《企业破产法》规定的程序，受托人不知该事实，继续处理委托事务的，受托人以由此产生的请求权申报债权；</w:t>
      </w:r>
    </w:p>
    <w:p>
      <w:pPr>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9、债务人是票据的出票人，被裁定适用《企业破产法》规定的程序，该票据的付款人继续付款或者承兑的，付款人以由此产生的请求权申报债权；</w:t>
      </w:r>
    </w:p>
    <w:p>
      <w:pPr>
        <w:keepNext w:val="0"/>
        <w:keepLines w:val="0"/>
        <w:pageBreakBefore w:val="0"/>
        <w:widowControl w:val="0"/>
        <w:kinsoku/>
        <w:wordWrap/>
        <w:overflowPunct/>
        <w:topLinePunct w:val="0"/>
        <w:autoSpaceDE/>
        <w:autoSpaceDN/>
        <w:bidi w:val="0"/>
        <w:adjustRightInd/>
        <w:snapToGrid/>
        <w:spacing w:after="100" w:line="520" w:lineRule="exact"/>
        <w:ind w:firstLine="48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10、法律规定其他可以申报的债权，债权人有权予以申报。</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四、未申报或未按期申报债权的法律后果</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（一）债权人未申报债权，将丧失《企业破产法》规定的债权人的相关权利，包括参加债权人会议权利、表决权、异议权、接受分配财产权利等。</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（二）债权人未按期申报债权，</w:t>
      </w:r>
      <w:r>
        <w:rPr>
          <w:rFonts w:hint="eastAsia" w:ascii="仿宋" w:hAnsi="仿宋" w:eastAsia="仿宋" w:cs="仿宋"/>
          <w:color w:val="000000"/>
          <w:kern w:val="0"/>
          <w:sz w:val="30"/>
          <w:szCs w:val="30"/>
          <w:lang w:val="en-US" w:eastAsia="zh-CN" w:bidi="ar"/>
        </w:rPr>
        <w:t>可以在破产财产分配方案提交债权人会议讨论前补充申报，但对此前已进行的分配无权要求补充分配，同时要承担为审查和确认补充申报债权所产生的费用。</w:t>
      </w:r>
      <w:r>
        <w:rPr>
          <w:rFonts w:hint="eastAsia" w:ascii="仿宋" w:hAnsi="仿宋" w:eastAsia="仿宋" w:cs="仿宋"/>
          <w:sz w:val="30"/>
          <w:szCs w:val="30"/>
        </w:rPr>
        <w:drawing>
          <wp:anchor distT="0" distB="0" distL="114300" distR="114300" simplePos="0" relativeHeight="251659264" behindDoc="0" locked="0" layoutInCell="1" allowOverlap="1">
            <wp:simplePos x="0" y="0"/>
            <wp:positionH relativeFrom="page">
              <wp:posOffset>469900</wp:posOffset>
            </wp:positionH>
            <wp:positionV relativeFrom="paragraph">
              <wp:posOffset>177800</wp:posOffset>
            </wp:positionV>
            <wp:extent cx="5613400" cy="190500"/>
            <wp:effectExtent l="0" t="0" r="2540" b="4445"/>
            <wp:wrapNone/>
            <wp:docPr id="1"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WRITT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13400" cy="1905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五</w:t>
      </w:r>
      <w:r>
        <w:rPr>
          <w:rFonts w:hint="eastAsia" w:ascii="仿宋" w:hAnsi="仿宋" w:eastAsia="仿宋" w:cs="仿宋"/>
          <w:color w:val="000000"/>
          <w:sz w:val="30"/>
          <w:szCs w:val="30"/>
        </w:rPr>
        <w:t>、债权申报方式和期限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湖南中安大宗商品现货交易有限公司</w:t>
      </w:r>
      <w:r>
        <w:rPr>
          <w:rFonts w:hint="eastAsia" w:ascii="仿宋" w:hAnsi="仿宋" w:eastAsia="仿宋" w:cs="仿宋"/>
          <w:color w:val="000000"/>
          <w:sz w:val="30"/>
          <w:szCs w:val="30"/>
        </w:rPr>
        <w:t>债权人应在</w:t>
      </w:r>
      <w:r>
        <w:rPr>
          <w:rFonts w:hint="eastAsia" w:ascii="仿宋" w:hAnsi="仿宋" w:eastAsia="仿宋" w:cs="仿宋"/>
          <w:color w:val="000000"/>
          <w:sz w:val="30"/>
          <w:szCs w:val="30"/>
          <w:highlight w:val="none"/>
          <w:lang w:val="en-US" w:eastAsia="zh-CN"/>
        </w:rPr>
        <w:t>2024年6月1日前</w:t>
      </w:r>
      <w:r>
        <w:rPr>
          <w:rFonts w:hint="eastAsia" w:ascii="仿宋" w:hAnsi="仿宋" w:eastAsia="仿宋" w:cs="仿宋"/>
          <w:color w:val="000000"/>
          <w:sz w:val="30"/>
          <w:szCs w:val="30"/>
        </w:rPr>
        <w:t>，向</w:t>
      </w:r>
      <w:r>
        <w:rPr>
          <w:rFonts w:hint="eastAsia" w:ascii="仿宋" w:hAnsi="仿宋" w:eastAsia="仿宋" w:cs="仿宋"/>
          <w:sz w:val="30"/>
          <w:szCs w:val="30"/>
          <w:lang w:val="en-US" w:eastAsia="zh-CN"/>
        </w:rPr>
        <w:t>湖南中安大宗商品现货交易有限公司</w:t>
      </w:r>
      <w:r>
        <w:rPr>
          <w:rFonts w:hint="eastAsia" w:ascii="仿宋" w:hAnsi="仿宋" w:eastAsia="仿宋" w:cs="仿宋"/>
          <w:color w:val="000000"/>
          <w:sz w:val="30"/>
          <w:szCs w:val="30"/>
        </w:rPr>
        <w:t>管理人申报债权。申报的地址和联系方式：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邮寄地址：</w:t>
      </w:r>
      <w:r>
        <w:rPr>
          <w:rFonts w:hint="eastAsia" w:ascii="仿宋" w:hAnsi="仿宋" w:eastAsia="仿宋" w:cs="仿宋"/>
          <w:sz w:val="30"/>
          <w:szCs w:val="30"/>
          <w:lang w:val="en-US" w:eastAsia="zh-CN"/>
        </w:rPr>
        <w:t>湖南省怀天律师事务所（</w:t>
      </w:r>
      <w:r>
        <w:rPr>
          <w:rFonts w:hint="eastAsia" w:ascii="仿宋" w:hAnsi="仿宋" w:eastAsia="仿宋" w:cs="仿宋"/>
          <w:sz w:val="32"/>
          <w:szCs w:val="32"/>
          <w:lang w:val="en-US" w:eastAsia="zh-CN"/>
        </w:rPr>
        <w:t>怀化市鹤城区长城大酒店12楼）</w:t>
      </w:r>
      <w:r>
        <w:rPr>
          <w:rFonts w:hint="eastAsia" w:ascii="仿宋" w:hAnsi="仿宋" w:eastAsia="仿宋" w:cs="仿宋"/>
          <w:color w:val="00000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联系人和联系电话：</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陈小印 15274571556</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申报工作时间：</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color w:val="000000"/>
          <w:sz w:val="30"/>
          <w:szCs w:val="30"/>
        </w:rPr>
        <w:t>工作日</w:t>
      </w:r>
      <w:r>
        <w:rPr>
          <w:rFonts w:hint="eastAsia" w:ascii="仿宋" w:hAnsi="仿宋" w:eastAsia="仿宋" w:cs="仿宋"/>
          <w:color w:val="000000"/>
          <w:sz w:val="30"/>
          <w:szCs w:val="30"/>
          <w:lang w:val="en-US" w:eastAsia="zh-CN"/>
        </w:rPr>
        <w:t>的</w:t>
      </w:r>
      <w:r>
        <w:rPr>
          <w:rFonts w:hint="eastAsia" w:ascii="仿宋" w:hAnsi="仿宋" w:eastAsia="仿宋" w:cs="仿宋"/>
          <w:color w:val="000000"/>
          <w:sz w:val="30"/>
          <w:szCs w:val="30"/>
        </w:rPr>
        <w:t>上午9：00-11：30，下午1</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0-17：</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0</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9"/>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pPr>
        <w:keepNext w:val="0"/>
        <w:keepLines w:val="0"/>
        <w:pageBreakBefore w:val="0"/>
        <w:widowControl w:val="0"/>
        <w:kinsoku/>
        <w:wordWrap/>
        <w:overflowPunct/>
        <w:topLinePunct w:val="0"/>
        <w:autoSpaceDE/>
        <w:autoSpaceDN/>
        <w:bidi w:val="0"/>
        <w:adjustRightInd/>
        <w:snapToGrid/>
        <w:spacing w:line="520" w:lineRule="exact"/>
        <w:ind w:firstLine="639"/>
        <w:jc w:val="left"/>
        <w:textAlignment w:val="auto"/>
        <w:rPr>
          <w:rFonts w:hint="eastAsia" w:ascii="仿宋" w:hAnsi="仿宋" w:eastAsia="仿宋" w:cs="仿宋"/>
          <w:sz w:val="30"/>
          <w:szCs w:val="30"/>
          <w:lang w:val="en-US" w:eastAsia="zh-CN"/>
        </w:rPr>
      </w:pPr>
    </w:p>
    <w:p>
      <w:pPr>
        <w:pStyle w:val="4"/>
        <w:pageBreakBefore w:val="0"/>
        <w:wordWrap/>
        <w:overflowPunct/>
        <w:topLinePunct w:val="0"/>
        <w:bidi w:val="0"/>
        <w:spacing w:line="520" w:lineRule="exact"/>
        <w:jc w:val="right"/>
        <w:rPr>
          <w:rFonts w:hint="eastAsia" w:ascii="仿宋" w:hAnsi="仿宋" w:eastAsia="仿宋" w:cs="仿宋"/>
          <w:sz w:val="30"/>
          <w:szCs w:val="30"/>
          <w:lang w:val="en-US"/>
        </w:rPr>
      </w:pPr>
      <w:r>
        <w:rPr>
          <w:rFonts w:hint="eastAsia" w:ascii="仿宋" w:hAnsi="仿宋" w:eastAsia="仿宋" w:cs="仿宋"/>
          <w:b w:val="0"/>
          <w:bCs w:val="0"/>
          <w:sz w:val="30"/>
          <w:szCs w:val="30"/>
          <w:lang w:val="en-US" w:eastAsia="zh-CN"/>
        </w:rPr>
        <w:t>湖南中安大宗商品现货交易有限公司管理人</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0"/>
          <w:szCs w:val="30"/>
        </w:rPr>
        <w:sectPr>
          <w:headerReference r:id="rId5" w:type="default"/>
          <w:footerReference r:id="rId6" w:type="default"/>
          <w:type w:val="continuous"/>
          <w:pgSz w:w="11906" w:h="16838"/>
          <w:pgMar w:top="2098" w:right="1474" w:bottom="1984" w:left="1587" w:header="0" w:footer="0" w:gutter="0"/>
          <w:cols w:space="0" w:num="1"/>
          <w:titlePg/>
          <w:rtlGutter w:val="0"/>
          <w:docGrid w:type="linesAndChars" w:linePitch="288" w:charSpace="9"/>
        </w:sectPr>
      </w:pPr>
      <w:r>
        <w:rPr>
          <w:rFonts w:hint="eastAsia" w:ascii="仿宋" w:hAnsi="仿宋" w:eastAsia="仿宋" w:cs="仿宋"/>
          <w:color w:val="000000"/>
          <w:sz w:val="30"/>
          <w:szCs w:val="30"/>
          <w:lang w:val="en-US" w:eastAsia="zh-CN"/>
        </w:rPr>
        <w:t xml:space="preserve">                               2024</w:t>
      </w:r>
      <w:r>
        <w:rPr>
          <w:rFonts w:hint="eastAsia" w:ascii="仿宋" w:hAnsi="仿宋" w:eastAsia="仿宋" w:cs="仿宋"/>
          <w:b w:val="0"/>
          <w:bCs w:val="0"/>
          <w:color w:val="000000"/>
          <w:sz w:val="30"/>
          <w:szCs w:val="30"/>
          <w:highlight w:val="none"/>
        </w:rPr>
        <w:t>年</w:t>
      </w:r>
      <w:r>
        <w:rPr>
          <w:rFonts w:hint="eastAsia" w:ascii="仿宋" w:hAnsi="仿宋" w:eastAsia="仿宋" w:cs="仿宋"/>
          <w:b w:val="0"/>
          <w:bCs w:val="0"/>
          <w:color w:val="000000"/>
          <w:sz w:val="30"/>
          <w:szCs w:val="30"/>
          <w:highlight w:val="none"/>
          <w:lang w:val="en-US" w:eastAsia="zh-CN"/>
        </w:rPr>
        <w:t>5</w:t>
      </w:r>
      <w:r>
        <w:rPr>
          <w:rFonts w:hint="eastAsia" w:ascii="仿宋" w:hAnsi="仿宋" w:eastAsia="仿宋" w:cs="仿宋"/>
          <w:b w:val="0"/>
          <w:bCs w:val="0"/>
          <w:color w:val="000000"/>
          <w:sz w:val="30"/>
          <w:szCs w:val="30"/>
          <w:highlight w:val="none"/>
        </w:rPr>
        <w:t>月</w:t>
      </w:r>
      <w:r>
        <w:rPr>
          <w:rFonts w:hint="eastAsia" w:ascii="仿宋" w:hAnsi="仿宋" w:eastAsia="仿宋" w:cs="仿宋"/>
          <w:b w:val="0"/>
          <w:bCs w:val="0"/>
          <w:color w:val="000000"/>
          <w:sz w:val="30"/>
          <w:szCs w:val="30"/>
          <w:highlight w:val="none"/>
          <w:lang w:val="en-US" w:eastAsia="zh-CN"/>
        </w:rPr>
        <w:t>8</w:t>
      </w:r>
      <w:r>
        <w:rPr>
          <w:rFonts w:hint="eastAsia" w:ascii="仿宋" w:hAnsi="仿宋" w:eastAsia="仿宋" w:cs="仿宋"/>
          <w:b w:val="0"/>
          <w:bCs w:val="0"/>
          <w:color w:val="000000"/>
          <w:sz w:val="30"/>
          <w:szCs w:val="30"/>
          <w:highlight w:val="none"/>
        </w:rPr>
        <w:t>日</w:t>
      </w:r>
      <w:r>
        <w:rPr>
          <w:rFonts w:hint="eastAsia" w:ascii="仿宋" w:hAnsi="仿宋" w:eastAsia="仿宋" w:cs="仿宋"/>
          <w:sz w:val="30"/>
          <w:szCs w:val="30"/>
        </w:rPr>
        <w:drawing>
          <wp:anchor distT="0" distB="0" distL="114300" distR="114300" simplePos="0" relativeHeight="251659264" behindDoc="0" locked="0" layoutInCell="1" allowOverlap="1">
            <wp:simplePos x="0" y="0"/>
            <wp:positionH relativeFrom="page">
              <wp:posOffset>12484100</wp:posOffset>
            </wp:positionH>
            <wp:positionV relativeFrom="paragraph">
              <wp:posOffset>-457200</wp:posOffset>
            </wp:positionV>
            <wp:extent cx="3251200" cy="393700"/>
            <wp:effectExtent l="0" t="0" r="2540" b="4445"/>
            <wp:wrapNone/>
            <wp:docPr id="3"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WRITT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51200" cy="393700"/>
                    </a:xfrm>
                    <a:prstGeom prst="rect">
                      <a:avLst/>
                    </a:prstGeom>
                  </pic:spPr>
                </pic:pic>
              </a:graphicData>
            </a:graphic>
          </wp:anchor>
        </w:drawing>
      </w:r>
      <w:r>
        <w:rPr>
          <w:rFonts w:hint="eastAsia" w:ascii="仿宋" w:hAnsi="仿宋" w:eastAsia="仿宋" w:cs="仿宋"/>
          <w:sz w:val="30"/>
          <w:szCs w:val="30"/>
        </w:rPr>
        <w:drawing>
          <wp:anchor distT="0" distB="0" distL="114300" distR="114300" simplePos="0" relativeHeight="251659264" behindDoc="0" locked="0" layoutInCell="1" allowOverlap="1">
            <wp:simplePos x="0" y="0"/>
            <wp:positionH relativeFrom="page">
              <wp:posOffset>12484100</wp:posOffset>
            </wp:positionH>
            <wp:positionV relativeFrom="paragraph">
              <wp:posOffset>-457200</wp:posOffset>
            </wp:positionV>
            <wp:extent cx="3251200" cy="393700"/>
            <wp:effectExtent l="0" t="0" r="2540" b="4445"/>
            <wp:wrapNone/>
            <wp:docPr id="4"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WRITT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51200" cy="3937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type w:val="continuous"/>
      <w:pgSz w:w="11906" w:h="16838"/>
      <w:pgMar w:top="2098" w:right="1474" w:bottom="1984" w:left="1587" w:header="0" w:footer="0" w:gutter="0"/>
      <w:cols w:space="0" w:num="1"/>
      <w:rtlGutter w:val="0"/>
      <w:docGrid w:type="linesAndChars" w:linePitch="288" w:charSpace="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388588B4-23F6-4ED8-A0EA-162C5700E9DD}"/>
  </w:font>
  <w:font w:name="仿宋">
    <w:panose1 w:val="02010609060101010101"/>
    <w:charset w:val="86"/>
    <w:family w:val="auto"/>
    <w:pitch w:val="default"/>
    <w:sig w:usb0="800002BF" w:usb1="38CF7CFA" w:usb2="00000016" w:usb3="00000000" w:csb0="00040001" w:csb1="00000000"/>
    <w:embedRegular r:id="rId2" w:fontKey="{87629EC3-F2A1-44EA-B4F5-1BE8E7B439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7A517"/>
    <w:multiLevelType w:val="singleLevel"/>
    <w:tmpl w:val="6967A517"/>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MTY4ZjRjNTc3MjA3ZDg0MDU1MDlhOTQ1NjMzZTUifQ=="/>
  </w:docVars>
  <w:rsids>
    <w:rsidRoot w:val="00BD0BC8"/>
    <w:rsid w:val="000D6051"/>
    <w:rsid w:val="009F0BE0"/>
    <w:rsid w:val="00BA6D97"/>
    <w:rsid w:val="00BD0BC8"/>
    <w:rsid w:val="05691DB8"/>
    <w:rsid w:val="08B4315A"/>
    <w:rsid w:val="0901040D"/>
    <w:rsid w:val="112C7CBB"/>
    <w:rsid w:val="116C0AA4"/>
    <w:rsid w:val="1B7C5DF8"/>
    <w:rsid w:val="20FC5001"/>
    <w:rsid w:val="25B5302E"/>
    <w:rsid w:val="29B92F47"/>
    <w:rsid w:val="29EE48EF"/>
    <w:rsid w:val="2B353839"/>
    <w:rsid w:val="2D020D59"/>
    <w:rsid w:val="31216728"/>
    <w:rsid w:val="33366179"/>
    <w:rsid w:val="36621745"/>
    <w:rsid w:val="41460A0E"/>
    <w:rsid w:val="44E30D43"/>
    <w:rsid w:val="46A56E56"/>
    <w:rsid w:val="4E19322E"/>
    <w:rsid w:val="4E4D235E"/>
    <w:rsid w:val="52F6578D"/>
    <w:rsid w:val="5B396BEE"/>
    <w:rsid w:val="5BF15561"/>
    <w:rsid w:val="61AF6CC2"/>
    <w:rsid w:val="6750098D"/>
    <w:rsid w:val="691C73CA"/>
    <w:rsid w:val="723426C9"/>
    <w:rsid w:val="72D66D46"/>
    <w:rsid w:val="73E85D8E"/>
    <w:rsid w:val="745201E6"/>
    <w:rsid w:val="76B10FCA"/>
    <w:rsid w:val="7CE64029"/>
    <w:rsid w:val="7E95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2"/>
    <w:basedOn w:val="1"/>
    <w:next w:val="1"/>
    <w:autoRedefine/>
    <w:qFormat/>
    <w:uiPriority w:val="0"/>
    <w:pPr>
      <w:keepNext/>
      <w:keepLines/>
      <w:spacing w:before="260" w:after="260" w:line="416" w:lineRule="auto"/>
      <w:jc w:val="both"/>
      <w:textAlignment w:val="baseline"/>
    </w:pPr>
    <w:rPr>
      <w:rFonts w:ascii="Arial" w:hAnsi="Arial" w:eastAsia="黑体" w:cs="Arial"/>
      <w:b/>
      <w:bCs/>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2023-07-24T08:44:00Z</dcterms:created>
  <dc:creator>INTSIG</dc:creator>
  <dc:description>Intsig Word Converter</dc:description>
  <cp:lastModifiedBy>明天</cp:lastModifiedBy>
  <dcterms:modified xsi:type="dcterms:W3CDTF">2024-05-08T15:15:10Z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495D9B2B03874F7C85EB808C7348FF80_13</vt:lpwstr>
  </property>
</Properties>
</file>