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ascii="仿宋" w:hAnsi="仿宋" w:eastAsia="仿宋" w:cs="宋体"/>
          <w:b/>
          <w:kern w:val="0"/>
          <w:sz w:val="36"/>
          <w:szCs w:val="36"/>
        </w:rPr>
      </w:pPr>
      <w:r>
        <w:rPr>
          <w:rFonts w:hint="eastAsia" w:ascii="仿宋" w:hAnsi="仿宋" w:eastAsia="仿宋" w:cs="宋体"/>
          <w:b/>
          <w:kern w:val="0"/>
          <w:sz w:val="36"/>
          <w:szCs w:val="36"/>
        </w:rPr>
        <w:t>债权人送达地址确认书</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701"/>
        <w:gridCol w:w="2268"/>
        <w:gridCol w:w="1276"/>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71" w:type="dxa"/>
            <w:vAlign w:val="center"/>
          </w:tcPr>
          <w:p>
            <w:pPr>
              <w:widowControl/>
              <w:jc w:val="center"/>
              <w:rPr>
                <w:rFonts w:ascii="仿宋" w:hAnsi="仿宋" w:eastAsia="仿宋"/>
                <w:sz w:val="24"/>
              </w:rPr>
            </w:pPr>
            <w:r>
              <w:rPr>
                <w:rFonts w:hint="eastAsia" w:ascii="仿宋" w:hAnsi="仿宋" w:eastAsia="仿宋"/>
                <w:sz w:val="24"/>
              </w:rPr>
              <w:t>债权人</w:t>
            </w:r>
          </w:p>
        </w:tc>
        <w:tc>
          <w:tcPr>
            <w:tcW w:w="7796" w:type="dxa"/>
            <w:gridSpan w:val="4"/>
            <w:vAlign w:val="center"/>
          </w:tcPr>
          <w:p>
            <w:pPr>
              <w:widowControl/>
              <w:jc w:val="center"/>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7" w:hRule="atLeast"/>
          <w:jc w:val="center"/>
        </w:trPr>
        <w:tc>
          <w:tcPr>
            <w:tcW w:w="1271" w:type="dxa"/>
            <w:vAlign w:val="center"/>
          </w:tcPr>
          <w:p>
            <w:pPr>
              <w:rPr>
                <w:rFonts w:ascii="仿宋" w:hAnsi="仿宋" w:eastAsia="仿宋"/>
                <w:sz w:val="24"/>
              </w:rPr>
            </w:pPr>
            <w:r>
              <w:rPr>
                <w:rFonts w:hint="eastAsia" w:ascii="仿宋" w:hAnsi="仿宋" w:eastAsia="仿宋"/>
                <w:sz w:val="24"/>
              </w:rPr>
              <w:t>告知事项</w:t>
            </w:r>
          </w:p>
        </w:tc>
        <w:tc>
          <w:tcPr>
            <w:tcW w:w="7796" w:type="dxa"/>
            <w:gridSpan w:val="4"/>
            <w:vAlign w:val="center"/>
          </w:tcPr>
          <w:p>
            <w:pPr>
              <w:ind w:firstLine="480" w:firstLineChars="200"/>
              <w:rPr>
                <w:rFonts w:ascii="仿宋" w:hAnsi="仿宋" w:eastAsia="仿宋"/>
                <w:sz w:val="24"/>
              </w:rPr>
            </w:pPr>
            <w:r>
              <w:rPr>
                <w:rFonts w:hint="eastAsia" w:ascii="仿宋" w:hAnsi="仿宋" w:eastAsia="仿宋"/>
                <w:sz w:val="24"/>
              </w:rPr>
              <w:t>一、为便于债权人及时收到本案相关文书及信息，保证破产程序顺利进行，债权人应当如实提供确切的送达地址及本表中列明的电子送达方式之有效信息。</w:t>
            </w:r>
          </w:p>
          <w:p>
            <w:pPr>
              <w:ind w:firstLine="480" w:firstLineChars="200"/>
              <w:rPr>
                <w:rFonts w:ascii="仿宋" w:hAnsi="仿宋" w:eastAsia="仿宋"/>
                <w:b/>
                <w:bCs/>
                <w:sz w:val="24"/>
              </w:rPr>
            </w:pPr>
            <w:r>
              <w:rPr>
                <w:rFonts w:hint="eastAsia" w:ascii="仿宋" w:hAnsi="仿宋" w:eastAsia="仿宋"/>
                <w:sz w:val="24"/>
              </w:rPr>
              <w:t>二、为提高送达效率，</w:t>
            </w:r>
            <w:r>
              <w:rPr>
                <w:rFonts w:hint="eastAsia" w:ascii="仿宋" w:hAnsi="仿宋" w:eastAsia="仿宋"/>
                <w:b/>
                <w:bCs/>
                <w:sz w:val="24"/>
              </w:rPr>
              <w:t>管理人可以采用全国企业破产重整案件信息网</w:t>
            </w:r>
            <w:r>
              <w:rPr>
                <w:rFonts w:ascii="仿宋" w:hAnsi="仿宋" w:eastAsia="仿宋"/>
                <w:sz w:val="24"/>
                <w:szCs w:val="24"/>
              </w:rPr>
              <w:t>、</w:t>
            </w:r>
            <w:r>
              <w:rPr>
                <w:rFonts w:hint="eastAsia" w:ascii="仿宋" w:hAnsi="仿宋" w:eastAsia="仿宋"/>
                <w:b/>
                <w:bCs/>
                <w:sz w:val="24"/>
              </w:rPr>
              <w:t>快递邮寄、电子邮件、移动通信（电话、短信、彩信）、微信等方式向债权人送达本案相关文书及信息（包括但不限于案件进程、债权人会议通知及会议资料、债权表等）。管理人以上述任一方式送达均视为有效送达。</w:t>
            </w:r>
          </w:p>
          <w:p>
            <w:pPr>
              <w:ind w:firstLine="480" w:firstLineChars="200"/>
              <w:rPr>
                <w:rFonts w:ascii="仿宋" w:hAnsi="仿宋" w:eastAsia="仿宋"/>
                <w:sz w:val="24"/>
              </w:rPr>
            </w:pPr>
            <w:r>
              <w:rPr>
                <w:rFonts w:hint="eastAsia" w:ascii="仿宋" w:hAnsi="仿宋" w:eastAsia="仿宋"/>
                <w:sz w:val="24"/>
              </w:rPr>
              <w:t>三、确认的送达地址及电子送达信息适用于各个破产程序，以及同期</w:t>
            </w:r>
            <w:r>
              <w:rPr>
                <w:rFonts w:hint="default" w:ascii="仿宋" w:hAnsi="仿宋" w:eastAsia="仿宋"/>
                <w:sz w:val="24"/>
                <w:woUserID w:val="1"/>
              </w:rPr>
              <w:t>与</w:t>
            </w:r>
            <w:bookmarkStart w:id="16" w:name="_GoBack"/>
            <w:bookmarkEnd w:id="16"/>
            <w:r>
              <w:rPr>
                <w:rFonts w:hint="eastAsia" w:ascii="仿宋" w:hAnsi="仿宋" w:eastAsia="仿宋"/>
                <w:sz w:val="24"/>
              </w:rPr>
              <w:t>破产事务相关的其他事项。</w:t>
            </w:r>
          </w:p>
          <w:p>
            <w:pPr>
              <w:ind w:firstLine="480" w:firstLineChars="200"/>
              <w:rPr>
                <w:rFonts w:ascii="仿宋" w:hAnsi="仿宋" w:eastAsia="仿宋"/>
                <w:sz w:val="24"/>
              </w:rPr>
            </w:pPr>
            <w:r>
              <w:rPr>
                <w:rFonts w:hint="eastAsia" w:ascii="仿宋" w:hAnsi="仿宋" w:eastAsia="仿宋"/>
                <w:sz w:val="24"/>
              </w:rPr>
              <w:t>四、债权人的送达地址/电子送达信息发生变更的，应当及时告知管理人变更后的送达地址/电子送达信息。</w:t>
            </w:r>
          </w:p>
          <w:p>
            <w:pPr>
              <w:ind w:firstLine="480" w:firstLineChars="200"/>
              <w:rPr>
                <w:rFonts w:ascii="仿宋" w:hAnsi="仿宋" w:eastAsia="仿宋"/>
                <w:szCs w:val="21"/>
              </w:rPr>
            </w:pPr>
            <w:r>
              <w:rPr>
                <w:rFonts w:hint="eastAsia" w:ascii="仿宋" w:hAnsi="仿宋" w:eastAsia="仿宋"/>
                <w:sz w:val="24"/>
              </w:rPr>
              <w:t>五、债权人提供的地址/电子送达信息不准确、不确切，或不及时告知变更后的地址/电子送达信息，导致有关文书、通知无法送达或未及时送达的，自文书、材料等邮寄退回或管理人按照债权人提供的手机号码、电子邮箱进行发送但发送失败之日视为送达之日，债权人应承担由此引起的一切法律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1271" w:type="dxa"/>
            <w:vMerge w:val="restart"/>
            <w:vAlign w:val="center"/>
          </w:tcPr>
          <w:p>
            <w:pPr>
              <w:jc w:val="left"/>
              <w:rPr>
                <w:rFonts w:ascii="仿宋" w:hAnsi="仿宋" w:eastAsia="仿宋"/>
                <w:sz w:val="24"/>
              </w:rPr>
            </w:pPr>
            <w:r>
              <w:rPr>
                <w:rFonts w:hint="eastAsia" w:ascii="仿宋" w:hAnsi="仿宋" w:eastAsia="仿宋"/>
                <w:sz w:val="24"/>
              </w:rPr>
              <w:t>送达地址及电子送达信息</w:t>
            </w:r>
          </w:p>
        </w:tc>
        <w:tc>
          <w:tcPr>
            <w:tcW w:w="1701" w:type="dxa"/>
            <w:vAlign w:val="center"/>
          </w:tcPr>
          <w:p>
            <w:pPr>
              <w:rPr>
                <w:rFonts w:ascii="仿宋" w:hAnsi="仿宋" w:eastAsia="仿宋"/>
                <w:sz w:val="24"/>
              </w:rPr>
            </w:pPr>
            <w:r>
              <w:rPr>
                <w:rFonts w:hint="eastAsia" w:ascii="仿宋" w:hAnsi="仿宋" w:eastAsia="仿宋"/>
                <w:sz w:val="24"/>
              </w:rPr>
              <w:t>指定送达人</w:t>
            </w:r>
          </w:p>
        </w:tc>
        <w:tc>
          <w:tcPr>
            <w:tcW w:w="2268" w:type="dxa"/>
            <w:vAlign w:val="center"/>
          </w:tcPr>
          <w:p>
            <w:pPr>
              <w:rPr>
                <w:rFonts w:ascii="仿宋" w:hAnsi="仿宋" w:eastAsia="仿宋"/>
                <w:sz w:val="24"/>
              </w:rPr>
            </w:pPr>
          </w:p>
        </w:tc>
        <w:tc>
          <w:tcPr>
            <w:tcW w:w="1276" w:type="dxa"/>
            <w:vAlign w:val="center"/>
          </w:tcPr>
          <w:p>
            <w:pPr>
              <w:rPr>
                <w:rFonts w:ascii="仿宋" w:hAnsi="仿宋" w:eastAsia="仿宋"/>
                <w:sz w:val="24"/>
              </w:rPr>
            </w:pPr>
            <w:r>
              <w:rPr>
                <w:rFonts w:hint="eastAsia" w:ascii="仿宋" w:hAnsi="仿宋" w:eastAsia="仿宋"/>
                <w:sz w:val="24"/>
              </w:rPr>
              <w:t>联系电话</w:t>
            </w:r>
          </w:p>
        </w:tc>
        <w:tc>
          <w:tcPr>
            <w:tcW w:w="2551" w:type="dxa"/>
            <w:vAlign w:val="center"/>
          </w:tcPr>
          <w:p>
            <w:pPr>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271" w:type="dxa"/>
            <w:vMerge w:val="continue"/>
            <w:vAlign w:val="center"/>
          </w:tcPr>
          <w:p>
            <w:pPr>
              <w:jc w:val="left"/>
              <w:rPr>
                <w:rFonts w:ascii="仿宋" w:hAnsi="仿宋" w:eastAsia="仿宋"/>
                <w:sz w:val="24"/>
              </w:rPr>
            </w:pPr>
          </w:p>
        </w:tc>
        <w:tc>
          <w:tcPr>
            <w:tcW w:w="1701" w:type="dxa"/>
            <w:vAlign w:val="center"/>
          </w:tcPr>
          <w:p>
            <w:pPr>
              <w:rPr>
                <w:rFonts w:ascii="仿宋" w:hAnsi="仿宋" w:eastAsia="仿宋"/>
                <w:sz w:val="24"/>
              </w:rPr>
            </w:pPr>
            <w:r>
              <w:rPr>
                <w:rFonts w:hint="eastAsia" w:ascii="仿宋" w:hAnsi="仿宋" w:eastAsia="仿宋"/>
                <w:sz w:val="24"/>
              </w:rPr>
              <w:t>邮寄送达地址</w:t>
            </w:r>
          </w:p>
        </w:tc>
        <w:tc>
          <w:tcPr>
            <w:tcW w:w="6095" w:type="dxa"/>
            <w:gridSpan w:val="3"/>
            <w:vAlign w:val="center"/>
          </w:tcPr>
          <w:p>
            <w:pPr>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1271" w:type="dxa"/>
            <w:vMerge w:val="continue"/>
            <w:vAlign w:val="center"/>
          </w:tcPr>
          <w:p>
            <w:pPr>
              <w:jc w:val="left"/>
              <w:rPr>
                <w:rFonts w:ascii="仿宋" w:hAnsi="仿宋" w:eastAsia="仿宋"/>
                <w:sz w:val="24"/>
              </w:rPr>
            </w:pPr>
          </w:p>
        </w:tc>
        <w:tc>
          <w:tcPr>
            <w:tcW w:w="1701" w:type="dxa"/>
            <w:vMerge w:val="restart"/>
            <w:vAlign w:val="center"/>
          </w:tcPr>
          <w:p>
            <w:pPr>
              <w:rPr>
                <w:rFonts w:ascii="仿宋" w:hAnsi="仿宋" w:eastAsia="仿宋"/>
                <w:sz w:val="24"/>
              </w:rPr>
            </w:pPr>
            <w:r>
              <w:rPr>
                <w:rFonts w:hint="eastAsia" w:ascii="仿宋" w:hAnsi="仿宋" w:eastAsia="仿宋"/>
                <w:sz w:val="24"/>
              </w:rPr>
              <w:t>电子送达信息</w:t>
            </w:r>
          </w:p>
        </w:tc>
        <w:tc>
          <w:tcPr>
            <w:tcW w:w="2268" w:type="dxa"/>
            <w:vAlign w:val="center"/>
          </w:tcPr>
          <w:p>
            <w:pPr>
              <w:rPr>
                <w:rFonts w:ascii="仿宋" w:hAnsi="仿宋" w:eastAsia="仿宋"/>
                <w:sz w:val="24"/>
              </w:rPr>
            </w:pPr>
            <w:r>
              <w:rPr>
                <w:rFonts w:hint="eastAsia" w:ascii="仿宋" w:hAnsi="仿宋" w:eastAsia="仿宋"/>
                <w:sz w:val="24"/>
              </w:rPr>
              <w:t>电子邮箱</w:t>
            </w:r>
          </w:p>
        </w:tc>
        <w:tc>
          <w:tcPr>
            <w:tcW w:w="3827" w:type="dxa"/>
            <w:gridSpan w:val="2"/>
            <w:vAlign w:val="center"/>
          </w:tcPr>
          <w:p>
            <w:pPr>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1271" w:type="dxa"/>
            <w:vMerge w:val="continue"/>
            <w:vAlign w:val="center"/>
          </w:tcPr>
          <w:p>
            <w:pPr>
              <w:jc w:val="left"/>
              <w:rPr>
                <w:rFonts w:ascii="仿宋" w:hAnsi="仿宋" w:eastAsia="仿宋"/>
                <w:sz w:val="24"/>
              </w:rPr>
            </w:pPr>
          </w:p>
        </w:tc>
        <w:tc>
          <w:tcPr>
            <w:tcW w:w="1701" w:type="dxa"/>
            <w:vMerge w:val="continue"/>
            <w:vAlign w:val="center"/>
          </w:tcPr>
          <w:p>
            <w:pPr>
              <w:rPr>
                <w:rFonts w:ascii="仿宋" w:hAnsi="仿宋" w:eastAsia="仿宋"/>
                <w:sz w:val="24"/>
              </w:rPr>
            </w:pPr>
          </w:p>
        </w:tc>
        <w:tc>
          <w:tcPr>
            <w:tcW w:w="2268" w:type="dxa"/>
            <w:vAlign w:val="center"/>
          </w:tcPr>
          <w:p>
            <w:pPr>
              <w:rPr>
                <w:rFonts w:ascii="仿宋" w:hAnsi="仿宋" w:eastAsia="仿宋"/>
                <w:sz w:val="24"/>
              </w:rPr>
            </w:pPr>
            <w:r>
              <w:rPr>
                <w:rFonts w:hint="eastAsia" w:ascii="仿宋" w:hAnsi="仿宋" w:eastAsia="仿宋"/>
                <w:sz w:val="24"/>
              </w:rPr>
              <w:t>微信账号</w:t>
            </w:r>
          </w:p>
        </w:tc>
        <w:tc>
          <w:tcPr>
            <w:tcW w:w="3827" w:type="dxa"/>
            <w:gridSpan w:val="2"/>
            <w:vAlign w:val="center"/>
          </w:tcPr>
          <w:p>
            <w:pPr>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1271" w:type="dxa"/>
            <w:vMerge w:val="continue"/>
            <w:vAlign w:val="center"/>
          </w:tcPr>
          <w:p>
            <w:pPr>
              <w:jc w:val="left"/>
              <w:rPr>
                <w:rFonts w:ascii="仿宋" w:hAnsi="仿宋" w:eastAsia="仿宋"/>
                <w:sz w:val="24"/>
              </w:rPr>
            </w:pPr>
          </w:p>
        </w:tc>
        <w:tc>
          <w:tcPr>
            <w:tcW w:w="1701" w:type="dxa"/>
            <w:vMerge w:val="continue"/>
            <w:vAlign w:val="center"/>
          </w:tcPr>
          <w:p>
            <w:pPr>
              <w:rPr>
                <w:rFonts w:ascii="仿宋" w:hAnsi="仿宋" w:eastAsia="仿宋"/>
                <w:sz w:val="24"/>
              </w:rPr>
            </w:pPr>
          </w:p>
        </w:tc>
        <w:tc>
          <w:tcPr>
            <w:tcW w:w="6095" w:type="dxa"/>
            <w:gridSpan w:val="3"/>
            <w:vAlign w:val="center"/>
          </w:tcPr>
          <w:p>
            <w:pPr>
              <w:rPr>
                <w:rFonts w:ascii="仿宋" w:hAnsi="仿宋" w:eastAsia="仿宋"/>
                <w:sz w:val="24"/>
              </w:rPr>
            </w:pPr>
            <w:r>
              <w:rPr>
                <w:rFonts w:hint="eastAsia" w:ascii="仿宋" w:hAnsi="仿宋" w:eastAsia="仿宋"/>
                <w:sz w:val="24"/>
                <w:szCs w:val="24"/>
              </w:rPr>
              <w:t>全国企业破产重整案件信息网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1" w:hRule="atLeast"/>
          <w:jc w:val="center"/>
        </w:trPr>
        <w:tc>
          <w:tcPr>
            <w:tcW w:w="1271" w:type="dxa"/>
            <w:vAlign w:val="center"/>
          </w:tcPr>
          <w:p>
            <w:pPr>
              <w:jc w:val="left"/>
              <w:rPr>
                <w:rFonts w:ascii="仿宋" w:hAnsi="仿宋" w:eastAsia="仿宋"/>
                <w:sz w:val="24"/>
              </w:rPr>
            </w:pPr>
            <w:r>
              <w:rPr>
                <w:rFonts w:hint="eastAsia" w:ascii="仿宋" w:hAnsi="仿宋" w:eastAsia="仿宋"/>
                <w:sz w:val="24"/>
              </w:rPr>
              <w:t>债权人确认</w:t>
            </w:r>
          </w:p>
        </w:tc>
        <w:tc>
          <w:tcPr>
            <w:tcW w:w="7796" w:type="dxa"/>
            <w:gridSpan w:val="4"/>
            <w:vAlign w:val="center"/>
          </w:tcPr>
          <w:p>
            <w:pPr>
              <w:ind w:firstLine="480" w:firstLineChars="200"/>
              <w:rPr>
                <w:rFonts w:ascii="仿宋" w:hAnsi="仿宋" w:eastAsia="仿宋"/>
                <w:sz w:val="24"/>
              </w:rPr>
            </w:pPr>
            <w:r>
              <w:rPr>
                <w:rFonts w:hint="eastAsia" w:ascii="仿宋" w:hAnsi="仿宋" w:eastAsia="仿宋"/>
                <w:sz w:val="24"/>
              </w:rPr>
              <w:t>我（单位）已阅读并理解本送达地址确认书的上述告知事项，同意管理人通过上述送达方式向我（单位）送达本案文件及信息。在此向管理人提供、确认上述送达地址及电子送达信息，并保证上述送达地址及电子送达信息准确、有效。</w:t>
            </w:r>
          </w:p>
          <w:p>
            <w:pPr>
              <w:rPr>
                <w:rFonts w:ascii="仿宋" w:hAnsi="仿宋" w:eastAsia="仿宋"/>
                <w:sz w:val="24"/>
              </w:rPr>
            </w:pPr>
          </w:p>
          <w:p>
            <w:pPr>
              <w:ind w:right="960" w:firstLine="1200" w:firstLineChars="500"/>
              <w:rPr>
                <w:rFonts w:ascii="仿宋" w:hAnsi="仿宋" w:eastAsia="仿宋"/>
                <w:sz w:val="24"/>
              </w:rPr>
            </w:pPr>
            <w:r>
              <w:rPr>
                <w:rFonts w:hint="eastAsia" w:ascii="仿宋" w:hAnsi="仿宋" w:eastAsia="仿宋"/>
                <w:sz w:val="24"/>
              </w:rPr>
              <w:t xml:space="preserve">债权人或其受托人签名、盖章： </w:t>
            </w:r>
            <w:r>
              <w:rPr>
                <w:rFonts w:ascii="仿宋" w:hAnsi="仿宋" w:eastAsia="仿宋"/>
                <w:sz w:val="24"/>
              </w:rPr>
              <w:t xml:space="preserve">    </w:t>
            </w:r>
            <w:r>
              <w:rPr>
                <w:rFonts w:hint="eastAsia" w:ascii="仿宋" w:hAnsi="仿宋" w:eastAsia="仿宋"/>
                <w:sz w:val="24"/>
              </w:rPr>
              <w:t xml:space="preserve">    </w:t>
            </w:r>
          </w:p>
          <w:p>
            <w:pPr>
              <w:ind w:firstLine="3720" w:firstLineChars="1550"/>
              <w:rPr>
                <w:rFonts w:ascii="仿宋" w:hAnsi="仿宋" w:eastAsia="仿宋"/>
                <w:sz w:val="24"/>
              </w:rPr>
            </w:pP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 xml:space="preserve"> 月 </w:t>
            </w:r>
            <w:r>
              <w:rPr>
                <w:rFonts w:ascii="仿宋" w:hAnsi="仿宋" w:eastAsia="仿宋"/>
                <w:sz w:val="24"/>
              </w:rPr>
              <w:t xml:space="preserve"> </w:t>
            </w:r>
            <w:r>
              <w:rPr>
                <w:rFonts w:hint="eastAsia" w:ascii="仿宋" w:hAnsi="仿宋" w:eastAsia="仿宋"/>
                <w:sz w:val="24"/>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271" w:type="dxa"/>
            <w:vAlign w:val="center"/>
          </w:tcPr>
          <w:p>
            <w:pPr>
              <w:jc w:val="center"/>
              <w:rPr>
                <w:rFonts w:ascii="仿宋" w:hAnsi="仿宋" w:eastAsia="仿宋"/>
                <w:sz w:val="24"/>
              </w:rPr>
            </w:pPr>
            <w:r>
              <w:rPr>
                <w:rFonts w:hint="eastAsia" w:ascii="仿宋" w:hAnsi="仿宋" w:eastAsia="仿宋"/>
                <w:sz w:val="24"/>
              </w:rPr>
              <w:t>备注</w:t>
            </w:r>
          </w:p>
        </w:tc>
        <w:tc>
          <w:tcPr>
            <w:tcW w:w="7796" w:type="dxa"/>
            <w:gridSpan w:val="4"/>
            <w:vAlign w:val="center"/>
          </w:tcPr>
          <w:p>
            <w:pPr>
              <w:rPr>
                <w:rFonts w:ascii="仿宋" w:hAnsi="仿宋" w:eastAsia="仿宋"/>
                <w:sz w:val="24"/>
              </w:rPr>
            </w:pPr>
          </w:p>
        </w:tc>
      </w:tr>
    </w:tbl>
    <w:p>
      <w:pPr>
        <w:tabs>
          <w:tab w:val="left" w:pos="540"/>
        </w:tabs>
        <w:ind w:right="119"/>
        <w:jc w:val="left"/>
        <w:rPr>
          <w:rFonts w:ascii="仿宋" w:hAnsi="仿宋" w:eastAsia="仿宋"/>
          <w:sz w:val="24"/>
          <w:szCs w:val="28"/>
        </w:rPr>
      </w:pPr>
    </w:p>
    <w:sectPr>
      <w:headerReference r:id="rId3" w:type="first"/>
      <w:footerReference r:id="rId4"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Calibri Light">
    <w:altName w:val="Century Gothic"/>
    <w:panose1 w:val="020F0302020204030204"/>
    <w:charset w:val="00"/>
    <w:family w:val="swiss"/>
    <w:pitch w:val="default"/>
    <w:sig w:usb0="00000000" w:usb1="00000000" w:usb2="00000009" w:usb3="00000000" w:csb0="000001FF" w:csb1="00000000"/>
  </w:font>
  <w:font w:name="汉仪仿宋KW">
    <w:panose1 w:val="00020600040101010101"/>
    <w:charset w:val="86"/>
    <w:family w:val="auto"/>
    <w:pitch w:val="default"/>
    <w:sig w:usb0="A00002BF" w:usb1="18EF7CFA" w:usb2="00000016" w:usb3="00000000" w:csb0="00040000" w:csb1="00000000"/>
  </w:font>
  <w:font w:name="Century Gothic">
    <w:panose1 w:val="020B05020202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rPr>
        <w:rFonts w:ascii="仿宋" w:hAnsi="仿宋" w:eastAsia="仿宋"/>
        <w:bCs/>
        <w:sz w:val="16"/>
        <w:szCs w:val="16"/>
      </w:rPr>
    </w:pPr>
    <w:bookmarkStart w:id="0" w:name="_Hlk134513596"/>
    <w:bookmarkStart w:id="1" w:name="_Hlk134513598"/>
    <w:bookmarkStart w:id="2" w:name="_Hlk134513600"/>
    <w:bookmarkStart w:id="3" w:name="_Hlk134513606"/>
    <w:bookmarkStart w:id="4" w:name="_Hlk134513604"/>
    <w:bookmarkStart w:id="5" w:name="_Hlk134513610"/>
    <w:bookmarkStart w:id="6" w:name="_Hlk134513608"/>
    <w:bookmarkStart w:id="7" w:name="_Hlk134513599"/>
    <w:bookmarkStart w:id="8" w:name="_Hlk134513611"/>
    <w:bookmarkStart w:id="9" w:name="_Hlk134513605"/>
    <w:bookmarkStart w:id="10" w:name="_Hlk134513595"/>
    <w:bookmarkStart w:id="11" w:name="_Hlk134513602"/>
    <w:bookmarkStart w:id="12" w:name="_Hlk134513603"/>
    <w:bookmarkStart w:id="13" w:name="_Hlk134513601"/>
    <w:bookmarkStart w:id="14" w:name="_Hlk134513607"/>
    <w:bookmarkStart w:id="15" w:name="_Hlk134513609"/>
    <w:r>
      <w:rPr>
        <w:rFonts w:hint="eastAsia" w:ascii="仿宋" w:hAnsi="仿宋" w:eastAsia="仿宋"/>
        <w:bCs/>
        <w:sz w:val="32"/>
        <w:szCs w:val="32"/>
      </w:rPr>
      <w:t>附件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hint="eastAsia" w:ascii="仿宋" w:hAnsi="仿宋" w:eastAsia="仿宋"/>
        <w:bCs/>
        <w:sz w:val="32"/>
        <w:szCs w:val="32"/>
      </w:rPr>
      <w:t>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hY2NjNTdhMjk0NjM3YjFlYTBmODQ0NjkxNGYxYmUifQ=="/>
  </w:docVars>
  <w:rsids>
    <w:rsidRoot w:val="7A9642FF"/>
    <w:rsid w:val="00037EEE"/>
    <w:rsid w:val="00050956"/>
    <w:rsid w:val="00072A79"/>
    <w:rsid w:val="00075D7B"/>
    <w:rsid w:val="00140081"/>
    <w:rsid w:val="002C3D1F"/>
    <w:rsid w:val="002D6A4D"/>
    <w:rsid w:val="0039797E"/>
    <w:rsid w:val="003B5E33"/>
    <w:rsid w:val="003D1924"/>
    <w:rsid w:val="003E473D"/>
    <w:rsid w:val="00410E4F"/>
    <w:rsid w:val="005D36B0"/>
    <w:rsid w:val="005D53D3"/>
    <w:rsid w:val="006A5845"/>
    <w:rsid w:val="006D2D90"/>
    <w:rsid w:val="00700FED"/>
    <w:rsid w:val="00800225"/>
    <w:rsid w:val="008E5D36"/>
    <w:rsid w:val="008F45E6"/>
    <w:rsid w:val="00957D5F"/>
    <w:rsid w:val="009E3921"/>
    <w:rsid w:val="00A42DCB"/>
    <w:rsid w:val="00B1012E"/>
    <w:rsid w:val="00B8116F"/>
    <w:rsid w:val="00BB7C12"/>
    <w:rsid w:val="00BD1385"/>
    <w:rsid w:val="00BD49F8"/>
    <w:rsid w:val="00C5287B"/>
    <w:rsid w:val="00C90C80"/>
    <w:rsid w:val="00CA0CDC"/>
    <w:rsid w:val="00E46B4E"/>
    <w:rsid w:val="00ED21B4"/>
    <w:rsid w:val="00F34AB1"/>
    <w:rsid w:val="00F37E22"/>
    <w:rsid w:val="00FB4278"/>
    <w:rsid w:val="0D1C18DE"/>
    <w:rsid w:val="17087545"/>
    <w:rsid w:val="3F631036"/>
    <w:rsid w:val="46E80A53"/>
    <w:rsid w:val="53E42707"/>
    <w:rsid w:val="6A1E22A2"/>
    <w:rsid w:val="783A75DE"/>
    <w:rsid w:val="7A9642FF"/>
    <w:rsid w:val="FFE71A1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unhideWhenUsed/>
    <w:qFormat/>
    <w:uiPriority w:val="9"/>
    <w:pPr>
      <w:keepNext/>
      <w:keepLines/>
      <w:adjustRightInd w:val="0"/>
      <w:snapToGrid w:val="0"/>
      <w:spacing w:beforeLines="50" w:afterLines="50" w:line="520" w:lineRule="exact"/>
      <w:ind w:firstLine="200" w:firstLineChars="200"/>
      <w:jc w:val="left"/>
      <w:outlineLvl w:val="1"/>
    </w:pPr>
    <w:rPr>
      <w:rFonts w:eastAsia="仿宋" w:asciiTheme="majorHAnsi" w:hAnsiTheme="majorHAnsi" w:cstheme="majorBidi"/>
      <w:b/>
      <w:bCs/>
      <w:sz w:val="28"/>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unhideWhenUsed/>
    <w:qFormat/>
    <w:uiPriority w:val="99"/>
    <w:pPr>
      <w:snapToGrid w:val="0"/>
      <w:jc w:val="left"/>
    </w:pPr>
    <w:rPr>
      <w:sz w:val="18"/>
      <w:szCs w:val="18"/>
    </w:rPr>
  </w:style>
  <w:style w:type="character" w:styleId="8">
    <w:name w:val="footnote reference"/>
    <w:basedOn w:val="7"/>
    <w:unhideWhenUsed/>
    <w:qFormat/>
    <w:uiPriority w:val="99"/>
    <w:rPr>
      <w:vertAlign w:val="superscript"/>
    </w:rPr>
  </w:style>
  <w:style w:type="character" w:customStyle="1" w:styleId="9">
    <w:name w:val="标题 2 字符"/>
    <w:basedOn w:val="7"/>
    <w:link w:val="2"/>
    <w:qFormat/>
    <w:uiPriority w:val="9"/>
    <w:rPr>
      <w:rFonts w:asciiTheme="majorHAnsi" w:hAnsiTheme="majorHAnsi" w:cstheme="majorBidi"/>
      <w:b/>
      <w:bCs/>
      <w:kern w:val="2"/>
      <w:sz w:val="28"/>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Company</Company>
  <Pages>1</Pages>
  <Words>101</Words>
  <Characters>576</Characters>
  <Lines>4</Lines>
  <Paragraphs>1</Paragraphs>
  <TotalTime>127</TotalTime>
  <ScaleCrop>false</ScaleCrop>
  <LinksUpToDate>false</LinksUpToDate>
  <CharactersWithSpaces>676</CharactersWithSpaces>
  <Application>WPS Office WWO_feishu_20230531100529-62b4f7f279</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2020-08-03T18:20:00Z</dcterms:created>
  <dc:creator>hx-zab</dc:creator>
  <cp:lastModifiedBy>单馨仪</cp:lastModifiedBy>
  <dcterms:modified xsi:type="dcterms:W3CDTF">2024-03-26T12:23:26Z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510AF1B5D27C43F7925B587357CCA6D2</vt:lpwstr>
  </property>
</Properties>
</file>