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lang w:val="en-US" w:eastAsia="zh-CN"/>
        </w:rPr>
      </w:pPr>
      <w:r>
        <w:rPr>
          <w:rFonts w:hint="eastAsia"/>
          <w:sz w:val="36"/>
          <w:szCs w:val="36"/>
          <w:lang w:eastAsia="zh-CN"/>
        </w:rPr>
        <w:t>关于提请债务人</w:t>
      </w:r>
      <w:r>
        <w:rPr>
          <w:rFonts w:hint="eastAsia"/>
          <w:sz w:val="36"/>
          <w:szCs w:val="36"/>
          <w:lang w:val="en-US" w:eastAsia="zh-CN"/>
        </w:rPr>
        <w:t>股东</w:t>
      </w:r>
      <w:r>
        <w:rPr>
          <w:rFonts w:hint="eastAsia"/>
          <w:sz w:val="36"/>
          <w:szCs w:val="36"/>
          <w:lang w:eastAsia="zh-CN"/>
        </w:rPr>
        <w:t>确认债权的</w:t>
      </w:r>
      <w:r>
        <w:rPr>
          <w:rFonts w:hint="eastAsia"/>
          <w:sz w:val="36"/>
          <w:szCs w:val="36"/>
          <w:lang w:val="en-US" w:eastAsia="zh-CN"/>
        </w:rPr>
        <w:t>通知</w:t>
      </w:r>
    </w:p>
    <w:p>
      <w:pPr>
        <w:rPr>
          <w:rFonts w:hint="eastAsia"/>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欧丽亚制衣有限公司</w:t>
      </w:r>
      <w:r>
        <w:rPr>
          <w:rFonts w:hint="eastAsia" w:ascii="宋体" w:hAnsi="宋体" w:eastAsia="宋体" w:cs="宋体"/>
          <w:sz w:val="28"/>
          <w:szCs w:val="28"/>
          <w:lang w:val="en-US" w:eastAsia="zh-CN"/>
        </w:rPr>
        <w:t>股东</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截止2024年5月27日，欧丽亚制衣有限公司共有9户债权人申报了37笔债权，合计申报金额176609912.42元，另有应当划入职工个人账户的基本养老保险、基本医疗保险费用合计5913.08元，共计176615825.50元。经管理人初步审查，不予确认债权共35631751.57元，最终予以确认债权140978160.85元（其中：税收债权845979.27元、普通债权额111423013.34元，惩罚性债权额28709168.24元），另有管理人经调查并公示无异议的应当划入职工个人账户的基本养老保险、基本医疗保险费用合计</w:t>
      </w:r>
      <w:bookmarkStart w:id="0" w:name="_GoBack"/>
      <w:bookmarkEnd w:id="0"/>
      <w:r>
        <w:rPr>
          <w:rFonts w:hint="eastAsia" w:ascii="宋体" w:hAnsi="宋体" w:eastAsia="宋体" w:cs="宋体"/>
          <w:sz w:val="28"/>
          <w:szCs w:val="28"/>
          <w:lang w:val="en-US" w:eastAsia="zh-CN"/>
        </w:rPr>
        <w:t>5913.08元。</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管理人依职权审核并编制《欧丽亚制衣有限公司债权表》，如贵司对上述债权表记载的债权有异议的，请在本通知发布起七日内提出，逾期未提出异议且未提起债权确认之诉的，视为对管理人审核的债权认定的无异议。</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特别提示；根据最高人民法院关于适用《中华人民共和国企业破产法》若干问题的规定（三）第八条规定债权人、债务人对债权表记载的债权有异议的，应当说明理由和法律依据。经管理人解释或调整后，异议人仍不服的，异议人应当在债权人会议核查结束后十五日内向人民法院提起债权确认的诉讼。当事人之间在破产申请受理前订立有仲裁条款或仲裁协议的，应当向选定的仲裁机构申请确认债权债务关系。如债务人未在规定时间内提起诉讼，则视为对管理人的债权审核结果无异议。</w:t>
      </w:r>
    </w:p>
    <w:p>
      <w:pPr>
        <w:rPr>
          <w:rFonts w:hint="eastAsia" w:ascii="宋体" w:hAnsi="宋体" w:eastAsia="宋体" w:cs="宋体"/>
          <w:sz w:val="28"/>
          <w:szCs w:val="28"/>
          <w:lang w:val="en-US" w:eastAsia="zh-CN"/>
        </w:rPr>
      </w:pPr>
    </w:p>
    <w:p>
      <w:pPr>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欧丽亚制衣有限公司管理人</w:t>
      </w:r>
    </w:p>
    <w:p>
      <w:pPr>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二零二四年五月二十九日</w:t>
      </w:r>
    </w:p>
    <w:p>
      <w:pPr>
        <w:jc w:val="right"/>
        <w:rPr>
          <w:rFonts w:hint="default" w:ascii="宋体" w:hAnsi="宋体" w:eastAsia="宋体" w:cs="宋体"/>
          <w:sz w:val="28"/>
          <w:szCs w:val="28"/>
          <w:lang w:val="en-US" w:eastAsia="zh-CN"/>
        </w:rPr>
      </w:pPr>
    </w:p>
    <w:p>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附件</w:t>
      </w:r>
    </w:p>
    <w:tbl>
      <w:tblPr>
        <w:tblStyle w:val="2"/>
        <w:tblW w:w="95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05"/>
        <w:gridCol w:w="3180"/>
        <w:gridCol w:w="1920"/>
        <w:gridCol w:w="1920"/>
        <w:gridCol w:w="15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9570" w:type="dxa"/>
            <w:gridSpan w:val="5"/>
            <w:tcBorders>
              <w:top w:val="nil"/>
              <w:left w:val="nil"/>
              <w:bottom w:val="single" w:color="auto" w:sz="4" w:space="0"/>
              <w:right w:val="nil"/>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欧丽亚制衣有限公司无争议债权表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债权编号</w:t>
            </w:r>
          </w:p>
        </w:tc>
        <w:tc>
          <w:tcPr>
            <w:tcW w:w="318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债权人</w:t>
            </w:r>
          </w:p>
        </w:tc>
        <w:tc>
          <w:tcPr>
            <w:tcW w:w="192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申报金额（元）</w:t>
            </w:r>
          </w:p>
        </w:tc>
        <w:tc>
          <w:tcPr>
            <w:tcW w:w="192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确认金额（元）</w:t>
            </w:r>
          </w:p>
        </w:tc>
        <w:tc>
          <w:tcPr>
            <w:tcW w:w="154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债权性质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31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平安银行股份有限公司温州龙湾支行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10000000.00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10000000.00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14096734.93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14096734.93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3100825.00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3100825.00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1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中国民生银行股份有限公司温州分行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18224157.72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18224157.72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5031613.85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5031613.85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1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广发银行股份有限公司温州南浦支行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915357.87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915357.87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502543.99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502543.99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1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平阳仪马企业管理合伙企业（有限合伙）</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27294635.21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27198680.76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11461817.50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11461817.50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31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中国建设银行股份有限公司乐清支行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1247790.95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1247790.95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357814.82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357814.82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1065109.44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1065109.44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272620.81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272620.81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1586611.65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1586611.65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566739.27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566739.27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436294.67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436294.67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178850.00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178850.00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17649577.26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17649577.26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5210625.00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5210625.00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706540.84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706540.84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464521.86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464521.86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1690260.37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1690260.37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531300.00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531300.00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1460832.99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1460832.99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531300.00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531300.00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9375586.71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4000000.00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2724400.00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5#-10</w:t>
            </w: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26148937.05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9800000.00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6062633.14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5#-11</w:t>
            </w: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3840049.05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1184191.17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1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国家税务总局乐清市税务局</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845979.27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845979.27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税收债权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2000.00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496596.14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496596.14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惩罚性债权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浙江省乐清市人民法院</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91031.79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91031.79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温州市龙湾区人民法院</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43402.69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43402.69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温州市鹿城区人民法院</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1210629.41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1210629.41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合计9户37笔</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176609912.42 </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140978160.85 </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jc w:val="both"/>
        <w:rPr>
          <w:rFonts w:hint="default" w:ascii="宋体" w:hAnsi="宋体" w:eastAsia="宋体" w:cs="宋体"/>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iMjQ1MGZkMDQ5MmI4NDMxODc2NmRiYmIyNDVlYWIifQ=="/>
  </w:docVars>
  <w:rsids>
    <w:rsidRoot w:val="678468E8"/>
    <w:rsid w:val="19C61486"/>
    <w:rsid w:val="331B4FD2"/>
    <w:rsid w:val="448D5D9C"/>
    <w:rsid w:val="4A140EDD"/>
    <w:rsid w:val="678468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546</Words>
  <Characters>635</Characters>
  <Lines>0</Lines>
  <Paragraphs>0</Paragraphs>
  <TotalTime>0</TotalTime>
  <ScaleCrop>false</ScaleCrop>
  <LinksUpToDate>false</LinksUpToDate>
  <CharactersWithSpaces>635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2024-05-27T10:11:00Z</dcterms:created>
  <dc:creator>Administrator</dc:creator>
  <cp:lastModifiedBy>Administrator</cp:lastModifiedBy>
  <dcterms:modified xsi:type="dcterms:W3CDTF">2024-05-29T00:34:52Z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50D9D34847624D0495440E30E62FA5CA_13</vt:lpwstr>
  </property>
</Properties>
</file>