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beforeLines="50" w:after="120" w:afterLines="50" w:line="440" w:lineRule="exact"/>
        <w:jc w:val="center"/>
        <w:rPr>
          <w:rFonts w:hint="eastAsia" w:ascii="宋体" w:hAnsi="宋体" w:eastAsia="宋体" w:cs="宋体"/>
          <w:b/>
          <w:color w:val="000000"/>
          <w:sz w:val="36"/>
          <w:szCs w:val="36"/>
        </w:rPr>
      </w:pPr>
      <w:bookmarkStart w:id="0" w:name="_Hlk39846593"/>
      <w:r>
        <w:rPr>
          <w:rFonts w:hint="eastAsia" w:ascii="宋体" w:hAnsi="宋体" w:cs="宋体"/>
          <w:b/>
          <w:color w:val="000000"/>
          <w:sz w:val="36"/>
          <w:szCs w:val="36"/>
          <w:lang w:val="en-US" w:eastAsia="zh-CN"/>
        </w:rPr>
        <w:t>三明华瑞房地产开发有限公司</w:t>
      </w:r>
      <w:r>
        <w:rPr>
          <w:rFonts w:hint="eastAsia" w:ascii="宋体" w:hAnsi="宋体" w:eastAsia="宋体" w:cs="宋体"/>
          <w:b/>
          <w:color w:val="000000"/>
          <w:sz w:val="36"/>
          <w:szCs w:val="36"/>
        </w:rPr>
        <w:t>破产清算案</w:t>
      </w:r>
    </w:p>
    <w:p>
      <w:pPr>
        <w:spacing w:before="120" w:beforeLines="50" w:after="120" w:afterLines="50" w:line="440" w:lineRule="exact"/>
        <w:jc w:val="center"/>
        <w:rPr>
          <w:rFonts w:hint="eastAsia" w:ascii="宋体" w:hAnsi="宋体" w:eastAsia="宋体" w:cs="宋体"/>
          <w:b/>
          <w:color w:val="000000"/>
          <w:sz w:val="36"/>
          <w:szCs w:val="36"/>
        </w:rPr>
      </w:pPr>
      <w:r>
        <w:rPr>
          <w:rFonts w:hint="eastAsia" w:ascii="宋体" w:hAnsi="宋体" w:cs="宋体"/>
          <w:b/>
          <w:color w:val="000000"/>
          <w:sz w:val="36"/>
          <w:szCs w:val="36"/>
          <w:lang w:val="en-US" w:eastAsia="zh-CN"/>
        </w:rPr>
        <w:t>工程质量鉴定</w:t>
      </w:r>
      <w:r>
        <w:rPr>
          <w:rFonts w:hint="eastAsia" w:ascii="宋体" w:hAnsi="宋体" w:eastAsia="宋体" w:cs="宋体"/>
          <w:b/>
          <w:color w:val="000000"/>
          <w:sz w:val="36"/>
          <w:szCs w:val="36"/>
        </w:rPr>
        <w:t>辅助机构</w:t>
      </w:r>
      <w:bookmarkEnd w:id="0"/>
      <w:r>
        <w:rPr>
          <w:rFonts w:hint="eastAsia" w:ascii="宋体" w:hAnsi="宋体" w:eastAsia="宋体" w:cs="宋体"/>
          <w:b/>
          <w:color w:val="000000"/>
          <w:sz w:val="36"/>
          <w:szCs w:val="36"/>
        </w:rPr>
        <w:t>的</w:t>
      </w:r>
      <w:r>
        <w:rPr>
          <w:rFonts w:hint="eastAsia" w:ascii="宋体" w:hAnsi="宋体" w:cs="宋体"/>
          <w:b/>
          <w:color w:val="000000"/>
          <w:sz w:val="36"/>
          <w:szCs w:val="36"/>
          <w:lang w:val="en-US" w:eastAsia="zh-CN"/>
        </w:rPr>
        <w:t>第二次</w:t>
      </w:r>
      <w:r>
        <w:rPr>
          <w:rFonts w:hint="eastAsia" w:ascii="宋体" w:hAnsi="宋体" w:eastAsia="宋体" w:cs="宋体"/>
          <w:b/>
          <w:color w:val="000000"/>
          <w:sz w:val="36"/>
          <w:szCs w:val="36"/>
        </w:rPr>
        <w:t>选聘公告</w:t>
      </w:r>
    </w:p>
    <w:p>
      <w:pPr>
        <w:spacing w:line="520" w:lineRule="exact"/>
        <w:ind w:firstLine="560" w:firstLineChars="200"/>
        <w:jc w:val="right"/>
        <w:rPr>
          <w:rFonts w:hint="eastAsia" w:ascii="宋体" w:hAnsi="宋体" w:eastAsia="宋体" w:cs="宋体"/>
          <w:bCs/>
          <w:color w:val="auto"/>
          <w:sz w:val="28"/>
          <w:szCs w:val="28"/>
          <w:u w:val="none"/>
        </w:rPr>
      </w:pPr>
    </w:p>
    <w:p>
      <w:pPr>
        <w:spacing w:line="520" w:lineRule="exact"/>
        <w:ind w:firstLine="560" w:firstLineChars="200"/>
        <w:rPr>
          <w:rFonts w:hint="eastAsia" w:ascii="宋体" w:hAnsi="宋体" w:eastAsia="宋体" w:cs="宋体"/>
          <w:bCs/>
          <w:color w:val="auto"/>
          <w:sz w:val="28"/>
          <w:szCs w:val="28"/>
          <w:u w:val="none"/>
        </w:rPr>
      </w:pPr>
      <w:r>
        <w:rPr>
          <w:rFonts w:hint="eastAsia" w:ascii="宋体" w:hAnsi="宋体" w:eastAsia="宋体" w:cs="宋体"/>
          <w:bCs/>
          <w:color w:val="auto"/>
          <w:sz w:val="28"/>
          <w:szCs w:val="28"/>
          <w:u w:val="none"/>
        </w:rPr>
        <w:t>三明市中级人民法院于</w:t>
      </w:r>
      <w:r>
        <w:rPr>
          <w:rFonts w:hint="eastAsia" w:ascii="宋体" w:hAnsi="宋体" w:eastAsia="宋体" w:cs="宋体"/>
          <w:color w:val="auto"/>
          <w:sz w:val="28"/>
          <w:szCs w:val="28"/>
          <w:u w:val="none"/>
          <w:lang w:eastAsia="zh-CN"/>
        </w:rPr>
        <w:t>2023年</w:t>
      </w:r>
      <w:r>
        <w:rPr>
          <w:rFonts w:hint="eastAsia" w:ascii="宋体" w:hAnsi="宋体" w:eastAsia="宋体" w:cs="宋体"/>
          <w:color w:val="auto"/>
          <w:sz w:val="28"/>
          <w:szCs w:val="28"/>
          <w:u w:val="none"/>
          <w:lang w:val="en-US" w:eastAsia="zh-CN"/>
        </w:rPr>
        <w:t>10</w:t>
      </w:r>
      <w:r>
        <w:rPr>
          <w:rFonts w:hint="eastAsia" w:ascii="宋体" w:hAnsi="宋体" w:eastAsia="宋体" w:cs="宋体"/>
          <w:color w:val="auto"/>
          <w:sz w:val="28"/>
          <w:szCs w:val="28"/>
          <w:u w:val="none"/>
          <w:lang w:eastAsia="zh-CN"/>
        </w:rPr>
        <w:t>月</w:t>
      </w:r>
      <w:r>
        <w:rPr>
          <w:rFonts w:hint="eastAsia" w:ascii="宋体" w:hAnsi="宋体" w:eastAsia="宋体" w:cs="宋体"/>
          <w:color w:val="auto"/>
          <w:sz w:val="28"/>
          <w:szCs w:val="28"/>
          <w:u w:val="none"/>
          <w:lang w:val="en-US" w:eastAsia="zh-CN"/>
        </w:rPr>
        <w:t>17</w:t>
      </w:r>
      <w:r>
        <w:rPr>
          <w:rFonts w:hint="eastAsia" w:ascii="宋体" w:hAnsi="宋体" w:cs="宋体"/>
          <w:color w:val="auto"/>
          <w:sz w:val="28"/>
          <w:szCs w:val="28"/>
          <w:u w:val="none"/>
          <w:lang w:val="en-US" w:eastAsia="zh-CN"/>
        </w:rPr>
        <w:t>日</w:t>
      </w:r>
      <w:r>
        <w:rPr>
          <w:rFonts w:hint="eastAsia" w:ascii="宋体" w:hAnsi="宋体" w:eastAsia="宋体" w:cs="宋体"/>
          <w:bCs/>
          <w:color w:val="auto"/>
          <w:sz w:val="28"/>
          <w:szCs w:val="28"/>
          <w:u w:val="none"/>
        </w:rPr>
        <w:t>根据债权人申请，作出</w:t>
      </w:r>
      <w:r>
        <w:rPr>
          <w:rFonts w:hint="eastAsia" w:ascii="宋体" w:hAnsi="宋体" w:eastAsia="宋体" w:cs="宋体"/>
          <w:color w:val="auto"/>
          <w:sz w:val="28"/>
          <w:szCs w:val="28"/>
          <w:u w:val="none"/>
          <w:lang w:eastAsia="zh-CN"/>
        </w:rPr>
        <w:t>（2023）闽04破申</w:t>
      </w:r>
      <w:r>
        <w:rPr>
          <w:rFonts w:hint="eastAsia" w:ascii="宋体" w:hAnsi="宋体" w:eastAsia="宋体" w:cs="宋体"/>
          <w:color w:val="auto"/>
          <w:sz w:val="28"/>
          <w:szCs w:val="28"/>
          <w:u w:val="none"/>
          <w:lang w:val="en-US" w:eastAsia="zh-CN"/>
        </w:rPr>
        <w:t>28</w:t>
      </w:r>
      <w:r>
        <w:rPr>
          <w:rFonts w:hint="eastAsia" w:ascii="宋体" w:hAnsi="宋体" w:eastAsia="宋体" w:cs="宋体"/>
          <w:color w:val="auto"/>
          <w:sz w:val="28"/>
          <w:szCs w:val="28"/>
          <w:u w:val="none"/>
          <w:lang w:eastAsia="zh-CN"/>
        </w:rPr>
        <w:t>号《民事裁定书》</w:t>
      </w:r>
      <w:r>
        <w:rPr>
          <w:rFonts w:hint="eastAsia" w:ascii="宋体" w:hAnsi="宋体" w:eastAsia="宋体" w:cs="宋体"/>
          <w:bCs/>
          <w:color w:val="auto"/>
          <w:sz w:val="28"/>
          <w:szCs w:val="28"/>
          <w:u w:val="none"/>
        </w:rPr>
        <w:t>，裁定受理</w:t>
      </w:r>
      <w:r>
        <w:rPr>
          <w:rFonts w:hint="eastAsia" w:ascii="宋体" w:hAnsi="宋体" w:eastAsia="宋体" w:cs="宋体"/>
          <w:color w:val="auto"/>
          <w:sz w:val="28"/>
          <w:szCs w:val="28"/>
          <w:u w:val="none"/>
          <w:lang w:val="en-US" w:eastAsia="zh-CN"/>
        </w:rPr>
        <w:t>三明华瑞房地产开发有限公司</w:t>
      </w:r>
      <w:r>
        <w:rPr>
          <w:rFonts w:hint="eastAsia" w:ascii="宋体" w:hAnsi="宋体" w:eastAsia="宋体" w:cs="宋体"/>
          <w:color w:val="auto"/>
          <w:sz w:val="28"/>
          <w:szCs w:val="28"/>
          <w:u w:val="none"/>
          <w:lang w:eastAsia="zh-CN"/>
        </w:rPr>
        <w:t>（下称“</w:t>
      </w:r>
      <w:r>
        <w:rPr>
          <w:rFonts w:hint="eastAsia" w:ascii="宋体" w:hAnsi="宋体" w:eastAsia="宋体" w:cs="宋体"/>
          <w:b/>
          <w:bCs/>
          <w:color w:val="auto"/>
          <w:sz w:val="28"/>
          <w:szCs w:val="28"/>
          <w:u w:val="none"/>
          <w:lang w:val="en-US" w:eastAsia="zh-CN"/>
        </w:rPr>
        <w:t>华瑞公司</w:t>
      </w:r>
      <w:r>
        <w:rPr>
          <w:rFonts w:hint="eastAsia" w:ascii="宋体" w:hAnsi="宋体" w:eastAsia="宋体" w:cs="宋体"/>
          <w:color w:val="auto"/>
          <w:sz w:val="28"/>
          <w:szCs w:val="28"/>
          <w:u w:val="none"/>
          <w:lang w:eastAsia="zh-CN"/>
        </w:rPr>
        <w:t>”）</w:t>
      </w:r>
      <w:r>
        <w:rPr>
          <w:rFonts w:hint="eastAsia" w:ascii="宋体" w:hAnsi="宋体" w:eastAsia="宋体" w:cs="宋体"/>
          <w:bCs/>
          <w:color w:val="auto"/>
          <w:sz w:val="28"/>
          <w:szCs w:val="28"/>
          <w:u w:val="none"/>
        </w:rPr>
        <w:t>破产清算案，并指定由</w:t>
      </w:r>
      <w:r>
        <w:rPr>
          <w:rFonts w:hint="eastAsia" w:ascii="宋体" w:hAnsi="宋体" w:cs="宋体"/>
          <w:bCs/>
          <w:color w:val="auto"/>
          <w:sz w:val="28"/>
          <w:szCs w:val="28"/>
          <w:u w:val="none"/>
          <w:lang w:val="en-US" w:eastAsia="zh-CN"/>
        </w:rPr>
        <w:t>福建省</w:t>
      </w:r>
      <w:r>
        <w:rPr>
          <w:rFonts w:hint="eastAsia" w:ascii="宋体" w:hAnsi="宋体" w:eastAsia="宋体" w:cs="宋体"/>
          <w:bCs/>
          <w:color w:val="auto"/>
          <w:sz w:val="28"/>
          <w:szCs w:val="28"/>
          <w:u w:val="none"/>
          <w:lang w:val="en-US" w:eastAsia="zh-CN"/>
        </w:rPr>
        <w:t>宁化</w:t>
      </w:r>
      <w:r>
        <w:rPr>
          <w:rFonts w:hint="eastAsia" w:ascii="宋体" w:hAnsi="宋体" w:eastAsia="宋体" w:cs="宋体"/>
          <w:bCs/>
          <w:color w:val="auto"/>
          <w:sz w:val="28"/>
          <w:szCs w:val="28"/>
          <w:u w:val="none"/>
        </w:rPr>
        <w:t>县人民法院</w:t>
      </w:r>
      <w:r>
        <w:rPr>
          <w:rFonts w:hint="eastAsia" w:ascii="宋体" w:hAnsi="宋体" w:cs="宋体"/>
          <w:bCs/>
          <w:color w:val="auto"/>
          <w:sz w:val="28"/>
          <w:szCs w:val="28"/>
          <w:u w:val="none"/>
          <w:lang w:eastAsia="zh-CN"/>
        </w:rPr>
        <w:t>（</w:t>
      </w:r>
      <w:r>
        <w:rPr>
          <w:rFonts w:hint="eastAsia" w:ascii="宋体" w:hAnsi="宋体" w:cs="宋体"/>
          <w:bCs/>
          <w:color w:val="auto"/>
          <w:sz w:val="28"/>
          <w:szCs w:val="28"/>
          <w:u w:val="none"/>
          <w:lang w:val="en-US" w:eastAsia="zh-CN"/>
        </w:rPr>
        <w:t>下称</w:t>
      </w:r>
      <w:r>
        <w:rPr>
          <w:rFonts w:hint="eastAsia" w:ascii="宋体" w:hAnsi="宋体" w:cs="宋体"/>
          <w:b/>
          <w:bCs w:val="0"/>
          <w:color w:val="auto"/>
          <w:sz w:val="28"/>
          <w:szCs w:val="28"/>
          <w:u w:val="none"/>
          <w:lang w:val="en-US" w:eastAsia="zh-CN"/>
        </w:rPr>
        <w:t>“宁化法院”</w:t>
      </w:r>
      <w:r>
        <w:rPr>
          <w:rFonts w:hint="eastAsia" w:ascii="宋体" w:hAnsi="宋体" w:cs="宋体"/>
          <w:bCs/>
          <w:color w:val="auto"/>
          <w:sz w:val="28"/>
          <w:szCs w:val="28"/>
          <w:u w:val="none"/>
          <w:lang w:eastAsia="zh-CN"/>
        </w:rPr>
        <w:t>）</w:t>
      </w:r>
      <w:r>
        <w:rPr>
          <w:rFonts w:hint="eastAsia" w:ascii="宋体" w:hAnsi="宋体" w:eastAsia="宋体" w:cs="宋体"/>
          <w:bCs/>
          <w:color w:val="auto"/>
          <w:sz w:val="28"/>
          <w:szCs w:val="28"/>
          <w:u w:val="none"/>
        </w:rPr>
        <w:t>审理。</w:t>
      </w:r>
      <w:r>
        <w:rPr>
          <w:rFonts w:hint="eastAsia" w:ascii="宋体" w:hAnsi="宋体" w:cs="宋体"/>
          <w:bCs/>
          <w:color w:val="auto"/>
          <w:sz w:val="28"/>
          <w:szCs w:val="28"/>
          <w:u w:val="none"/>
          <w:lang w:val="en-US" w:eastAsia="zh-CN"/>
        </w:rPr>
        <w:t>经公开遴选，</w:t>
      </w:r>
      <w:r>
        <w:rPr>
          <w:rFonts w:hint="eastAsia" w:ascii="宋体" w:hAnsi="宋体" w:eastAsia="宋体" w:cs="宋体"/>
          <w:bCs/>
          <w:color w:val="auto"/>
          <w:sz w:val="28"/>
          <w:szCs w:val="28"/>
          <w:u w:val="none"/>
          <w:lang w:eastAsia="zh-CN"/>
        </w:rPr>
        <w:t>宁化</w:t>
      </w:r>
      <w:r>
        <w:rPr>
          <w:rFonts w:hint="eastAsia" w:ascii="宋体" w:hAnsi="宋体" w:eastAsia="宋体" w:cs="宋体"/>
          <w:bCs/>
          <w:color w:val="auto"/>
          <w:sz w:val="28"/>
          <w:szCs w:val="28"/>
          <w:u w:val="none"/>
        </w:rPr>
        <w:t>法院</w:t>
      </w:r>
      <w:r>
        <w:rPr>
          <w:rFonts w:hint="eastAsia" w:ascii="宋体" w:hAnsi="宋体" w:cs="宋体"/>
          <w:bCs/>
          <w:color w:val="auto"/>
          <w:sz w:val="28"/>
          <w:szCs w:val="28"/>
          <w:u w:val="none"/>
          <w:lang w:val="en-US" w:eastAsia="zh-CN"/>
        </w:rPr>
        <w:t>于</w:t>
      </w:r>
      <w:r>
        <w:rPr>
          <w:rFonts w:hint="eastAsia" w:ascii="宋体" w:hAnsi="宋体" w:eastAsia="宋体" w:cs="宋体"/>
          <w:color w:val="auto"/>
          <w:sz w:val="28"/>
          <w:szCs w:val="28"/>
          <w:u w:val="none"/>
          <w:lang w:eastAsia="zh-CN"/>
        </w:rPr>
        <w:t>202</w:t>
      </w:r>
      <w:r>
        <w:rPr>
          <w:rFonts w:hint="eastAsia" w:ascii="宋体" w:hAnsi="宋体" w:eastAsia="宋体" w:cs="宋体"/>
          <w:color w:val="auto"/>
          <w:sz w:val="28"/>
          <w:szCs w:val="28"/>
          <w:u w:val="none"/>
          <w:lang w:val="en-US" w:eastAsia="zh-CN"/>
        </w:rPr>
        <w:t>4</w:t>
      </w:r>
      <w:r>
        <w:rPr>
          <w:rFonts w:hint="eastAsia" w:ascii="宋体" w:hAnsi="宋体" w:eastAsia="宋体" w:cs="宋体"/>
          <w:color w:val="auto"/>
          <w:sz w:val="28"/>
          <w:szCs w:val="28"/>
          <w:u w:val="none"/>
          <w:lang w:eastAsia="zh-CN"/>
        </w:rPr>
        <w:t>年</w:t>
      </w:r>
      <w:r>
        <w:rPr>
          <w:rFonts w:hint="eastAsia" w:ascii="宋体" w:hAnsi="宋体" w:eastAsia="宋体" w:cs="宋体"/>
          <w:color w:val="auto"/>
          <w:sz w:val="28"/>
          <w:szCs w:val="28"/>
          <w:u w:val="none"/>
          <w:lang w:val="en-US" w:eastAsia="zh-CN"/>
        </w:rPr>
        <w:t>2</w:t>
      </w:r>
      <w:r>
        <w:rPr>
          <w:rFonts w:hint="eastAsia" w:ascii="宋体" w:hAnsi="宋体" w:eastAsia="宋体" w:cs="宋体"/>
          <w:color w:val="auto"/>
          <w:sz w:val="28"/>
          <w:szCs w:val="28"/>
          <w:u w:val="none"/>
          <w:lang w:eastAsia="zh-CN"/>
        </w:rPr>
        <w:t>月</w:t>
      </w:r>
      <w:r>
        <w:rPr>
          <w:rFonts w:hint="eastAsia" w:ascii="宋体" w:hAnsi="宋体" w:eastAsia="宋体" w:cs="宋体"/>
          <w:color w:val="auto"/>
          <w:sz w:val="28"/>
          <w:szCs w:val="28"/>
          <w:u w:val="none"/>
          <w:lang w:val="en-US" w:eastAsia="zh-CN"/>
        </w:rPr>
        <w:t>1</w:t>
      </w:r>
      <w:r>
        <w:rPr>
          <w:rFonts w:hint="eastAsia" w:ascii="宋体" w:hAnsi="宋体" w:eastAsia="宋体" w:cs="宋体"/>
          <w:color w:val="auto"/>
          <w:sz w:val="28"/>
          <w:szCs w:val="28"/>
          <w:u w:val="none"/>
          <w:lang w:eastAsia="zh-CN"/>
        </w:rPr>
        <w:t>日</w:t>
      </w:r>
      <w:r>
        <w:rPr>
          <w:rFonts w:hint="eastAsia" w:ascii="宋体" w:hAnsi="宋体" w:eastAsia="宋体" w:cs="宋体"/>
          <w:bCs/>
          <w:color w:val="auto"/>
          <w:sz w:val="28"/>
          <w:szCs w:val="28"/>
          <w:u w:val="none"/>
        </w:rPr>
        <w:t>作出（2024）闽042</w:t>
      </w:r>
      <w:r>
        <w:rPr>
          <w:rFonts w:hint="eastAsia" w:ascii="宋体" w:hAnsi="宋体" w:eastAsia="宋体" w:cs="宋体"/>
          <w:bCs/>
          <w:color w:val="auto"/>
          <w:sz w:val="28"/>
          <w:szCs w:val="28"/>
          <w:u w:val="none"/>
          <w:lang w:val="en-US" w:eastAsia="zh-CN"/>
        </w:rPr>
        <w:t>4</w:t>
      </w:r>
      <w:r>
        <w:rPr>
          <w:rFonts w:hint="eastAsia" w:ascii="宋体" w:hAnsi="宋体" w:eastAsia="宋体" w:cs="宋体"/>
          <w:bCs/>
          <w:color w:val="auto"/>
          <w:sz w:val="28"/>
          <w:szCs w:val="28"/>
          <w:u w:val="none"/>
        </w:rPr>
        <w:t>破1号《决定书》</w:t>
      </w:r>
      <w:r>
        <w:rPr>
          <w:rFonts w:hint="eastAsia" w:ascii="宋体" w:hAnsi="宋体" w:cs="宋体"/>
          <w:bCs/>
          <w:color w:val="auto"/>
          <w:sz w:val="28"/>
          <w:szCs w:val="28"/>
          <w:u w:val="none"/>
          <w:lang w:eastAsia="zh-CN"/>
        </w:rPr>
        <w:t>，</w:t>
      </w:r>
      <w:r>
        <w:rPr>
          <w:rFonts w:hint="eastAsia" w:ascii="宋体" w:hAnsi="宋体" w:eastAsia="宋体" w:cs="宋体"/>
          <w:bCs/>
          <w:color w:val="auto"/>
          <w:sz w:val="28"/>
          <w:szCs w:val="28"/>
          <w:u w:val="none"/>
        </w:rPr>
        <w:t>指定福建信实律师事务所担任</w:t>
      </w:r>
      <w:r>
        <w:rPr>
          <w:rFonts w:hint="eastAsia" w:ascii="宋体" w:hAnsi="宋体" w:eastAsia="宋体" w:cs="宋体"/>
          <w:bCs/>
          <w:color w:val="auto"/>
          <w:sz w:val="28"/>
          <w:szCs w:val="28"/>
          <w:u w:val="none"/>
          <w:lang w:val="en-US" w:eastAsia="zh-CN"/>
        </w:rPr>
        <w:t>华瑞</w:t>
      </w:r>
      <w:r>
        <w:rPr>
          <w:rFonts w:hint="eastAsia" w:ascii="宋体" w:hAnsi="宋体" w:eastAsia="宋体" w:cs="宋体"/>
          <w:bCs/>
          <w:color w:val="auto"/>
          <w:sz w:val="28"/>
          <w:szCs w:val="28"/>
          <w:u w:val="none"/>
        </w:rPr>
        <w:t>公司管理人。</w:t>
      </w:r>
    </w:p>
    <w:p>
      <w:pPr>
        <w:spacing w:line="520" w:lineRule="exact"/>
        <w:ind w:firstLine="560" w:firstLineChars="200"/>
        <w:rPr>
          <w:rFonts w:hint="eastAsia" w:ascii="宋体" w:hAnsi="宋体" w:eastAsia="宋体" w:cs="宋体"/>
          <w:bCs/>
          <w:color w:val="auto"/>
          <w:sz w:val="28"/>
          <w:szCs w:val="28"/>
          <w:u w:val="none"/>
        </w:rPr>
      </w:pPr>
      <w:r>
        <w:rPr>
          <w:rFonts w:hint="eastAsia" w:ascii="宋体" w:hAnsi="宋体" w:eastAsia="宋体" w:cs="宋体"/>
          <w:bCs/>
          <w:color w:val="auto"/>
          <w:sz w:val="28"/>
          <w:szCs w:val="28"/>
          <w:u w:val="none"/>
        </w:rPr>
        <w:t>为了有序推进</w:t>
      </w:r>
      <w:r>
        <w:rPr>
          <w:rFonts w:hint="eastAsia" w:ascii="宋体" w:hAnsi="宋体" w:eastAsia="宋体" w:cs="宋体"/>
          <w:bCs/>
          <w:color w:val="auto"/>
          <w:sz w:val="28"/>
          <w:szCs w:val="28"/>
          <w:u w:val="none"/>
          <w:lang w:eastAsia="zh-CN"/>
        </w:rPr>
        <w:t>华瑞</w:t>
      </w:r>
      <w:r>
        <w:rPr>
          <w:rFonts w:hint="eastAsia" w:ascii="宋体" w:hAnsi="宋体" w:eastAsia="宋体" w:cs="宋体"/>
          <w:bCs/>
          <w:color w:val="auto"/>
          <w:sz w:val="28"/>
          <w:szCs w:val="28"/>
          <w:u w:val="none"/>
        </w:rPr>
        <w:t>公司的破产程序进程，遵循</w:t>
      </w:r>
      <w:r>
        <w:rPr>
          <w:rFonts w:hint="eastAsia" w:ascii="宋体" w:hAnsi="宋体" w:cs="宋体"/>
          <w:bCs/>
          <w:color w:val="auto"/>
          <w:sz w:val="28"/>
          <w:szCs w:val="28"/>
          <w:u w:val="none"/>
          <w:lang w:eastAsia="zh-CN"/>
        </w:rPr>
        <w:t>“</w:t>
      </w:r>
      <w:r>
        <w:rPr>
          <w:rFonts w:hint="eastAsia" w:ascii="宋体" w:hAnsi="宋体" w:eastAsia="宋体" w:cs="宋体"/>
          <w:bCs/>
          <w:color w:val="auto"/>
          <w:sz w:val="28"/>
          <w:szCs w:val="28"/>
          <w:u w:val="none"/>
        </w:rPr>
        <w:t>公开</w:t>
      </w:r>
      <w:r>
        <w:rPr>
          <w:rFonts w:hint="eastAsia" w:ascii="宋体" w:hAnsi="宋体" w:cs="宋体"/>
          <w:bCs/>
          <w:color w:val="auto"/>
          <w:sz w:val="28"/>
          <w:szCs w:val="28"/>
          <w:u w:val="none"/>
          <w:lang w:eastAsia="zh-CN"/>
        </w:rPr>
        <w:t>、</w:t>
      </w:r>
      <w:r>
        <w:rPr>
          <w:rFonts w:hint="eastAsia" w:ascii="宋体" w:hAnsi="宋体" w:eastAsia="宋体" w:cs="宋体"/>
          <w:bCs/>
          <w:color w:val="auto"/>
          <w:sz w:val="28"/>
          <w:szCs w:val="28"/>
          <w:u w:val="none"/>
        </w:rPr>
        <w:t>效率</w:t>
      </w:r>
      <w:r>
        <w:rPr>
          <w:rFonts w:hint="eastAsia" w:ascii="宋体" w:hAnsi="宋体" w:cs="宋体"/>
          <w:bCs/>
          <w:color w:val="auto"/>
          <w:sz w:val="28"/>
          <w:szCs w:val="28"/>
          <w:u w:val="none"/>
          <w:lang w:eastAsia="zh-CN"/>
        </w:rPr>
        <w:t>、</w:t>
      </w:r>
      <w:r>
        <w:rPr>
          <w:rFonts w:hint="eastAsia" w:ascii="宋体" w:hAnsi="宋体" w:cs="宋体"/>
          <w:bCs/>
          <w:color w:val="auto"/>
          <w:sz w:val="28"/>
          <w:szCs w:val="28"/>
          <w:u w:val="none"/>
          <w:lang w:val="en-US" w:eastAsia="zh-CN"/>
        </w:rPr>
        <w:t>成本控制”等</w:t>
      </w:r>
      <w:r>
        <w:rPr>
          <w:rFonts w:hint="eastAsia" w:ascii="宋体" w:hAnsi="宋体" w:eastAsia="宋体" w:cs="宋体"/>
          <w:bCs/>
          <w:color w:val="auto"/>
          <w:sz w:val="28"/>
          <w:szCs w:val="28"/>
          <w:u w:val="none"/>
        </w:rPr>
        <w:t>原则，管理人</w:t>
      </w:r>
      <w:r>
        <w:rPr>
          <w:rFonts w:hint="eastAsia" w:ascii="宋体" w:hAnsi="宋体" w:cs="宋体"/>
          <w:bCs/>
          <w:color w:val="auto"/>
          <w:sz w:val="28"/>
          <w:szCs w:val="28"/>
          <w:u w:val="none"/>
          <w:lang w:val="en-US" w:eastAsia="zh-CN"/>
        </w:rPr>
        <w:t>已</w:t>
      </w:r>
      <w:r>
        <w:rPr>
          <w:rFonts w:hint="eastAsia" w:ascii="宋体" w:hAnsi="宋体" w:eastAsia="宋体" w:cs="宋体"/>
          <w:bCs/>
          <w:color w:val="auto"/>
          <w:sz w:val="28"/>
          <w:szCs w:val="28"/>
          <w:u w:val="none"/>
        </w:rPr>
        <w:t>采取公开</w:t>
      </w:r>
      <w:r>
        <w:rPr>
          <w:rFonts w:hint="eastAsia" w:ascii="宋体" w:hAnsi="宋体" w:cs="宋体"/>
          <w:bCs/>
          <w:color w:val="auto"/>
          <w:sz w:val="28"/>
          <w:szCs w:val="28"/>
          <w:u w:val="none"/>
          <w:lang w:val="en-US" w:eastAsia="zh-CN"/>
        </w:rPr>
        <w:t>择优方式</w:t>
      </w:r>
      <w:r>
        <w:rPr>
          <w:rFonts w:hint="eastAsia" w:ascii="宋体" w:hAnsi="宋体" w:eastAsia="宋体" w:cs="宋体"/>
          <w:bCs/>
          <w:color w:val="auto"/>
          <w:sz w:val="28"/>
          <w:szCs w:val="28"/>
          <w:u w:val="none"/>
        </w:rPr>
        <w:t>选聘</w:t>
      </w:r>
      <w:r>
        <w:rPr>
          <w:rFonts w:hint="eastAsia" w:ascii="宋体" w:hAnsi="宋体" w:eastAsia="宋体" w:cs="宋体"/>
          <w:bCs/>
          <w:color w:val="auto"/>
          <w:sz w:val="28"/>
          <w:szCs w:val="28"/>
          <w:u w:val="none"/>
          <w:lang w:val="en-US" w:eastAsia="zh-CN"/>
        </w:rPr>
        <w:t>工程质量鉴定</w:t>
      </w:r>
      <w:r>
        <w:rPr>
          <w:rFonts w:hint="eastAsia" w:ascii="宋体" w:hAnsi="宋体" w:eastAsia="宋体" w:cs="宋体"/>
          <w:bCs/>
          <w:color w:val="auto"/>
          <w:sz w:val="28"/>
          <w:szCs w:val="28"/>
          <w:u w:val="none"/>
        </w:rPr>
        <w:t>辅助机构，</w:t>
      </w:r>
      <w:r>
        <w:rPr>
          <w:rFonts w:hint="eastAsia" w:ascii="宋体" w:hAnsi="宋体" w:cs="宋体"/>
          <w:bCs/>
          <w:color w:val="auto"/>
          <w:sz w:val="28"/>
          <w:szCs w:val="28"/>
          <w:u w:val="none"/>
          <w:lang w:val="en-US" w:eastAsia="zh-CN"/>
        </w:rPr>
        <w:t>并于2024年3月25日选定福建省北捷工程检测有限公司为中标候选机构，但因该公司未进入2024年度三明市房屋鉴定机构名单，已声明放弃中标资格，故管理人决定重新选聘三明华瑞房地产开发有限公司破产清算案工程质量鉴定辅助机构，</w:t>
      </w:r>
      <w:r>
        <w:rPr>
          <w:rFonts w:hint="eastAsia" w:ascii="宋体" w:hAnsi="宋体" w:eastAsia="宋体" w:cs="宋体"/>
          <w:bCs/>
          <w:color w:val="auto"/>
          <w:sz w:val="28"/>
          <w:szCs w:val="28"/>
          <w:u w:val="none"/>
        </w:rPr>
        <w:t>由辅助机构根据管理人的要求按期完成相关</w:t>
      </w:r>
      <w:r>
        <w:rPr>
          <w:rFonts w:hint="eastAsia" w:ascii="宋体" w:hAnsi="宋体" w:cs="宋体"/>
          <w:bCs/>
          <w:color w:val="auto"/>
          <w:sz w:val="28"/>
          <w:szCs w:val="28"/>
          <w:u w:val="none"/>
          <w:lang w:val="en-US" w:eastAsia="zh-CN"/>
        </w:rPr>
        <w:t>工程</w:t>
      </w:r>
      <w:r>
        <w:rPr>
          <w:rFonts w:hint="eastAsia" w:ascii="宋体" w:hAnsi="宋体" w:eastAsia="宋体" w:cs="宋体"/>
          <w:bCs/>
          <w:color w:val="auto"/>
          <w:sz w:val="28"/>
          <w:szCs w:val="28"/>
          <w:u w:val="none"/>
          <w:lang w:val="en-US" w:eastAsia="zh-CN"/>
        </w:rPr>
        <w:t>质量鉴定</w:t>
      </w:r>
      <w:r>
        <w:rPr>
          <w:rFonts w:hint="eastAsia" w:ascii="宋体" w:hAnsi="宋体" w:cs="宋体"/>
          <w:bCs/>
          <w:color w:val="auto"/>
          <w:sz w:val="28"/>
          <w:szCs w:val="28"/>
          <w:u w:val="none"/>
          <w:lang w:eastAsia="zh-CN"/>
        </w:rPr>
        <w:t>，</w:t>
      </w:r>
      <w:r>
        <w:rPr>
          <w:rFonts w:hint="eastAsia" w:ascii="宋体" w:hAnsi="宋体" w:cs="宋体"/>
          <w:bCs/>
          <w:color w:val="auto"/>
          <w:sz w:val="28"/>
          <w:szCs w:val="28"/>
          <w:u w:val="none"/>
          <w:lang w:val="en-US" w:eastAsia="zh-CN"/>
        </w:rPr>
        <w:t>为本案的债务清理和资产盘活处置提供专业意见</w:t>
      </w:r>
      <w:r>
        <w:rPr>
          <w:rFonts w:hint="eastAsia" w:ascii="宋体" w:hAnsi="宋体" w:eastAsia="宋体" w:cs="宋体"/>
          <w:bCs/>
          <w:color w:val="auto"/>
          <w:sz w:val="28"/>
          <w:szCs w:val="28"/>
          <w:u w:val="none"/>
        </w:rPr>
        <w:t>。</w:t>
      </w:r>
    </w:p>
    <w:p>
      <w:pPr>
        <w:spacing w:line="520" w:lineRule="exact"/>
        <w:ind w:firstLine="560"/>
        <w:rPr>
          <w:rFonts w:hint="eastAsia" w:ascii="宋体" w:hAnsi="宋体" w:eastAsia="宋体" w:cs="宋体"/>
          <w:b/>
          <w:color w:val="auto"/>
          <w:sz w:val="28"/>
          <w:szCs w:val="28"/>
          <w:u w:val="none"/>
        </w:rPr>
      </w:pPr>
      <w:r>
        <w:rPr>
          <w:rFonts w:hint="eastAsia" w:ascii="宋体" w:hAnsi="宋体" w:eastAsia="宋体" w:cs="宋体"/>
          <w:b/>
          <w:color w:val="auto"/>
          <w:sz w:val="28"/>
          <w:szCs w:val="28"/>
          <w:u w:val="none"/>
        </w:rPr>
        <w:t>一、选聘范围</w:t>
      </w:r>
    </w:p>
    <w:p>
      <w:pPr>
        <w:spacing w:line="520" w:lineRule="exact"/>
        <w:ind w:firstLine="560" w:firstLineChars="200"/>
        <w:rPr>
          <w:rFonts w:hint="eastAsia" w:ascii="宋体" w:hAnsi="宋体" w:eastAsia="宋体" w:cs="宋体"/>
          <w:bCs/>
          <w:color w:val="auto"/>
          <w:sz w:val="28"/>
          <w:szCs w:val="28"/>
          <w:u w:val="none"/>
        </w:rPr>
      </w:pPr>
      <w:r>
        <w:rPr>
          <w:rFonts w:hint="eastAsia" w:ascii="宋体" w:hAnsi="宋体" w:eastAsia="宋体" w:cs="宋体"/>
          <w:bCs/>
          <w:color w:val="auto"/>
          <w:sz w:val="28"/>
          <w:szCs w:val="28"/>
          <w:u w:val="none"/>
        </w:rPr>
        <w:t>本次选聘的主要服务项目内容涉及</w:t>
      </w:r>
      <w:r>
        <w:rPr>
          <w:rFonts w:hint="eastAsia" w:ascii="宋体" w:hAnsi="宋体" w:eastAsia="宋体" w:cs="宋体"/>
          <w:b/>
          <w:color w:val="auto"/>
          <w:sz w:val="28"/>
          <w:szCs w:val="28"/>
          <w:u w:val="none"/>
          <w:lang w:eastAsia="zh-CN"/>
        </w:rPr>
        <w:t>华瑞</w:t>
      </w:r>
      <w:r>
        <w:rPr>
          <w:rFonts w:hint="eastAsia" w:ascii="宋体" w:hAnsi="宋体" w:eastAsia="宋体" w:cs="宋体"/>
          <w:b/>
          <w:color w:val="auto"/>
          <w:sz w:val="28"/>
          <w:szCs w:val="28"/>
          <w:u w:val="none"/>
        </w:rPr>
        <w:t>公司</w:t>
      </w:r>
      <w:r>
        <w:rPr>
          <w:rFonts w:hint="eastAsia" w:ascii="宋体" w:hAnsi="宋体" w:cs="宋体"/>
          <w:b/>
          <w:color w:val="auto"/>
          <w:sz w:val="28"/>
          <w:szCs w:val="28"/>
          <w:u w:val="none"/>
          <w:lang w:val="en-US" w:eastAsia="zh-CN"/>
        </w:rPr>
        <w:t>及其开发的建设工程</w:t>
      </w:r>
      <w:r>
        <w:rPr>
          <w:rFonts w:hint="eastAsia" w:ascii="宋体" w:hAnsi="宋体" w:eastAsia="宋体" w:cs="宋体"/>
          <w:b/>
          <w:color w:val="auto"/>
          <w:sz w:val="28"/>
          <w:szCs w:val="28"/>
          <w:u w:val="none"/>
          <w:lang w:val="en-US" w:eastAsia="zh-CN"/>
        </w:rPr>
        <w:t>主体</w:t>
      </w:r>
      <w:r>
        <w:rPr>
          <w:rFonts w:hint="eastAsia" w:ascii="宋体" w:hAnsi="宋体" w:cs="宋体"/>
          <w:b/>
          <w:color w:val="auto"/>
          <w:sz w:val="28"/>
          <w:szCs w:val="28"/>
          <w:u w:val="none"/>
          <w:lang w:val="en-US" w:eastAsia="zh-CN"/>
        </w:rPr>
        <w:t>的</w:t>
      </w:r>
      <w:r>
        <w:rPr>
          <w:rFonts w:hint="eastAsia" w:ascii="宋体" w:hAnsi="宋体" w:eastAsia="宋体" w:cs="宋体"/>
          <w:b/>
          <w:color w:val="auto"/>
          <w:sz w:val="28"/>
          <w:szCs w:val="28"/>
          <w:u w:val="none"/>
          <w:lang w:val="en-US" w:eastAsia="zh-CN"/>
        </w:rPr>
        <w:t>工程质量鉴定</w:t>
      </w:r>
      <w:r>
        <w:rPr>
          <w:rFonts w:hint="eastAsia" w:ascii="宋体" w:hAnsi="宋体" w:eastAsia="宋体" w:cs="宋体"/>
          <w:b/>
          <w:color w:val="auto"/>
          <w:sz w:val="28"/>
          <w:szCs w:val="28"/>
          <w:u w:val="none"/>
        </w:rPr>
        <w:t>项目</w:t>
      </w:r>
      <w:r>
        <w:rPr>
          <w:rFonts w:hint="eastAsia" w:ascii="宋体" w:hAnsi="宋体" w:eastAsia="宋体" w:cs="宋体"/>
          <w:bCs/>
          <w:color w:val="auto"/>
          <w:sz w:val="28"/>
          <w:szCs w:val="28"/>
          <w:u w:val="none"/>
        </w:rPr>
        <w:t>，受聘机构应按管理人规定的期限和要求高质量完成相应的辅助工作，根据管理人要求就委托事项出具正式的书面报告，根据债权人会议的要求列席会议和接受询问。</w:t>
      </w:r>
    </w:p>
    <w:p>
      <w:pPr>
        <w:spacing w:line="520" w:lineRule="exact"/>
        <w:ind w:firstLine="562" w:firstLineChars="200"/>
        <w:rPr>
          <w:rFonts w:hint="eastAsia" w:ascii="宋体" w:hAnsi="宋体" w:eastAsia="宋体" w:cs="宋体"/>
          <w:b/>
          <w:color w:val="auto"/>
          <w:sz w:val="28"/>
          <w:szCs w:val="28"/>
          <w:u w:val="none"/>
        </w:rPr>
      </w:pPr>
      <w:r>
        <w:rPr>
          <w:rFonts w:hint="eastAsia" w:ascii="宋体" w:hAnsi="宋体" w:eastAsia="宋体" w:cs="宋体"/>
          <w:b/>
          <w:color w:val="auto"/>
          <w:sz w:val="28"/>
          <w:szCs w:val="28"/>
          <w:u w:val="none"/>
        </w:rPr>
        <w:t>二、</w:t>
      </w:r>
      <w:r>
        <w:rPr>
          <w:rFonts w:hint="eastAsia" w:ascii="宋体" w:hAnsi="宋体" w:eastAsia="宋体" w:cs="宋体"/>
          <w:b/>
          <w:color w:val="auto"/>
          <w:sz w:val="28"/>
          <w:szCs w:val="28"/>
          <w:u w:val="none"/>
          <w:lang w:eastAsia="zh-CN"/>
        </w:rPr>
        <w:t>华瑞</w:t>
      </w:r>
      <w:r>
        <w:rPr>
          <w:rFonts w:hint="eastAsia" w:ascii="宋体" w:hAnsi="宋体" w:eastAsia="宋体" w:cs="宋体"/>
          <w:b/>
          <w:color w:val="auto"/>
          <w:sz w:val="28"/>
          <w:szCs w:val="28"/>
          <w:u w:val="none"/>
        </w:rPr>
        <w:t>公司的基本概况</w:t>
      </w:r>
    </w:p>
    <w:p>
      <w:pPr>
        <w:spacing w:line="520" w:lineRule="exact"/>
        <w:ind w:firstLine="560" w:firstLineChars="200"/>
        <w:rPr>
          <w:rFonts w:hint="eastAsia" w:ascii="宋体" w:hAnsi="宋体" w:eastAsia="宋体" w:cs="宋体"/>
          <w:bCs/>
          <w:color w:val="auto"/>
          <w:sz w:val="28"/>
          <w:szCs w:val="28"/>
          <w:u w:val="none"/>
        </w:rPr>
      </w:pPr>
      <w:r>
        <w:rPr>
          <w:rFonts w:hint="eastAsia" w:ascii="宋体" w:hAnsi="宋体" w:eastAsia="宋体" w:cs="宋体"/>
          <w:bCs/>
          <w:color w:val="auto"/>
          <w:sz w:val="28"/>
          <w:szCs w:val="28"/>
          <w:u w:val="none"/>
          <w:lang w:eastAsia="zh-CN"/>
        </w:rPr>
        <w:t>华瑞</w:t>
      </w:r>
      <w:r>
        <w:rPr>
          <w:rFonts w:hint="eastAsia" w:ascii="宋体" w:hAnsi="宋体" w:eastAsia="宋体" w:cs="宋体"/>
          <w:bCs/>
          <w:color w:val="auto"/>
          <w:sz w:val="28"/>
          <w:szCs w:val="28"/>
          <w:u w:val="none"/>
        </w:rPr>
        <w:t>公司于2011年02月22日在</w:t>
      </w:r>
      <w:r>
        <w:rPr>
          <w:rFonts w:hint="eastAsia" w:ascii="宋体" w:hAnsi="宋体" w:eastAsia="宋体" w:cs="宋体"/>
          <w:bCs/>
          <w:color w:val="auto"/>
          <w:sz w:val="28"/>
          <w:szCs w:val="28"/>
          <w:u w:val="none"/>
          <w:lang w:eastAsia="zh-CN"/>
        </w:rPr>
        <w:t>宁化</w:t>
      </w:r>
      <w:r>
        <w:rPr>
          <w:rFonts w:hint="eastAsia" w:ascii="宋体" w:hAnsi="宋体" w:eastAsia="宋体" w:cs="宋体"/>
          <w:bCs/>
          <w:color w:val="auto"/>
          <w:sz w:val="28"/>
          <w:szCs w:val="28"/>
          <w:u w:val="none"/>
        </w:rPr>
        <w:t>县市场监督管理局登记注册，统一社会信用代码：</w:t>
      </w:r>
      <w:r>
        <w:rPr>
          <w:rFonts w:hint="eastAsia" w:ascii="宋体" w:hAnsi="宋体" w:eastAsia="宋体" w:cs="宋体"/>
          <w:color w:val="auto"/>
          <w:kern w:val="0"/>
          <w:sz w:val="28"/>
          <w:szCs w:val="28"/>
          <w:u w:val="none"/>
          <w:lang w:val="en-US" w:eastAsia="zh-CN" w:bidi="ar"/>
        </w:rPr>
        <w:t>913504245692742689</w:t>
      </w:r>
      <w:r>
        <w:rPr>
          <w:rFonts w:hint="eastAsia" w:ascii="宋体" w:hAnsi="宋体" w:eastAsia="宋体" w:cs="宋体"/>
          <w:bCs/>
          <w:color w:val="auto"/>
          <w:sz w:val="28"/>
          <w:szCs w:val="28"/>
          <w:u w:val="none"/>
        </w:rPr>
        <w:t>；注册资本：人民币</w:t>
      </w:r>
      <w:r>
        <w:rPr>
          <w:rFonts w:hint="eastAsia" w:ascii="宋体" w:hAnsi="宋体" w:eastAsia="宋体" w:cs="宋体"/>
          <w:bCs/>
          <w:color w:val="auto"/>
          <w:sz w:val="28"/>
          <w:szCs w:val="28"/>
          <w:u w:val="none"/>
          <w:lang w:val="en-US" w:eastAsia="zh-CN"/>
        </w:rPr>
        <w:t>2000</w:t>
      </w:r>
      <w:r>
        <w:rPr>
          <w:rFonts w:hint="eastAsia" w:ascii="宋体" w:hAnsi="宋体" w:eastAsia="宋体" w:cs="宋体"/>
          <w:bCs/>
          <w:color w:val="auto"/>
          <w:sz w:val="28"/>
          <w:szCs w:val="28"/>
          <w:u w:val="none"/>
        </w:rPr>
        <w:t>万元；法定代表人：</w:t>
      </w:r>
      <w:r>
        <w:rPr>
          <w:rFonts w:hint="eastAsia" w:ascii="宋体" w:hAnsi="宋体" w:eastAsia="宋体" w:cs="宋体"/>
          <w:bCs/>
          <w:color w:val="auto"/>
          <w:sz w:val="28"/>
          <w:szCs w:val="28"/>
          <w:u w:val="none"/>
          <w:lang w:eastAsia="zh-CN"/>
        </w:rPr>
        <w:t>陈辉</w:t>
      </w:r>
      <w:r>
        <w:rPr>
          <w:rFonts w:hint="eastAsia" w:ascii="宋体" w:hAnsi="宋体" w:eastAsia="宋体" w:cs="宋体"/>
          <w:bCs/>
          <w:color w:val="auto"/>
          <w:sz w:val="28"/>
          <w:szCs w:val="28"/>
          <w:u w:val="none"/>
        </w:rPr>
        <w:t>（已故）；经营范围：房地产综合开发、出售商品房，五金交电、建筑材料销售。（依法须经批准的项目，经相关部门批准后方可开展经营活动）；营业期限：自2011年02月22日</w:t>
      </w:r>
      <w:r>
        <w:rPr>
          <w:rFonts w:hint="eastAsia" w:ascii="宋体" w:hAnsi="宋体" w:eastAsia="宋体" w:cs="宋体"/>
          <w:color w:val="auto"/>
          <w:sz w:val="28"/>
          <w:szCs w:val="28"/>
          <w:u w:val="none"/>
          <w:shd w:val="clear" w:color="auto" w:fill="FFFFFF"/>
        </w:rPr>
        <w:t xml:space="preserve"> 至</w:t>
      </w:r>
      <w:r>
        <w:rPr>
          <w:rFonts w:hint="eastAsia" w:ascii="宋体" w:hAnsi="宋体" w:eastAsia="宋体" w:cs="宋体"/>
          <w:bCs/>
          <w:color w:val="auto"/>
          <w:sz w:val="28"/>
          <w:szCs w:val="28"/>
          <w:u w:val="none"/>
          <w:shd w:val="clear" w:color="auto" w:fill="auto"/>
        </w:rPr>
        <w:t xml:space="preserve"> </w:t>
      </w:r>
      <w:r>
        <w:rPr>
          <w:rFonts w:hint="eastAsia" w:ascii="宋体" w:hAnsi="宋体" w:eastAsia="宋体" w:cs="宋体"/>
          <w:bCs/>
          <w:i w:val="0"/>
          <w:iCs w:val="0"/>
          <w:caps w:val="0"/>
          <w:color w:val="auto"/>
          <w:spacing w:val="0"/>
          <w:sz w:val="28"/>
          <w:szCs w:val="28"/>
          <w:u w:val="none"/>
          <w:shd w:val="clear" w:color="auto" w:fill="auto"/>
        </w:rPr>
        <w:t>2031年02月21日</w:t>
      </w:r>
      <w:r>
        <w:rPr>
          <w:rFonts w:hint="eastAsia" w:ascii="宋体" w:hAnsi="宋体" w:eastAsia="宋体" w:cs="宋体"/>
          <w:bCs/>
          <w:color w:val="auto"/>
          <w:sz w:val="28"/>
          <w:szCs w:val="28"/>
          <w:u w:val="none"/>
        </w:rPr>
        <w:t>；企业注册地址：福建省三明市宁化县翠江镇新桥二路2号翠江豪园2号楼107室。</w:t>
      </w:r>
      <w:r>
        <w:rPr>
          <w:rFonts w:hint="eastAsia" w:ascii="宋体" w:hAnsi="宋体" w:eastAsia="宋体" w:cs="宋体"/>
          <w:bCs/>
          <w:color w:val="auto"/>
          <w:sz w:val="28"/>
          <w:szCs w:val="28"/>
          <w:u w:val="none"/>
          <w:lang w:eastAsia="zh-CN"/>
        </w:rPr>
        <w:t>华瑞</w:t>
      </w:r>
      <w:r>
        <w:rPr>
          <w:rFonts w:hint="eastAsia" w:ascii="宋体" w:hAnsi="宋体" w:eastAsia="宋体" w:cs="宋体"/>
          <w:bCs/>
          <w:color w:val="auto"/>
          <w:sz w:val="28"/>
          <w:szCs w:val="28"/>
          <w:u w:val="none"/>
        </w:rPr>
        <w:t>公司登记股东及持股比例分别为：</w:t>
      </w:r>
      <w:r>
        <w:rPr>
          <w:rFonts w:hint="eastAsia" w:ascii="宋体" w:hAnsi="宋体" w:eastAsia="宋体" w:cs="宋体"/>
          <w:bCs/>
          <w:color w:val="auto"/>
          <w:sz w:val="28"/>
          <w:szCs w:val="28"/>
          <w:u w:val="none"/>
          <w:lang w:val="en-US" w:eastAsia="zh-CN"/>
        </w:rPr>
        <w:t>陈学秋60</w:t>
      </w:r>
      <w:r>
        <w:rPr>
          <w:rFonts w:hint="eastAsia" w:ascii="宋体" w:hAnsi="宋体" w:eastAsia="宋体" w:cs="宋体"/>
          <w:bCs/>
          <w:color w:val="auto"/>
          <w:sz w:val="28"/>
          <w:szCs w:val="28"/>
          <w:u w:val="none"/>
        </w:rPr>
        <w:t>%股权，</w:t>
      </w:r>
      <w:r>
        <w:rPr>
          <w:rFonts w:hint="eastAsia" w:ascii="宋体" w:hAnsi="宋体" w:eastAsia="宋体" w:cs="宋体"/>
          <w:bCs/>
          <w:color w:val="auto"/>
          <w:sz w:val="28"/>
          <w:szCs w:val="28"/>
          <w:u w:val="none"/>
          <w:lang w:val="en-US" w:eastAsia="zh-CN"/>
        </w:rPr>
        <w:t>陈辉4</w:t>
      </w:r>
      <w:r>
        <w:rPr>
          <w:rFonts w:hint="eastAsia" w:ascii="宋体" w:hAnsi="宋体" w:eastAsia="宋体" w:cs="宋体"/>
          <w:bCs/>
          <w:color w:val="auto"/>
          <w:sz w:val="28"/>
          <w:szCs w:val="28"/>
          <w:u w:val="none"/>
        </w:rPr>
        <w:t>0%股权。</w:t>
      </w:r>
    </w:p>
    <w:p>
      <w:pPr>
        <w:spacing w:line="520" w:lineRule="exact"/>
        <w:ind w:firstLine="560" w:firstLineChars="200"/>
        <w:rPr>
          <w:rFonts w:hint="eastAsia" w:ascii="宋体" w:hAnsi="宋体" w:eastAsia="宋体" w:cs="宋体"/>
          <w:bCs/>
          <w:color w:val="auto"/>
          <w:sz w:val="28"/>
          <w:szCs w:val="28"/>
          <w:u w:val="none"/>
        </w:rPr>
      </w:pPr>
      <w:r>
        <w:rPr>
          <w:rFonts w:hint="eastAsia" w:ascii="宋体" w:hAnsi="宋体" w:eastAsia="宋体" w:cs="宋体"/>
          <w:bCs/>
          <w:color w:val="auto"/>
          <w:sz w:val="28"/>
          <w:szCs w:val="28"/>
          <w:u w:val="none"/>
        </w:rPr>
        <w:t>据管理人初步调查，</w:t>
      </w:r>
      <w:r>
        <w:rPr>
          <w:rFonts w:hint="eastAsia" w:ascii="宋体" w:hAnsi="宋体" w:eastAsia="宋体" w:cs="宋体"/>
          <w:bCs/>
          <w:color w:val="auto"/>
          <w:sz w:val="28"/>
          <w:szCs w:val="28"/>
          <w:u w:val="none"/>
          <w:lang w:eastAsia="zh-CN"/>
        </w:rPr>
        <w:t>华瑞</w:t>
      </w:r>
      <w:r>
        <w:rPr>
          <w:rFonts w:hint="eastAsia" w:ascii="宋体" w:hAnsi="宋体" w:eastAsia="宋体" w:cs="宋体"/>
          <w:bCs/>
          <w:color w:val="auto"/>
          <w:sz w:val="28"/>
          <w:szCs w:val="28"/>
          <w:u w:val="none"/>
        </w:rPr>
        <w:t>公司名下主要资产包括但不限于：</w:t>
      </w:r>
    </w:p>
    <w:p>
      <w:pPr>
        <w:spacing w:line="520" w:lineRule="exact"/>
        <w:ind w:firstLine="560" w:firstLineChars="200"/>
        <w:rPr>
          <w:rFonts w:hint="default" w:ascii="宋体" w:hAnsi="宋体" w:eastAsia="宋体" w:cs="宋体"/>
          <w:bCs/>
          <w:color w:val="auto"/>
          <w:sz w:val="28"/>
          <w:szCs w:val="28"/>
          <w:u w:val="none"/>
          <w:lang w:val="en-US" w:eastAsia="zh-CN"/>
        </w:rPr>
      </w:pPr>
      <w:r>
        <w:rPr>
          <w:rFonts w:hint="eastAsia" w:ascii="宋体" w:hAnsi="宋体" w:eastAsia="宋体" w:cs="宋体"/>
          <w:bCs/>
          <w:color w:val="auto"/>
          <w:sz w:val="28"/>
          <w:szCs w:val="28"/>
          <w:u w:val="none"/>
        </w:rPr>
        <w:t>（一）国有土地使用权</w:t>
      </w:r>
      <w:r>
        <w:rPr>
          <w:rFonts w:hint="eastAsia" w:ascii="宋体" w:hAnsi="宋体" w:cs="宋体"/>
          <w:bCs/>
          <w:color w:val="auto"/>
          <w:sz w:val="28"/>
          <w:szCs w:val="28"/>
          <w:u w:val="none"/>
          <w:lang w:val="en-US" w:eastAsia="zh-CN"/>
        </w:rPr>
        <w:t>及在建工程</w:t>
      </w:r>
    </w:p>
    <w:p>
      <w:pPr>
        <w:spacing w:line="520" w:lineRule="exact"/>
        <w:ind w:firstLine="560" w:firstLineChars="200"/>
        <w:rPr>
          <w:rFonts w:hint="eastAsia" w:ascii="宋体" w:hAnsi="宋体" w:eastAsia="宋体" w:cs="宋体"/>
          <w:bCs/>
          <w:color w:val="auto"/>
          <w:sz w:val="28"/>
          <w:szCs w:val="28"/>
          <w:u w:val="none"/>
        </w:rPr>
      </w:pPr>
      <w:r>
        <w:rPr>
          <w:rFonts w:hint="eastAsia" w:ascii="宋体" w:hAnsi="宋体" w:eastAsia="宋体" w:cs="宋体"/>
          <w:bCs/>
          <w:color w:val="auto"/>
          <w:sz w:val="28"/>
          <w:szCs w:val="28"/>
          <w:u w:val="none"/>
          <w:lang w:eastAsia="zh-CN"/>
        </w:rPr>
        <w:t>华瑞</w:t>
      </w:r>
      <w:r>
        <w:rPr>
          <w:rFonts w:hint="eastAsia" w:ascii="宋体" w:hAnsi="宋体" w:eastAsia="宋体" w:cs="宋体"/>
          <w:bCs/>
          <w:color w:val="auto"/>
          <w:sz w:val="28"/>
          <w:szCs w:val="28"/>
          <w:u w:val="none"/>
        </w:rPr>
        <w:t>公司已取得土地使用权证记载的</w:t>
      </w:r>
      <w:r>
        <w:rPr>
          <w:rFonts w:hint="eastAsia" w:ascii="宋体" w:hAnsi="宋体" w:eastAsia="宋体" w:cs="宋体"/>
          <w:bCs/>
          <w:color w:val="auto"/>
          <w:sz w:val="28"/>
          <w:szCs w:val="28"/>
          <w:u w:val="none"/>
          <w:lang w:val="en-US" w:eastAsia="zh-CN"/>
        </w:rPr>
        <w:t>总</w:t>
      </w:r>
      <w:r>
        <w:rPr>
          <w:rFonts w:hint="eastAsia" w:ascii="宋体" w:hAnsi="宋体" w:eastAsia="宋体" w:cs="宋体"/>
          <w:bCs/>
          <w:color w:val="auto"/>
          <w:sz w:val="28"/>
          <w:szCs w:val="28"/>
          <w:u w:val="none"/>
        </w:rPr>
        <w:t>面积为9918.00平方米，包括以下2宗：</w:t>
      </w:r>
    </w:p>
    <w:p>
      <w:pPr>
        <w:spacing w:line="520" w:lineRule="exact"/>
        <w:ind w:firstLine="560" w:firstLineChars="200"/>
        <w:rPr>
          <w:rFonts w:hint="eastAsia" w:ascii="宋体" w:hAnsi="宋体" w:eastAsia="宋体" w:cs="宋体"/>
          <w:bCs/>
          <w:color w:val="auto"/>
          <w:sz w:val="28"/>
          <w:szCs w:val="28"/>
          <w:u w:val="none"/>
          <w:lang w:val="en-US" w:eastAsia="zh-CN"/>
        </w:rPr>
      </w:pPr>
      <w:r>
        <w:rPr>
          <w:rFonts w:hint="eastAsia" w:ascii="宋体" w:hAnsi="宋体" w:eastAsia="宋体" w:cs="宋体"/>
          <w:bCs/>
          <w:color w:val="auto"/>
          <w:sz w:val="28"/>
          <w:szCs w:val="28"/>
          <w:u w:val="none"/>
        </w:rPr>
        <w:t>(1）土地使用权证号：宁国用（2011）第18605号，登记机关：宁化县国土资源局，地号：地号8-3-101（1），座落：宁化县翠江镇新桥头（翠江豪园），地类（用途）：商住用地，使用权面积：6782</w:t>
      </w:r>
      <w:r>
        <w:rPr>
          <w:rFonts w:hint="eastAsia" w:ascii="宋体" w:hAnsi="宋体" w:eastAsia="宋体" w:cs="宋体"/>
          <w:bCs/>
          <w:color w:val="auto"/>
          <w:sz w:val="28"/>
          <w:szCs w:val="28"/>
          <w:u w:val="none"/>
          <w:lang w:val="en-US" w:eastAsia="zh-CN"/>
        </w:rPr>
        <w:t>㎡</w:t>
      </w:r>
      <w:r>
        <w:rPr>
          <w:rFonts w:hint="eastAsia" w:ascii="宋体" w:hAnsi="宋体" w:eastAsia="宋体" w:cs="宋体"/>
          <w:bCs/>
          <w:color w:val="auto"/>
          <w:sz w:val="28"/>
          <w:szCs w:val="28"/>
          <w:u w:val="none"/>
        </w:rPr>
        <w:t>。使用权类型为出让，终止日期为住宅2080年12月28日，商业2050年12月28日</w:t>
      </w:r>
      <w:r>
        <w:rPr>
          <w:rFonts w:hint="eastAsia" w:ascii="宋体" w:hAnsi="宋体" w:cs="宋体"/>
          <w:bCs/>
          <w:color w:val="auto"/>
          <w:sz w:val="28"/>
          <w:szCs w:val="28"/>
          <w:u w:val="none"/>
          <w:lang w:eastAsia="zh-CN"/>
        </w:rPr>
        <w:t>。</w:t>
      </w:r>
    </w:p>
    <w:p>
      <w:pPr>
        <w:spacing w:line="520" w:lineRule="exact"/>
        <w:ind w:firstLine="560" w:firstLineChars="200"/>
        <w:rPr>
          <w:rFonts w:hint="eastAsia" w:ascii="宋体" w:hAnsi="宋体" w:cs="宋体"/>
          <w:bCs/>
          <w:color w:val="auto"/>
          <w:sz w:val="28"/>
          <w:szCs w:val="28"/>
          <w:u w:val="none"/>
          <w:lang w:eastAsia="zh-CN"/>
        </w:rPr>
      </w:pPr>
      <w:r>
        <w:rPr>
          <w:rFonts w:hint="eastAsia" w:ascii="宋体" w:hAnsi="宋体" w:eastAsia="宋体" w:cs="宋体"/>
          <w:bCs/>
          <w:color w:val="auto"/>
          <w:sz w:val="28"/>
          <w:szCs w:val="28"/>
          <w:u w:val="none"/>
        </w:rPr>
        <w:t>(2）土地使用权证号：宁国用（2011）第18606号，登记机关：宁化县国土资源局，地号8-3-101（1），座落：宁化县翠江镇新桥头（翠江豪园），地类（用途）：商住用地，使用权面积：3136</w:t>
      </w:r>
      <w:r>
        <w:rPr>
          <w:rFonts w:hint="eastAsia" w:ascii="宋体" w:hAnsi="宋体" w:eastAsia="宋体" w:cs="宋体"/>
          <w:bCs/>
          <w:color w:val="auto"/>
          <w:sz w:val="28"/>
          <w:szCs w:val="28"/>
          <w:u w:val="none"/>
          <w:lang w:val="en-US" w:eastAsia="zh-CN"/>
        </w:rPr>
        <w:t>㎡</w:t>
      </w:r>
      <w:r>
        <w:rPr>
          <w:rFonts w:hint="eastAsia" w:ascii="宋体" w:hAnsi="宋体" w:eastAsia="宋体" w:cs="宋体"/>
          <w:bCs/>
          <w:color w:val="auto"/>
          <w:sz w:val="28"/>
          <w:szCs w:val="28"/>
          <w:u w:val="none"/>
        </w:rPr>
        <w:t>。土地使用权类型为出让，终止日期至住宅2080年12月28日，商业2050年12月28日</w:t>
      </w:r>
      <w:r>
        <w:rPr>
          <w:rFonts w:hint="eastAsia" w:ascii="宋体" w:hAnsi="宋体" w:cs="宋体"/>
          <w:bCs/>
          <w:color w:val="auto"/>
          <w:sz w:val="28"/>
          <w:szCs w:val="28"/>
          <w:u w:val="none"/>
          <w:lang w:eastAsia="zh-CN"/>
        </w:rPr>
        <w:t>。</w:t>
      </w:r>
    </w:p>
    <w:p>
      <w:pPr>
        <w:spacing w:line="520" w:lineRule="exact"/>
        <w:ind w:firstLine="560" w:firstLineChars="200"/>
        <w:rPr>
          <w:rFonts w:hint="eastAsia" w:ascii="宋体" w:hAnsi="宋体" w:cs="宋体"/>
          <w:bCs/>
          <w:color w:val="auto"/>
          <w:sz w:val="28"/>
          <w:szCs w:val="28"/>
          <w:u w:val="none"/>
          <w:lang w:eastAsia="zh-CN"/>
        </w:rPr>
      </w:pPr>
      <w:r>
        <w:rPr>
          <w:rFonts w:hint="eastAsia" w:ascii="宋体" w:hAnsi="宋体" w:cs="宋体"/>
          <w:bCs/>
          <w:color w:val="auto"/>
          <w:sz w:val="28"/>
          <w:szCs w:val="28"/>
          <w:u w:val="none"/>
          <w:lang w:eastAsia="zh-CN"/>
        </w:rPr>
        <w:t>（</w:t>
      </w:r>
      <w:r>
        <w:rPr>
          <w:rFonts w:hint="eastAsia" w:ascii="宋体" w:hAnsi="宋体" w:cs="宋体"/>
          <w:bCs/>
          <w:color w:val="auto"/>
          <w:sz w:val="28"/>
          <w:szCs w:val="28"/>
          <w:u w:val="none"/>
          <w:lang w:val="en-US" w:eastAsia="zh-CN"/>
        </w:rPr>
        <w:t>3</w:t>
      </w:r>
      <w:r>
        <w:rPr>
          <w:rFonts w:hint="eastAsia" w:ascii="宋体" w:hAnsi="宋体" w:cs="宋体"/>
          <w:bCs/>
          <w:color w:val="auto"/>
          <w:sz w:val="28"/>
          <w:szCs w:val="28"/>
          <w:u w:val="none"/>
          <w:lang w:eastAsia="zh-CN"/>
        </w:rPr>
        <w:t>）</w:t>
      </w:r>
      <w:r>
        <w:rPr>
          <w:rFonts w:hint="eastAsia" w:ascii="宋体" w:hAnsi="宋体" w:cs="宋体"/>
          <w:bCs/>
          <w:color w:val="auto"/>
          <w:sz w:val="28"/>
          <w:szCs w:val="28"/>
          <w:u w:val="none"/>
          <w:lang w:val="en-US" w:eastAsia="zh-CN"/>
        </w:rPr>
        <w:t>在建工程情况：</w:t>
      </w:r>
      <w:r>
        <w:rPr>
          <w:rFonts w:hint="eastAsia" w:ascii="宋体" w:hAnsi="宋体" w:cs="宋体"/>
          <w:bCs/>
          <w:color w:val="auto"/>
          <w:sz w:val="28"/>
          <w:szCs w:val="28"/>
          <w:u w:val="none"/>
          <w:lang w:eastAsia="zh-CN"/>
        </w:rPr>
        <w:t>该项目规划用地面积0.99万m²，占地面积0.40万m,总建筑面积4.08万m²,计容建筑面积3.27万m²，其中住宅可售面积2.25万m²(套数为222套)，商业及写字楼可售面积1.02万m²(商业322间，写字楼8间)。分两幢楼建设，其中1#楼建筑层数为二十五层，裙楼为四层；2#楼建筑层数为二十七层，裙楼建筑层数为三层，</w:t>
      </w:r>
      <w:r>
        <w:rPr>
          <w:rFonts w:hint="eastAsia" w:ascii="宋体" w:hAnsi="宋体" w:cs="宋体"/>
          <w:bCs/>
          <w:color w:val="auto"/>
          <w:sz w:val="28"/>
          <w:szCs w:val="28"/>
          <w:u w:val="none"/>
          <w:lang w:val="en-US" w:eastAsia="zh-CN"/>
        </w:rPr>
        <w:t>目前</w:t>
      </w:r>
      <w:r>
        <w:rPr>
          <w:rFonts w:hint="eastAsia" w:ascii="宋体" w:hAnsi="宋体" w:cs="宋体"/>
          <w:bCs/>
          <w:color w:val="auto"/>
          <w:sz w:val="28"/>
          <w:szCs w:val="28"/>
          <w:u w:val="none"/>
          <w:lang w:eastAsia="zh-CN"/>
        </w:rPr>
        <w:t>1#楼封顶，外墙贴面砖至四层，2#楼基本完工，部分业主</w:t>
      </w:r>
      <w:r>
        <w:rPr>
          <w:rFonts w:hint="eastAsia" w:ascii="宋体" w:hAnsi="宋体" w:cs="宋体"/>
          <w:bCs/>
          <w:color w:val="auto"/>
          <w:sz w:val="28"/>
          <w:szCs w:val="28"/>
          <w:u w:val="none"/>
          <w:lang w:val="en-US" w:eastAsia="zh-CN"/>
        </w:rPr>
        <w:t>已实际</w:t>
      </w:r>
      <w:r>
        <w:rPr>
          <w:rFonts w:hint="eastAsia" w:ascii="宋体" w:hAnsi="宋体" w:cs="宋体"/>
          <w:bCs/>
          <w:color w:val="auto"/>
          <w:sz w:val="28"/>
          <w:szCs w:val="28"/>
          <w:u w:val="none"/>
          <w:lang w:eastAsia="zh-CN"/>
        </w:rPr>
        <w:t>装修入驻。</w:t>
      </w:r>
    </w:p>
    <w:p>
      <w:pPr>
        <w:numPr>
          <w:ilvl w:val="0"/>
          <w:numId w:val="0"/>
        </w:numPr>
        <w:spacing w:line="520" w:lineRule="exact"/>
        <w:ind w:firstLine="560" w:firstLineChars="200"/>
        <w:rPr>
          <w:rFonts w:hint="eastAsia" w:ascii="宋体" w:hAnsi="宋体" w:eastAsia="宋体" w:cs="宋体"/>
          <w:bCs/>
          <w:color w:val="auto"/>
          <w:sz w:val="28"/>
          <w:szCs w:val="28"/>
          <w:u w:val="none"/>
        </w:rPr>
      </w:pPr>
      <w:r>
        <w:rPr>
          <w:rFonts w:hint="eastAsia" w:ascii="宋体" w:hAnsi="宋体" w:cs="宋体"/>
          <w:bCs/>
          <w:color w:val="auto"/>
          <w:sz w:val="28"/>
          <w:szCs w:val="28"/>
          <w:u w:val="none"/>
          <w:lang w:eastAsia="zh-CN"/>
        </w:rPr>
        <w:t>（</w:t>
      </w:r>
      <w:r>
        <w:rPr>
          <w:rFonts w:hint="eastAsia" w:ascii="宋体" w:hAnsi="宋体" w:cs="宋体"/>
          <w:bCs/>
          <w:color w:val="auto"/>
          <w:sz w:val="28"/>
          <w:szCs w:val="28"/>
          <w:u w:val="none"/>
          <w:lang w:val="en-US" w:eastAsia="zh-CN"/>
        </w:rPr>
        <w:t>二</w:t>
      </w:r>
      <w:r>
        <w:rPr>
          <w:rFonts w:hint="eastAsia" w:ascii="宋体" w:hAnsi="宋体" w:cs="宋体"/>
          <w:bCs/>
          <w:color w:val="auto"/>
          <w:sz w:val="28"/>
          <w:szCs w:val="28"/>
          <w:u w:val="none"/>
          <w:lang w:eastAsia="zh-CN"/>
        </w:rPr>
        <w:t>）</w:t>
      </w:r>
      <w:r>
        <w:rPr>
          <w:rFonts w:hint="eastAsia" w:ascii="宋体" w:hAnsi="宋体" w:eastAsia="宋体" w:cs="宋体"/>
          <w:bCs/>
          <w:color w:val="auto"/>
          <w:sz w:val="28"/>
          <w:szCs w:val="28"/>
          <w:u w:val="none"/>
        </w:rPr>
        <w:t>关于银行资金、应收账款、其他应收款等资产信息，因</w:t>
      </w:r>
      <w:r>
        <w:rPr>
          <w:rFonts w:hint="eastAsia" w:ascii="宋体" w:hAnsi="宋体" w:cs="宋体"/>
          <w:bCs/>
          <w:color w:val="auto"/>
          <w:sz w:val="28"/>
          <w:szCs w:val="28"/>
          <w:u w:val="none"/>
          <w:lang w:val="en-US" w:eastAsia="zh-CN"/>
        </w:rPr>
        <w:t>管理人暂未接管到</w:t>
      </w:r>
      <w:r>
        <w:rPr>
          <w:rFonts w:hint="eastAsia" w:ascii="宋体" w:hAnsi="宋体" w:eastAsia="宋体" w:cs="宋体"/>
          <w:bCs/>
          <w:color w:val="auto"/>
          <w:sz w:val="28"/>
          <w:szCs w:val="28"/>
          <w:u w:val="none"/>
        </w:rPr>
        <w:t>各类台账及财务凭证，</w:t>
      </w:r>
      <w:r>
        <w:rPr>
          <w:rFonts w:hint="eastAsia" w:ascii="宋体" w:hAnsi="宋体" w:cs="宋体"/>
          <w:bCs/>
          <w:color w:val="auto"/>
          <w:sz w:val="28"/>
          <w:szCs w:val="28"/>
          <w:u w:val="none"/>
          <w:lang w:val="en-US" w:eastAsia="zh-CN"/>
        </w:rPr>
        <w:t>目前暂无信息；待管理人接管后及时向辅助机构披露，</w:t>
      </w:r>
      <w:r>
        <w:rPr>
          <w:rFonts w:hint="eastAsia" w:ascii="宋体" w:hAnsi="宋体" w:eastAsia="宋体" w:cs="宋体"/>
          <w:bCs/>
          <w:color w:val="auto"/>
          <w:sz w:val="28"/>
          <w:szCs w:val="28"/>
          <w:u w:val="none"/>
        </w:rPr>
        <w:t xml:space="preserve">后续将协助相关辅助机构进一步收集和调查了解。  </w:t>
      </w:r>
    </w:p>
    <w:p>
      <w:pPr>
        <w:spacing w:line="520" w:lineRule="exact"/>
        <w:ind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三、响应机构资格要求</w:t>
      </w:r>
    </w:p>
    <w:p>
      <w:pPr>
        <w:spacing w:line="520" w:lineRule="exact"/>
        <w:ind w:firstLine="562" w:firstLineChars="200"/>
        <w:rPr>
          <w:rFonts w:hint="eastAsia" w:ascii="宋体" w:hAnsi="宋体" w:eastAsia="宋体" w:cs="宋体"/>
          <w:b/>
          <w:color w:val="000000"/>
          <w:sz w:val="28"/>
          <w:szCs w:val="28"/>
          <w:lang w:val="en-US" w:eastAsia="zh-CN"/>
        </w:rPr>
      </w:pPr>
      <w:r>
        <w:rPr>
          <w:rFonts w:hint="eastAsia" w:ascii="宋体" w:hAnsi="宋体" w:cs="宋体"/>
          <w:b/>
          <w:color w:val="000000"/>
          <w:sz w:val="28"/>
          <w:szCs w:val="28"/>
          <w:lang w:val="en-US" w:eastAsia="zh-CN"/>
        </w:rPr>
        <w:t>（一）</w:t>
      </w:r>
      <w:r>
        <w:rPr>
          <w:rFonts w:hint="eastAsia" w:ascii="宋体" w:hAnsi="宋体" w:eastAsia="宋体" w:cs="宋体"/>
          <w:b/>
          <w:color w:val="000000"/>
          <w:sz w:val="28"/>
          <w:szCs w:val="28"/>
          <w:lang w:val="en-US" w:eastAsia="zh-CN"/>
        </w:rPr>
        <w:t>参与本次选聘的工程质量鉴定机构应具备以下条件：</w:t>
      </w:r>
    </w:p>
    <w:p>
      <w:pPr>
        <w:pStyle w:val="5"/>
        <w:spacing w:line="520" w:lineRule="exact"/>
        <w:ind w:firstLine="562"/>
        <w:rPr>
          <w:rFonts w:hint="eastAsia" w:ascii="宋体" w:hAnsi="宋体" w:eastAsia="宋体" w:cs="宋体"/>
          <w:b w:val="0"/>
          <w:bCs/>
          <w:color w:val="000000"/>
          <w:sz w:val="28"/>
          <w:szCs w:val="28"/>
        </w:rPr>
      </w:pPr>
      <w:r>
        <w:rPr>
          <w:rFonts w:hint="eastAsia" w:ascii="宋体" w:hAnsi="宋体" w:eastAsia="宋体" w:cs="宋体"/>
          <w:b w:val="0"/>
          <w:bCs/>
          <w:color w:val="000000"/>
          <w:sz w:val="28"/>
          <w:szCs w:val="28"/>
        </w:rPr>
        <w:t>1.具有独立的民事行为能力并能独立承担民事责任；</w:t>
      </w:r>
    </w:p>
    <w:p>
      <w:pPr>
        <w:pStyle w:val="5"/>
        <w:spacing w:line="520" w:lineRule="exact"/>
        <w:ind w:firstLine="562"/>
        <w:rPr>
          <w:rFonts w:hint="default" w:ascii="宋体" w:hAnsi="宋体" w:eastAsia="宋体" w:cs="宋体"/>
          <w:b w:val="0"/>
          <w:bCs/>
          <w:color w:val="000000"/>
          <w:sz w:val="28"/>
          <w:szCs w:val="28"/>
          <w:u w:val="none"/>
          <w:lang w:val="en-US"/>
        </w:rPr>
      </w:pPr>
      <w:r>
        <w:rPr>
          <w:rFonts w:hint="eastAsia" w:ascii="宋体" w:hAnsi="宋体" w:eastAsia="宋体" w:cs="宋体"/>
          <w:b w:val="0"/>
          <w:bCs/>
          <w:color w:val="000000"/>
          <w:sz w:val="28"/>
          <w:szCs w:val="28"/>
        </w:rPr>
        <w:t>2.依据中国法律注册成立的，具有建设行政主管部门核发的可承接本检测项目的有效的工程质量检测机构企业资质等级证书，并具有有效的质量技术监督机构颁发的CMA计量认证证书</w:t>
      </w:r>
      <w:r>
        <w:rPr>
          <w:rFonts w:hint="eastAsia" w:ascii="宋体" w:hAnsi="宋体" w:cs="宋体"/>
          <w:b w:val="0"/>
          <w:bCs/>
          <w:color w:val="000000"/>
          <w:sz w:val="28"/>
          <w:szCs w:val="28"/>
          <w:lang w:eastAsia="zh-CN"/>
        </w:rPr>
        <w:t>，</w:t>
      </w:r>
      <w:r>
        <w:rPr>
          <w:rFonts w:hint="eastAsia" w:ascii="宋体" w:hAnsi="宋体" w:eastAsia="宋体" w:cs="宋体"/>
          <w:b w:val="0"/>
          <w:bCs/>
          <w:color w:val="000000"/>
          <w:sz w:val="28"/>
          <w:szCs w:val="28"/>
        </w:rPr>
        <w:t>住所地设在福建省或在</w:t>
      </w:r>
      <w:r>
        <w:rPr>
          <w:rFonts w:hint="eastAsia" w:ascii="宋体" w:hAnsi="宋体" w:cs="宋体"/>
          <w:b w:val="0"/>
          <w:bCs/>
          <w:color w:val="000000"/>
          <w:sz w:val="28"/>
          <w:szCs w:val="28"/>
          <w:lang w:val="en-US" w:eastAsia="zh-CN"/>
        </w:rPr>
        <w:t>福建省内</w:t>
      </w:r>
      <w:r>
        <w:rPr>
          <w:rFonts w:hint="eastAsia" w:ascii="宋体" w:hAnsi="宋体" w:eastAsia="宋体" w:cs="宋体"/>
          <w:b w:val="0"/>
          <w:bCs/>
          <w:color w:val="000000"/>
          <w:sz w:val="28"/>
          <w:szCs w:val="28"/>
        </w:rPr>
        <w:t>设有分支机构</w:t>
      </w:r>
      <w:r>
        <w:rPr>
          <w:rFonts w:hint="eastAsia" w:ascii="宋体" w:hAnsi="宋体" w:cs="宋体"/>
          <w:b w:val="0"/>
          <w:bCs/>
          <w:color w:val="000000"/>
          <w:sz w:val="28"/>
          <w:szCs w:val="28"/>
          <w:lang w:eastAsia="zh-CN"/>
        </w:rPr>
        <w:t>，</w:t>
      </w:r>
      <w:r>
        <w:rPr>
          <w:rFonts w:hint="eastAsia" w:ascii="宋体" w:hAnsi="宋体" w:cs="宋体"/>
          <w:b/>
          <w:bCs w:val="0"/>
          <w:color w:val="000000"/>
          <w:sz w:val="28"/>
          <w:szCs w:val="28"/>
          <w:u w:val="single"/>
          <w:lang w:val="en-US" w:eastAsia="zh-CN"/>
        </w:rPr>
        <w:t>并入选三明市住房和城乡建设局</w:t>
      </w:r>
      <w:r>
        <w:rPr>
          <w:rFonts w:hint="eastAsia" w:ascii="宋体" w:hAnsi="宋体" w:cs="宋体"/>
          <w:b/>
          <w:bCs w:val="0"/>
          <w:color w:val="000000"/>
          <w:sz w:val="28"/>
          <w:szCs w:val="28"/>
          <w:u w:val="single"/>
          <w:lang w:val="en-US" w:eastAsia="zh-CN"/>
        </w:rPr>
        <w:t>2024年度三明市房屋鉴定机构名单</w:t>
      </w:r>
      <w:r>
        <w:rPr>
          <w:rFonts w:hint="eastAsia" w:ascii="宋体" w:hAnsi="宋体" w:cs="宋体"/>
          <w:b w:val="0"/>
          <w:bCs/>
          <w:color w:val="000000"/>
          <w:sz w:val="28"/>
          <w:szCs w:val="28"/>
          <w:u w:val="none"/>
          <w:lang w:val="en-US" w:eastAsia="zh-CN"/>
        </w:rPr>
        <w:t>；</w:t>
      </w:r>
    </w:p>
    <w:p>
      <w:pPr>
        <w:pStyle w:val="5"/>
        <w:spacing w:line="520" w:lineRule="exact"/>
        <w:ind w:firstLine="562"/>
        <w:rPr>
          <w:rFonts w:hint="default" w:ascii="宋体" w:hAnsi="宋体" w:eastAsia="宋体" w:cs="宋体"/>
          <w:b w:val="0"/>
          <w:bCs/>
          <w:color w:val="000000"/>
          <w:sz w:val="28"/>
          <w:szCs w:val="28"/>
          <w:lang w:val="en-US" w:eastAsia="zh-CN"/>
        </w:rPr>
      </w:pPr>
      <w:r>
        <w:rPr>
          <w:rFonts w:hint="eastAsia" w:ascii="宋体" w:hAnsi="宋体" w:cs="宋体"/>
          <w:b w:val="0"/>
          <w:bCs/>
          <w:color w:val="000000"/>
          <w:sz w:val="28"/>
          <w:szCs w:val="28"/>
          <w:lang w:val="en-US" w:eastAsia="zh-CN"/>
        </w:rPr>
        <w:t>3.</w:t>
      </w:r>
      <w:r>
        <w:rPr>
          <w:rFonts w:hint="eastAsia" w:ascii="宋体" w:hAnsi="宋体" w:eastAsia="宋体" w:cs="宋体"/>
          <w:b w:val="0"/>
          <w:bCs/>
          <w:color w:val="000000"/>
          <w:sz w:val="28"/>
          <w:szCs w:val="28"/>
        </w:rPr>
        <w:t>具备司法鉴定资质的优先</w:t>
      </w:r>
      <w:r>
        <w:rPr>
          <w:rFonts w:hint="eastAsia" w:ascii="宋体" w:hAnsi="宋体" w:cs="宋体"/>
          <w:b w:val="0"/>
          <w:bCs/>
          <w:color w:val="000000"/>
          <w:sz w:val="28"/>
          <w:szCs w:val="28"/>
          <w:lang w:eastAsia="zh-CN"/>
        </w:rPr>
        <w:t>，</w:t>
      </w:r>
      <w:r>
        <w:rPr>
          <w:rFonts w:hint="eastAsia" w:ascii="宋体" w:hAnsi="宋体" w:eastAsia="宋体" w:cs="宋体"/>
          <w:b w:val="0"/>
          <w:bCs/>
          <w:color w:val="000000"/>
          <w:sz w:val="28"/>
          <w:szCs w:val="28"/>
        </w:rPr>
        <w:t>曾参与房地产企业破产案件的优先；</w:t>
      </w:r>
    </w:p>
    <w:p>
      <w:pPr>
        <w:pStyle w:val="5"/>
        <w:spacing w:line="520" w:lineRule="exact"/>
        <w:ind w:firstLine="562"/>
        <w:rPr>
          <w:rFonts w:hint="eastAsia" w:ascii="宋体" w:hAnsi="宋体" w:eastAsia="宋体" w:cs="宋体"/>
          <w:b w:val="0"/>
          <w:bCs/>
          <w:color w:val="000000"/>
          <w:sz w:val="28"/>
          <w:szCs w:val="28"/>
        </w:rPr>
      </w:pPr>
      <w:r>
        <w:rPr>
          <w:rFonts w:hint="eastAsia" w:ascii="宋体" w:hAnsi="宋体" w:cs="宋体"/>
          <w:b w:val="0"/>
          <w:bCs/>
          <w:color w:val="000000"/>
          <w:sz w:val="28"/>
          <w:szCs w:val="28"/>
          <w:lang w:val="en-US" w:eastAsia="zh-CN"/>
        </w:rPr>
        <w:t>4</w:t>
      </w:r>
      <w:r>
        <w:rPr>
          <w:rFonts w:hint="eastAsia" w:ascii="宋体" w:hAnsi="宋体" w:eastAsia="宋体" w:cs="宋体"/>
          <w:b w:val="0"/>
          <w:bCs/>
          <w:color w:val="000000"/>
          <w:sz w:val="28"/>
          <w:szCs w:val="28"/>
        </w:rPr>
        <w:t>.指派工作团队不得少于</w:t>
      </w:r>
      <w:r>
        <w:rPr>
          <w:rFonts w:hint="eastAsia" w:ascii="宋体" w:hAnsi="宋体" w:cs="宋体"/>
          <w:b w:val="0"/>
          <w:bCs/>
          <w:color w:val="000000"/>
          <w:sz w:val="28"/>
          <w:szCs w:val="28"/>
          <w:lang w:val="en-US" w:eastAsia="zh-CN"/>
        </w:rPr>
        <w:t>5</w:t>
      </w:r>
      <w:r>
        <w:rPr>
          <w:rFonts w:hint="eastAsia" w:ascii="宋体" w:hAnsi="宋体" w:eastAsia="宋体" w:cs="宋体"/>
          <w:b w:val="0"/>
          <w:bCs/>
          <w:color w:val="000000"/>
          <w:sz w:val="28"/>
          <w:szCs w:val="28"/>
        </w:rPr>
        <w:t>人，其中高级职称以上不得少于</w:t>
      </w:r>
      <w:r>
        <w:rPr>
          <w:rFonts w:hint="eastAsia" w:ascii="宋体" w:hAnsi="宋体" w:cs="宋体"/>
          <w:b w:val="0"/>
          <w:bCs/>
          <w:color w:val="000000"/>
          <w:sz w:val="28"/>
          <w:szCs w:val="28"/>
          <w:lang w:val="en-US" w:eastAsia="zh-CN"/>
        </w:rPr>
        <w:t>2</w:t>
      </w:r>
      <w:r>
        <w:rPr>
          <w:rFonts w:hint="eastAsia" w:ascii="宋体" w:hAnsi="宋体" w:eastAsia="宋体" w:cs="宋体"/>
          <w:b w:val="0"/>
          <w:bCs/>
          <w:color w:val="000000"/>
          <w:sz w:val="28"/>
          <w:szCs w:val="28"/>
        </w:rPr>
        <w:t>人；</w:t>
      </w:r>
    </w:p>
    <w:p>
      <w:pPr>
        <w:pStyle w:val="5"/>
        <w:spacing w:line="520" w:lineRule="exact"/>
        <w:ind w:firstLine="562"/>
        <w:rPr>
          <w:rFonts w:hint="eastAsia" w:ascii="宋体" w:hAnsi="宋体" w:eastAsia="宋体" w:cs="宋体"/>
          <w:b w:val="0"/>
          <w:bCs/>
          <w:color w:val="000000"/>
          <w:sz w:val="28"/>
          <w:szCs w:val="28"/>
        </w:rPr>
      </w:pPr>
      <w:r>
        <w:rPr>
          <w:rFonts w:hint="eastAsia" w:ascii="宋体" w:hAnsi="宋体" w:cs="宋体"/>
          <w:b w:val="0"/>
          <w:bCs/>
          <w:color w:val="000000"/>
          <w:sz w:val="28"/>
          <w:szCs w:val="28"/>
          <w:lang w:val="en-US" w:eastAsia="zh-CN"/>
        </w:rPr>
        <w:t>5</w:t>
      </w:r>
      <w:r>
        <w:rPr>
          <w:rFonts w:hint="eastAsia" w:ascii="宋体" w:hAnsi="宋体" w:eastAsia="宋体" w:cs="宋体"/>
          <w:b w:val="0"/>
          <w:bCs/>
          <w:color w:val="000000"/>
          <w:sz w:val="28"/>
          <w:szCs w:val="28"/>
        </w:rPr>
        <w:t>.与本案无利害关系，且不得存在3年内因违规执业被行政处罚或者行业处分的情形，且不得进入国家信用系统公示的失信人名单；</w:t>
      </w:r>
    </w:p>
    <w:p>
      <w:pPr>
        <w:pStyle w:val="5"/>
        <w:spacing w:line="520" w:lineRule="exact"/>
        <w:ind w:firstLine="562"/>
        <w:rPr>
          <w:rFonts w:hint="eastAsia" w:ascii="宋体" w:hAnsi="宋体" w:eastAsia="宋体" w:cs="宋体"/>
          <w:b w:val="0"/>
          <w:bCs/>
          <w:color w:val="000000"/>
          <w:sz w:val="28"/>
          <w:szCs w:val="28"/>
        </w:rPr>
      </w:pPr>
      <w:r>
        <w:rPr>
          <w:rFonts w:hint="eastAsia" w:ascii="宋体" w:hAnsi="宋体" w:cs="宋体"/>
          <w:b w:val="0"/>
          <w:bCs/>
          <w:color w:val="000000"/>
          <w:sz w:val="28"/>
          <w:szCs w:val="28"/>
          <w:lang w:val="en-US" w:eastAsia="zh-CN"/>
        </w:rPr>
        <w:t>6</w:t>
      </w:r>
      <w:r>
        <w:rPr>
          <w:rFonts w:hint="eastAsia" w:ascii="宋体" w:hAnsi="宋体" w:eastAsia="宋体" w:cs="宋体"/>
          <w:b w:val="0"/>
          <w:bCs/>
          <w:color w:val="000000"/>
          <w:sz w:val="28"/>
          <w:szCs w:val="28"/>
        </w:rPr>
        <w:t>.人民法院或管理人认为其他有利于项目处置的条件。</w:t>
      </w:r>
    </w:p>
    <w:p>
      <w:pPr>
        <w:spacing w:line="520" w:lineRule="exact"/>
        <w:ind w:firstLine="560"/>
        <w:outlineLvl w:val="0"/>
        <w:rPr>
          <w:rFonts w:hint="eastAsia" w:ascii="宋体" w:hAnsi="宋体" w:eastAsia="宋体" w:cs="宋体"/>
          <w:color w:val="000000"/>
          <w:sz w:val="28"/>
          <w:szCs w:val="28"/>
        </w:rPr>
      </w:pPr>
      <w:r>
        <w:rPr>
          <w:rFonts w:hint="eastAsia" w:ascii="宋体" w:hAnsi="宋体" w:eastAsia="宋体" w:cs="宋体"/>
          <w:b/>
          <w:bCs/>
          <w:color w:val="000000"/>
          <w:sz w:val="28"/>
          <w:szCs w:val="28"/>
        </w:rPr>
        <w:t>（</w:t>
      </w:r>
      <w:r>
        <w:rPr>
          <w:rFonts w:hint="eastAsia" w:ascii="宋体" w:hAnsi="宋体" w:cs="宋体"/>
          <w:b/>
          <w:bCs/>
          <w:color w:val="000000"/>
          <w:sz w:val="28"/>
          <w:szCs w:val="28"/>
          <w:lang w:val="en-US" w:eastAsia="zh-CN"/>
        </w:rPr>
        <w:t>二</w:t>
      </w:r>
      <w:r>
        <w:rPr>
          <w:rFonts w:hint="eastAsia" w:ascii="宋体" w:hAnsi="宋体" w:eastAsia="宋体" w:cs="宋体"/>
          <w:b/>
          <w:bCs/>
          <w:color w:val="000000"/>
          <w:sz w:val="28"/>
          <w:szCs w:val="28"/>
        </w:rPr>
        <w:t>）上述“与本案无利害关系”包括以下情形</w:t>
      </w:r>
    </w:p>
    <w:p>
      <w:pPr>
        <w:spacing w:line="520" w:lineRule="exact"/>
        <w:ind w:firstLine="560"/>
        <w:rPr>
          <w:rFonts w:hint="eastAsia" w:ascii="宋体" w:hAnsi="宋体" w:eastAsia="宋体" w:cs="宋体"/>
          <w:color w:val="000000"/>
          <w:sz w:val="28"/>
          <w:szCs w:val="28"/>
        </w:rPr>
      </w:pPr>
      <w:r>
        <w:rPr>
          <w:rFonts w:hint="eastAsia" w:ascii="宋体" w:hAnsi="宋体" w:eastAsia="宋体" w:cs="宋体"/>
          <w:color w:val="000000"/>
          <w:sz w:val="28"/>
          <w:szCs w:val="28"/>
        </w:rPr>
        <w:t>1.与</w:t>
      </w:r>
      <w:r>
        <w:rPr>
          <w:rFonts w:hint="eastAsia" w:ascii="宋体" w:hAnsi="宋体" w:eastAsia="宋体" w:cs="宋体"/>
          <w:color w:val="000000"/>
          <w:sz w:val="28"/>
          <w:szCs w:val="28"/>
          <w:lang w:eastAsia="zh-CN"/>
        </w:rPr>
        <w:t>华瑞</w:t>
      </w:r>
      <w:r>
        <w:rPr>
          <w:rFonts w:hint="eastAsia" w:ascii="宋体" w:hAnsi="宋体" w:eastAsia="宋体" w:cs="宋体"/>
          <w:color w:val="000000"/>
          <w:sz w:val="28"/>
          <w:szCs w:val="28"/>
        </w:rPr>
        <w:t>公司</w:t>
      </w:r>
      <w:r>
        <w:rPr>
          <w:rFonts w:hint="eastAsia" w:ascii="宋体" w:hAnsi="宋体" w:eastAsia="宋体" w:cs="宋体"/>
          <w:bCs/>
          <w:color w:val="000000"/>
          <w:sz w:val="28"/>
          <w:szCs w:val="28"/>
        </w:rPr>
        <w:t>没</w:t>
      </w:r>
      <w:r>
        <w:rPr>
          <w:rFonts w:hint="eastAsia" w:ascii="宋体" w:hAnsi="宋体" w:eastAsia="宋体" w:cs="宋体"/>
          <w:color w:val="000000"/>
          <w:sz w:val="28"/>
          <w:szCs w:val="28"/>
        </w:rPr>
        <w:t>有未了结的债权债务关系；</w:t>
      </w:r>
    </w:p>
    <w:p>
      <w:pPr>
        <w:spacing w:line="520" w:lineRule="exact"/>
        <w:ind w:firstLine="560"/>
        <w:rPr>
          <w:rFonts w:hint="eastAsia" w:ascii="宋体" w:hAnsi="宋体" w:eastAsia="宋体" w:cs="宋体"/>
          <w:color w:val="000000"/>
          <w:sz w:val="28"/>
          <w:szCs w:val="28"/>
        </w:rPr>
      </w:pPr>
      <w:r>
        <w:rPr>
          <w:rFonts w:hint="eastAsia" w:ascii="宋体" w:hAnsi="宋体" w:eastAsia="宋体" w:cs="宋体"/>
          <w:color w:val="000000"/>
          <w:sz w:val="28"/>
          <w:szCs w:val="28"/>
        </w:rPr>
        <w:t>2.在破产受理前三年内，不曾为</w:t>
      </w:r>
      <w:r>
        <w:rPr>
          <w:rFonts w:hint="eastAsia" w:ascii="宋体" w:hAnsi="宋体" w:eastAsia="宋体" w:cs="宋体"/>
          <w:color w:val="000000"/>
          <w:sz w:val="28"/>
          <w:szCs w:val="28"/>
          <w:lang w:eastAsia="zh-CN"/>
        </w:rPr>
        <w:t>华瑞</w:t>
      </w:r>
      <w:r>
        <w:rPr>
          <w:rFonts w:hint="eastAsia" w:ascii="宋体" w:hAnsi="宋体" w:eastAsia="宋体" w:cs="宋体"/>
          <w:color w:val="000000"/>
          <w:sz w:val="28"/>
          <w:szCs w:val="28"/>
        </w:rPr>
        <w:t>公司提供相对固定的服务；</w:t>
      </w:r>
    </w:p>
    <w:p>
      <w:pPr>
        <w:spacing w:line="520" w:lineRule="exact"/>
        <w:ind w:firstLine="560"/>
        <w:rPr>
          <w:rFonts w:hint="eastAsia" w:ascii="宋体" w:hAnsi="宋体" w:eastAsia="宋体" w:cs="宋体"/>
          <w:color w:val="000000"/>
          <w:sz w:val="28"/>
          <w:szCs w:val="28"/>
        </w:rPr>
      </w:pPr>
      <w:r>
        <w:rPr>
          <w:rFonts w:hint="eastAsia" w:ascii="宋体" w:hAnsi="宋体" w:eastAsia="宋体" w:cs="宋体"/>
          <w:color w:val="000000"/>
          <w:sz w:val="28"/>
          <w:szCs w:val="28"/>
        </w:rPr>
        <w:t>3.现在不是或在破产受理前三年内不是</w:t>
      </w:r>
      <w:r>
        <w:rPr>
          <w:rFonts w:hint="eastAsia" w:ascii="宋体" w:hAnsi="宋体" w:eastAsia="宋体" w:cs="宋体"/>
          <w:color w:val="000000"/>
          <w:sz w:val="28"/>
          <w:szCs w:val="28"/>
          <w:lang w:eastAsia="zh-CN"/>
        </w:rPr>
        <w:t>华瑞</w:t>
      </w:r>
      <w:r>
        <w:rPr>
          <w:rFonts w:hint="eastAsia" w:ascii="宋体" w:hAnsi="宋体" w:eastAsia="宋体" w:cs="宋体"/>
          <w:color w:val="000000"/>
          <w:sz w:val="28"/>
          <w:szCs w:val="28"/>
        </w:rPr>
        <w:t>公司股东或者高级管理人员；</w:t>
      </w:r>
    </w:p>
    <w:p>
      <w:pPr>
        <w:spacing w:line="520" w:lineRule="exact"/>
        <w:ind w:firstLine="560"/>
        <w:rPr>
          <w:rFonts w:hint="eastAsia" w:ascii="宋体" w:hAnsi="宋体" w:eastAsia="宋体" w:cs="宋体"/>
          <w:color w:val="000000"/>
          <w:sz w:val="28"/>
          <w:szCs w:val="28"/>
        </w:rPr>
      </w:pPr>
      <w:r>
        <w:rPr>
          <w:rFonts w:hint="eastAsia" w:ascii="宋体" w:hAnsi="宋体" w:eastAsia="宋体" w:cs="宋体"/>
          <w:color w:val="000000"/>
          <w:sz w:val="28"/>
          <w:szCs w:val="28"/>
        </w:rPr>
        <w:t>4.现在没有担任或者在破产受理前三年内没有为</w:t>
      </w:r>
      <w:r>
        <w:rPr>
          <w:rFonts w:hint="eastAsia" w:ascii="宋体" w:hAnsi="宋体" w:eastAsia="宋体" w:cs="宋体"/>
          <w:color w:val="000000"/>
          <w:sz w:val="28"/>
          <w:szCs w:val="28"/>
          <w:lang w:eastAsia="zh-CN"/>
        </w:rPr>
        <w:t>华瑞</w:t>
      </w:r>
      <w:r>
        <w:rPr>
          <w:rFonts w:hint="eastAsia" w:ascii="宋体" w:hAnsi="宋体" w:eastAsia="宋体" w:cs="宋体"/>
          <w:color w:val="000000"/>
          <w:sz w:val="28"/>
          <w:szCs w:val="28"/>
        </w:rPr>
        <w:t>公司提供财务顾问、咨询等服务；</w:t>
      </w:r>
    </w:p>
    <w:p>
      <w:pPr>
        <w:spacing w:line="520" w:lineRule="exact"/>
        <w:ind w:firstLine="560"/>
        <w:rPr>
          <w:rFonts w:hint="eastAsia" w:ascii="宋体" w:hAnsi="宋体" w:eastAsia="宋体" w:cs="宋体"/>
          <w:color w:val="000000"/>
          <w:sz w:val="28"/>
          <w:szCs w:val="28"/>
        </w:rPr>
      </w:pPr>
      <w:r>
        <w:rPr>
          <w:rFonts w:hint="eastAsia" w:ascii="宋体" w:hAnsi="宋体" w:eastAsia="宋体" w:cs="宋体"/>
          <w:color w:val="000000"/>
          <w:sz w:val="28"/>
          <w:szCs w:val="28"/>
        </w:rPr>
        <w:t>5.人民法院或管理人认为可能影响其履职的其他情形。</w:t>
      </w:r>
    </w:p>
    <w:p>
      <w:pPr>
        <w:spacing w:line="520" w:lineRule="exact"/>
        <w:ind w:firstLine="560"/>
        <w:rPr>
          <w:rFonts w:hint="eastAsia" w:ascii="宋体" w:hAnsi="宋体" w:eastAsia="宋体" w:cs="宋体"/>
          <w:b/>
          <w:color w:val="000000"/>
          <w:sz w:val="28"/>
          <w:szCs w:val="28"/>
        </w:rPr>
      </w:pPr>
      <w:r>
        <w:rPr>
          <w:rFonts w:hint="eastAsia" w:ascii="宋体" w:hAnsi="宋体" w:eastAsia="宋体" w:cs="宋体"/>
          <w:b/>
          <w:color w:val="000000"/>
          <w:sz w:val="28"/>
          <w:szCs w:val="28"/>
        </w:rPr>
        <w:t>四、工作时限要求</w:t>
      </w:r>
    </w:p>
    <w:p>
      <w:pPr>
        <w:spacing w:line="520" w:lineRule="exact"/>
        <w:ind w:firstLine="562" w:firstLineChars="200"/>
        <w:rPr>
          <w:rFonts w:hint="eastAsia" w:ascii="宋体" w:hAnsi="宋体" w:eastAsia="宋体" w:cs="宋体"/>
          <w:color w:val="000000"/>
          <w:sz w:val="28"/>
          <w:szCs w:val="28"/>
        </w:rPr>
      </w:pPr>
      <w:r>
        <w:rPr>
          <w:rFonts w:hint="eastAsia" w:ascii="宋体" w:hAnsi="宋体" w:eastAsia="宋体" w:cs="宋体"/>
          <w:b/>
          <w:bCs/>
          <w:color w:val="000000"/>
          <w:sz w:val="28"/>
          <w:szCs w:val="28"/>
        </w:rPr>
        <w:t>根据管理人要求，应当于入场后一个月内完成相关工作，不迟于2024年</w:t>
      </w:r>
      <w:r>
        <w:rPr>
          <w:rFonts w:hint="eastAsia" w:ascii="宋体" w:hAnsi="宋体" w:cs="宋体"/>
          <w:b/>
          <w:bCs/>
          <w:color w:val="000000"/>
          <w:sz w:val="28"/>
          <w:szCs w:val="28"/>
          <w:lang w:val="en-US" w:eastAsia="zh-CN"/>
        </w:rPr>
        <w:t>7</w:t>
      </w:r>
      <w:r>
        <w:rPr>
          <w:rFonts w:hint="eastAsia" w:ascii="宋体" w:hAnsi="宋体" w:eastAsia="宋体" w:cs="宋体"/>
          <w:b/>
          <w:bCs/>
          <w:color w:val="000000"/>
          <w:sz w:val="28"/>
          <w:szCs w:val="28"/>
        </w:rPr>
        <w:t>月</w:t>
      </w:r>
      <w:r>
        <w:rPr>
          <w:rFonts w:hint="eastAsia" w:ascii="宋体" w:hAnsi="宋体" w:cs="宋体"/>
          <w:b/>
          <w:bCs/>
          <w:color w:val="000000"/>
          <w:sz w:val="28"/>
          <w:szCs w:val="28"/>
          <w:lang w:val="en-US" w:eastAsia="zh-CN"/>
        </w:rPr>
        <w:t>15</w:t>
      </w:r>
      <w:r>
        <w:rPr>
          <w:rFonts w:hint="eastAsia" w:ascii="宋体" w:hAnsi="宋体" w:eastAsia="宋体" w:cs="宋体"/>
          <w:b/>
          <w:bCs/>
          <w:color w:val="000000"/>
          <w:sz w:val="28"/>
          <w:szCs w:val="28"/>
        </w:rPr>
        <w:t>日</w:t>
      </w:r>
      <w:r>
        <w:rPr>
          <w:rFonts w:hint="eastAsia" w:ascii="宋体" w:hAnsi="宋体" w:cs="宋体"/>
          <w:b/>
          <w:bCs/>
          <w:color w:val="000000"/>
          <w:sz w:val="28"/>
          <w:szCs w:val="28"/>
          <w:lang w:val="en-US" w:eastAsia="zh-CN"/>
        </w:rPr>
        <w:t>前</w:t>
      </w:r>
      <w:r>
        <w:rPr>
          <w:rFonts w:hint="eastAsia" w:ascii="宋体" w:hAnsi="宋体" w:eastAsia="宋体" w:cs="宋体"/>
          <w:b/>
          <w:bCs/>
          <w:color w:val="000000"/>
          <w:sz w:val="28"/>
          <w:szCs w:val="28"/>
          <w:lang w:val="en-US" w:eastAsia="zh-CN"/>
        </w:rPr>
        <w:t>提交初稿</w:t>
      </w:r>
      <w:r>
        <w:rPr>
          <w:rFonts w:hint="eastAsia" w:ascii="宋体" w:hAnsi="宋体" w:eastAsia="宋体" w:cs="宋体"/>
          <w:b/>
          <w:bCs/>
          <w:color w:val="000000"/>
          <w:sz w:val="28"/>
          <w:szCs w:val="28"/>
          <w:lang w:eastAsia="zh-CN"/>
        </w:rPr>
        <w:t>，</w:t>
      </w:r>
      <w:r>
        <w:rPr>
          <w:rFonts w:hint="eastAsia" w:ascii="宋体" w:hAnsi="宋体" w:eastAsia="宋体" w:cs="宋体"/>
          <w:b/>
          <w:bCs/>
          <w:color w:val="000000"/>
          <w:sz w:val="28"/>
          <w:szCs w:val="28"/>
        </w:rPr>
        <w:t>并在2024年</w:t>
      </w:r>
      <w:r>
        <w:rPr>
          <w:rFonts w:hint="eastAsia" w:ascii="宋体" w:hAnsi="宋体" w:cs="宋体"/>
          <w:b/>
          <w:bCs/>
          <w:color w:val="000000"/>
          <w:sz w:val="28"/>
          <w:szCs w:val="28"/>
          <w:lang w:val="en-US" w:eastAsia="zh-CN"/>
        </w:rPr>
        <w:t>8</w:t>
      </w:r>
      <w:r>
        <w:rPr>
          <w:rFonts w:hint="eastAsia" w:ascii="宋体" w:hAnsi="宋体" w:eastAsia="宋体" w:cs="宋体"/>
          <w:b/>
          <w:bCs/>
          <w:color w:val="000000"/>
          <w:sz w:val="28"/>
          <w:szCs w:val="28"/>
        </w:rPr>
        <w:t>月</w:t>
      </w:r>
      <w:r>
        <w:rPr>
          <w:rFonts w:hint="eastAsia" w:ascii="宋体" w:hAnsi="宋体" w:cs="宋体"/>
          <w:b/>
          <w:bCs/>
          <w:color w:val="000000"/>
          <w:sz w:val="28"/>
          <w:szCs w:val="28"/>
          <w:lang w:val="en-US" w:eastAsia="zh-CN"/>
        </w:rPr>
        <w:t>15</w:t>
      </w:r>
      <w:r>
        <w:rPr>
          <w:rFonts w:hint="eastAsia" w:ascii="宋体" w:hAnsi="宋体" w:eastAsia="宋体" w:cs="宋体"/>
          <w:b/>
          <w:bCs/>
          <w:color w:val="000000"/>
          <w:sz w:val="28"/>
          <w:szCs w:val="28"/>
        </w:rPr>
        <w:t>日前提供终稿报告。无正当理由逾期完成相关辅助工作或提供不符合管理人要求的工作成果的，每逾期一个月按照10%的标准扣减服务费，无正当理由超过三个月仍未完成或拒绝提交的，管理人有权解除合同，拒绝支付相关服务费，并按照约定服务费的20%计算违约金。</w:t>
      </w:r>
    </w:p>
    <w:p>
      <w:pPr>
        <w:numPr>
          <w:ilvl w:val="0"/>
          <w:numId w:val="1"/>
        </w:numPr>
        <w:spacing w:line="520" w:lineRule="exact"/>
        <w:ind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工作内容及范围</w:t>
      </w:r>
    </w:p>
    <w:p>
      <w:pPr>
        <w:spacing w:line="520" w:lineRule="exact"/>
        <w:ind w:firstLine="560" w:firstLineChars="200"/>
        <w:rPr>
          <w:rFonts w:hint="eastAsia" w:ascii="宋体" w:hAnsi="宋体" w:eastAsia="宋体" w:cs="宋体"/>
          <w:b/>
          <w:sz w:val="28"/>
          <w:szCs w:val="28"/>
        </w:rPr>
      </w:pPr>
      <w:r>
        <w:rPr>
          <w:rFonts w:hint="eastAsia" w:ascii="宋体" w:hAnsi="宋体" w:eastAsia="宋体" w:cs="宋体"/>
          <w:sz w:val="28"/>
          <w:szCs w:val="28"/>
        </w:rPr>
        <w:t>清算组（管理人）根据前期部分债权人、债务人代表的反馈情况情况，初步确定工程质量检测内容为：“</w:t>
      </w:r>
      <w:r>
        <w:rPr>
          <w:rFonts w:hint="eastAsia" w:ascii="宋体" w:hAnsi="宋体" w:eastAsia="宋体" w:cs="宋体"/>
          <w:sz w:val="28"/>
          <w:szCs w:val="28"/>
          <w:lang w:eastAsia="zh-CN"/>
        </w:rPr>
        <w:t>翠江豪园</w:t>
      </w:r>
      <w:r>
        <w:rPr>
          <w:rFonts w:hint="eastAsia" w:ascii="宋体" w:hAnsi="宋体" w:eastAsia="宋体" w:cs="宋体"/>
          <w:sz w:val="28"/>
          <w:szCs w:val="28"/>
        </w:rPr>
        <w:t>”项目在建工程有关的地基基础、主体结构、建筑材料、施工工艺、设备安装、室内环境、建筑结构等进行检测，主要包含但不限于：（1）建筑物倾斜率检测、沉降观测；（2）结构安全性鉴定；（3）结构实体检测：包括混凝土强度检测、砂浆强度检测、砌体强度检测、钢筋保护层厚度检测、楼板厚度检测等；（4）地基基础稳定性及质量综合性检测</w:t>
      </w:r>
      <w:r>
        <w:rPr>
          <w:rFonts w:hint="eastAsia" w:ascii="宋体" w:hAnsi="宋体" w:cs="宋体"/>
          <w:sz w:val="28"/>
          <w:szCs w:val="28"/>
          <w:lang w:eastAsia="zh-CN"/>
        </w:rPr>
        <w:t>；</w:t>
      </w:r>
      <w:r>
        <w:rPr>
          <w:rFonts w:hint="eastAsia" w:ascii="宋体" w:hAnsi="宋体" w:eastAsia="宋体" w:cs="宋体"/>
          <w:sz w:val="28"/>
          <w:szCs w:val="28"/>
        </w:rPr>
        <w:t>（5）建筑物安全性级别的鉴定。</w:t>
      </w:r>
      <w:r>
        <w:rPr>
          <w:rFonts w:hint="eastAsia" w:ascii="宋体" w:hAnsi="宋体" w:eastAsia="宋体" w:cs="宋体"/>
          <w:b/>
          <w:sz w:val="28"/>
          <w:szCs w:val="28"/>
        </w:rPr>
        <w:t>工程质量检测机构的具体工作内容及范围以其提供的工作方案及管理人与其最后签订的书面合同为准。</w:t>
      </w:r>
    </w:p>
    <w:p>
      <w:pPr>
        <w:spacing w:line="520" w:lineRule="exact"/>
        <w:ind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六、付款方式</w:t>
      </w:r>
    </w:p>
    <w:p>
      <w:pPr>
        <w:spacing w:line="520" w:lineRule="exact"/>
        <w:ind w:firstLine="562" w:firstLineChars="200"/>
        <w:rPr>
          <w:rFonts w:hint="eastAsia" w:ascii="宋体" w:hAnsi="宋体" w:eastAsia="宋体" w:cs="宋体"/>
          <w:bCs/>
          <w:color w:val="000000"/>
          <w:sz w:val="28"/>
          <w:szCs w:val="28"/>
        </w:rPr>
      </w:pPr>
      <w:r>
        <w:rPr>
          <w:rFonts w:hint="eastAsia" w:ascii="宋体" w:hAnsi="宋体" w:eastAsia="宋体" w:cs="宋体"/>
          <w:b/>
          <w:color w:val="000000"/>
          <w:sz w:val="28"/>
          <w:szCs w:val="28"/>
        </w:rPr>
        <w:t>鉴于管理人暂未接管到</w:t>
      </w:r>
      <w:r>
        <w:rPr>
          <w:rFonts w:hint="eastAsia" w:ascii="宋体" w:hAnsi="宋体" w:eastAsia="宋体" w:cs="宋体"/>
          <w:b/>
          <w:color w:val="000000"/>
          <w:sz w:val="28"/>
          <w:szCs w:val="28"/>
          <w:lang w:eastAsia="zh-CN"/>
        </w:rPr>
        <w:t>华瑞</w:t>
      </w:r>
      <w:r>
        <w:rPr>
          <w:rFonts w:hint="eastAsia" w:ascii="宋体" w:hAnsi="宋体" w:eastAsia="宋体" w:cs="宋体"/>
          <w:b/>
          <w:color w:val="000000"/>
          <w:sz w:val="28"/>
          <w:szCs w:val="28"/>
        </w:rPr>
        <w:t>公司的货币资金，可能无法正常支付本选聘项目合同价款。</w:t>
      </w:r>
      <w:r>
        <w:rPr>
          <w:rFonts w:hint="eastAsia" w:ascii="宋体" w:hAnsi="宋体" w:eastAsia="宋体" w:cs="宋体"/>
          <w:bCs/>
          <w:color w:val="000000"/>
          <w:sz w:val="28"/>
          <w:szCs w:val="28"/>
        </w:rPr>
        <w:t>但根据《企业破产法》及相关规定，在本项目进入破产程序后，管理人将向债权人会议通报将前述价款纳入破产费用，经审议通过后在</w:t>
      </w:r>
      <w:r>
        <w:rPr>
          <w:rFonts w:hint="eastAsia" w:ascii="宋体" w:hAnsi="宋体" w:eastAsia="宋体" w:cs="宋体"/>
          <w:bCs/>
          <w:color w:val="000000"/>
          <w:sz w:val="28"/>
          <w:szCs w:val="28"/>
          <w:lang w:eastAsia="zh-CN"/>
        </w:rPr>
        <w:t>华瑞</w:t>
      </w:r>
      <w:r>
        <w:rPr>
          <w:rFonts w:hint="eastAsia" w:ascii="宋体" w:hAnsi="宋体" w:eastAsia="宋体" w:cs="宋体"/>
          <w:bCs/>
          <w:color w:val="000000"/>
          <w:sz w:val="28"/>
          <w:szCs w:val="28"/>
        </w:rPr>
        <w:t>公司具备付款能力时优先从债务人财产中分期支付。</w:t>
      </w:r>
    </w:p>
    <w:p>
      <w:pPr>
        <w:spacing w:line="520" w:lineRule="exact"/>
        <w:ind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辅助机构的报价应为包干价格，所产生的人员餐费、差旅费、保险费均由辅助机构自行承担。</w:t>
      </w:r>
    </w:p>
    <w:p>
      <w:pPr>
        <w:spacing w:line="520" w:lineRule="exact"/>
        <w:ind w:firstLine="562" w:firstLineChars="200"/>
        <w:rPr>
          <w:rFonts w:hint="eastAsia" w:ascii="宋体" w:hAnsi="宋体" w:eastAsia="宋体" w:cs="宋体"/>
          <w:b/>
          <w:bCs/>
          <w:color w:val="000000"/>
          <w:sz w:val="28"/>
          <w:szCs w:val="28"/>
        </w:rPr>
      </w:pPr>
      <w:r>
        <w:rPr>
          <w:rFonts w:hint="eastAsia" w:ascii="宋体" w:hAnsi="宋体" w:eastAsia="宋体" w:cs="宋体"/>
          <w:b/>
          <w:bCs/>
          <w:color w:val="000000"/>
          <w:sz w:val="28"/>
          <w:szCs w:val="28"/>
        </w:rPr>
        <w:t>响应辅助机构参与本选聘，即视为充分了解前述要求并接受前述付款方式受聘。中选的辅助机构不得因此停止或拒绝按约定推进相关工作，也不得因此拒绝出具咨询意见或报告，不得拖延推进工作和更换工作人员，承诺对</w:t>
      </w:r>
      <w:r>
        <w:rPr>
          <w:rFonts w:hint="eastAsia" w:ascii="宋体" w:hAnsi="宋体" w:eastAsia="宋体" w:cs="宋体"/>
          <w:b/>
          <w:bCs/>
          <w:color w:val="000000"/>
          <w:sz w:val="28"/>
          <w:szCs w:val="28"/>
          <w:lang w:val="en-US" w:eastAsia="zh-CN"/>
        </w:rPr>
        <w:t>工程质量鉴定</w:t>
      </w:r>
      <w:r>
        <w:rPr>
          <w:rFonts w:hint="eastAsia" w:ascii="宋体" w:hAnsi="宋体" w:eastAsia="宋体" w:cs="宋体"/>
          <w:b/>
          <w:bCs/>
          <w:color w:val="000000"/>
          <w:sz w:val="28"/>
          <w:szCs w:val="28"/>
        </w:rPr>
        <w:t>中知晓的未经管理人公开的数据、信息等履行保密义务，并接受管理人、债权人会议和</w:t>
      </w:r>
      <w:r>
        <w:rPr>
          <w:rFonts w:hint="eastAsia" w:ascii="宋体" w:hAnsi="宋体" w:cs="宋体"/>
          <w:b/>
          <w:bCs/>
          <w:color w:val="000000"/>
          <w:sz w:val="28"/>
          <w:szCs w:val="28"/>
          <w:lang w:val="en-US" w:eastAsia="zh-CN"/>
        </w:rPr>
        <w:t>宁化法院</w:t>
      </w:r>
      <w:r>
        <w:rPr>
          <w:rFonts w:hint="eastAsia" w:ascii="宋体" w:hAnsi="宋体" w:eastAsia="宋体" w:cs="宋体"/>
          <w:b/>
          <w:bCs/>
          <w:color w:val="000000"/>
          <w:sz w:val="28"/>
          <w:szCs w:val="28"/>
        </w:rPr>
        <w:t>的监督指导。</w:t>
      </w:r>
    </w:p>
    <w:p>
      <w:pPr>
        <w:spacing w:line="520" w:lineRule="exact"/>
        <w:ind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七、选聘程序</w:t>
      </w:r>
    </w:p>
    <w:p>
      <w:pPr>
        <w:spacing w:line="520" w:lineRule="exact"/>
        <w:ind w:firstLine="562" w:firstLineChars="200"/>
        <w:rPr>
          <w:rFonts w:hint="eastAsia" w:ascii="宋体" w:hAnsi="宋体" w:eastAsia="宋体" w:cs="宋体"/>
          <w:b/>
          <w:bCs/>
          <w:color w:val="000000"/>
          <w:sz w:val="28"/>
          <w:szCs w:val="28"/>
        </w:rPr>
      </w:pPr>
      <w:r>
        <w:rPr>
          <w:rFonts w:hint="eastAsia" w:ascii="宋体" w:hAnsi="宋体" w:eastAsia="宋体" w:cs="宋体"/>
          <w:b/>
          <w:bCs/>
          <w:color w:val="000000"/>
          <w:sz w:val="28"/>
          <w:szCs w:val="28"/>
        </w:rPr>
        <w:t>（一）响应报价</w:t>
      </w:r>
    </w:p>
    <w:p>
      <w:pPr>
        <w:spacing w:line="520" w:lineRule="exact"/>
        <w:ind w:firstLine="560" w:firstLineChars="200"/>
        <w:rPr>
          <w:rFonts w:hint="eastAsia" w:ascii="宋体" w:hAnsi="宋体" w:eastAsia="宋体" w:cs="宋体"/>
          <w:bCs/>
          <w:color w:val="000000"/>
          <w:sz w:val="28"/>
          <w:szCs w:val="28"/>
        </w:rPr>
      </w:pPr>
      <w:r>
        <w:rPr>
          <w:rFonts w:hint="eastAsia" w:ascii="宋体" w:hAnsi="宋体" w:eastAsia="宋体" w:cs="宋体"/>
          <w:bCs/>
          <w:color w:val="000000"/>
          <w:sz w:val="28"/>
          <w:szCs w:val="28"/>
        </w:rPr>
        <w:t>意向机构可向管理人了解具体项目信息及需求，应于</w:t>
      </w:r>
      <w:r>
        <w:rPr>
          <w:rFonts w:hint="eastAsia" w:ascii="宋体" w:hAnsi="宋体" w:eastAsia="宋体" w:cs="宋体"/>
          <w:b/>
          <w:color w:val="000000"/>
          <w:sz w:val="28"/>
          <w:szCs w:val="28"/>
          <w:highlight w:val="yellow"/>
          <w:u w:val="single"/>
        </w:rPr>
        <w:t>202</w:t>
      </w:r>
      <w:r>
        <w:rPr>
          <w:rFonts w:hint="eastAsia" w:ascii="宋体" w:hAnsi="宋体" w:eastAsia="宋体" w:cs="宋体"/>
          <w:b/>
          <w:color w:val="000000"/>
          <w:sz w:val="28"/>
          <w:szCs w:val="28"/>
          <w:highlight w:val="yellow"/>
          <w:u w:val="single"/>
          <w:lang w:val="en-US"/>
        </w:rPr>
        <w:t>4</w:t>
      </w:r>
      <w:r>
        <w:rPr>
          <w:rFonts w:hint="eastAsia" w:ascii="宋体" w:hAnsi="宋体" w:eastAsia="宋体" w:cs="宋体"/>
          <w:b/>
          <w:color w:val="000000"/>
          <w:sz w:val="28"/>
          <w:szCs w:val="28"/>
          <w:highlight w:val="yellow"/>
          <w:u w:val="single"/>
        </w:rPr>
        <w:t>年</w:t>
      </w:r>
      <w:r>
        <w:rPr>
          <w:rFonts w:hint="eastAsia" w:ascii="宋体" w:hAnsi="宋体" w:cs="宋体"/>
          <w:b/>
          <w:color w:val="000000"/>
          <w:sz w:val="28"/>
          <w:szCs w:val="28"/>
          <w:highlight w:val="yellow"/>
          <w:u w:val="single"/>
          <w:lang w:val="en-US" w:eastAsia="zh-CN"/>
        </w:rPr>
        <w:t>6</w:t>
      </w:r>
      <w:r>
        <w:rPr>
          <w:rFonts w:hint="eastAsia" w:ascii="宋体" w:hAnsi="宋体" w:eastAsia="宋体" w:cs="宋体"/>
          <w:b/>
          <w:color w:val="000000"/>
          <w:sz w:val="28"/>
          <w:szCs w:val="28"/>
          <w:highlight w:val="yellow"/>
          <w:u w:val="single"/>
        </w:rPr>
        <w:t>月</w:t>
      </w:r>
      <w:r>
        <w:rPr>
          <w:rFonts w:hint="eastAsia" w:ascii="宋体" w:hAnsi="宋体" w:cs="宋体"/>
          <w:b/>
          <w:color w:val="000000"/>
          <w:sz w:val="28"/>
          <w:szCs w:val="28"/>
          <w:highlight w:val="yellow"/>
          <w:u w:val="single"/>
          <w:lang w:val="en-US" w:eastAsia="zh-CN"/>
        </w:rPr>
        <w:t>4</w:t>
      </w:r>
      <w:r>
        <w:rPr>
          <w:rFonts w:hint="eastAsia" w:ascii="宋体" w:hAnsi="宋体" w:eastAsia="宋体" w:cs="宋体"/>
          <w:b/>
          <w:color w:val="000000"/>
          <w:sz w:val="28"/>
          <w:szCs w:val="28"/>
          <w:u w:val="single"/>
        </w:rPr>
        <w:t>日下午17：00前</w:t>
      </w:r>
      <w:r>
        <w:rPr>
          <w:rFonts w:hint="eastAsia" w:ascii="宋体" w:hAnsi="宋体" w:eastAsia="宋体" w:cs="宋体"/>
          <w:bCs/>
          <w:color w:val="000000"/>
          <w:sz w:val="28"/>
          <w:szCs w:val="28"/>
        </w:rPr>
        <w:t>通过</w:t>
      </w:r>
      <w:r>
        <w:rPr>
          <w:rFonts w:hint="eastAsia" w:ascii="宋体" w:hAnsi="宋体" w:eastAsia="宋体" w:cs="宋体"/>
          <w:bCs/>
          <w:color w:val="000000"/>
          <w:sz w:val="28"/>
          <w:szCs w:val="28"/>
          <w:lang w:val="en-US"/>
        </w:rPr>
        <w:t>邮寄</w:t>
      </w:r>
      <w:r>
        <w:rPr>
          <w:rFonts w:hint="eastAsia" w:ascii="宋体" w:hAnsi="宋体" w:eastAsia="宋体" w:cs="宋体"/>
          <w:bCs/>
          <w:color w:val="000000"/>
          <w:sz w:val="28"/>
          <w:szCs w:val="28"/>
          <w:lang w:val="en-US" w:eastAsia="zh-CN"/>
        </w:rPr>
        <w:t>或当面提交</w:t>
      </w:r>
      <w:r>
        <w:rPr>
          <w:rFonts w:hint="eastAsia" w:ascii="宋体" w:hAnsi="宋体" w:eastAsia="宋体" w:cs="宋体"/>
          <w:bCs/>
          <w:color w:val="000000"/>
          <w:sz w:val="28"/>
          <w:szCs w:val="28"/>
        </w:rPr>
        <w:t>方式将响应文件密封</w:t>
      </w:r>
      <w:r>
        <w:rPr>
          <w:rFonts w:hint="eastAsia" w:ascii="宋体" w:hAnsi="宋体" w:eastAsia="宋体" w:cs="宋体"/>
          <w:bCs/>
          <w:color w:val="000000"/>
          <w:sz w:val="28"/>
          <w:szCs w:val="28"/>
          <w:lang w:val="en-US"/>
        </w:rPr>
        <w:t>送达</w:t>
      </w:r>
      <w:r>
        <w:rPr>
          <w:rFonts w:hint="eastAsia" w:ascii="宋体" w:hAnsi="宋体" w:eastAsia="宋体" w:cs="宋体"/>
          <w:bCs/>
          <w:color w:val="000000"/>
          <w:sz w:val="28"/>
          <w:szCs w:val="28"/>
        </w:rPr>
        <w:t>至管理人（联系人：</w:t>
      </w:r>
      <w:r>
        <w:rPr>
          <w:rFonts w:hint="eastAsia" w:ascii="宋体" w:hAnsi="宋体" w:cs="宋体"/>
          <w:bCs/>
          <w:color w:val="000000"/>
          <w:sz w:val="28"/>
          <w:szCs w:val="28"/>
          <w:lang w:val="en-US" w:eastAsia="zh-CN"/>
        </w:rPr>
        <w:t>钟律师</w:t>
      </w:r>
      <w:r>
        <w:rPr>
          <w:rFonts w:hint="eastAsia" w:ascii="宋体" w:hAnsi="宋体" w:eastAsia="宋体" w:cs="宋体"/>
          <w:bCs/>
          <w:color w:val="000000"/>
          <w:sz w:val="28"/>
          <w:szCs w:val="28"/>
        </w:rPr>
        <w:t>，联系电话</w:t>
      </w:r>
      <w:r>
        <w:rPr>
          <w:rFonts w:hint="eastAsia" w:ascii="宋体" w:hAnsi="宋体" w:cs="宋体"/>
          <w:bCs/>
          <w:color w:val="000000"/>
          <w:sz w:val="28"/>
          <w:szCs w:val="28"/>
          <w:lang w:val="en-US" w:eastAsia="zh-CN"/>
        </w:rPr>
        <w:t>15206040995</w:t>
      </w:r>
      <w:r>
        <w:rPr>
          <w:rFonts w:hint="eastAsia" w:ascii="宋体" w:hAnsi="宋体" w:eastAsia="宋体" w:cs="宋体"/>
          <w:bCs/>
          <w:color w:val="000000"/>
          <w:sz w:val="28"/>
          <w:szCs w:val="28"/>
        </w:rPr>
        <w:t>，林律师，联系电话15960274960；联系地址：福建省</w:t>
      </w:r>
      <w:r>
        <w:rPr>
          <w:rFonts w:hint="eastAsia" w:ascii="宋体" w:hAnsi="宋体" w:cs="宋体"/>
          <w:bCs/>
          <w:color w:val="000000"/>
          <w:sz w:val="28"/>
          <w:szCs w:val="28"/>
          <w:lang w:val="en-US" w:eastAsia="zh-CN"/>
        </w:rPr>
        <w:t>厦门市思明区湖滨南路334-1号二轻大厦九楼福建信实律师事务所</w:t>
      </w:r>
      <w:r>
        <w:rPr>
          <w:rFonts w:hint="eastAsia" w:ascii="宋体" w:hAnsi="宋体" w:eastAsia="宋体" w:cs="宋体"/>
          <w:color w:val="000000"/>
          <w:sz w:val="28"/>
          <w:szCs w:val="28"/>
        </w:rPr>
        <w:t>）</w:t>
      </w:r>
      <w:r>
        <w:rPr>
          <w:rFonts w:hint="eastAsia" w:ascii="宋体" w:hAnsi="宋体" w:eastAsia="宋体" w:cs="宋体"/>
          <w:bCs/>
          <w:color w:val="000000"/>
          <w:sz w:val="28"/>
          <w:szCs w:val="28"/>
        </w:rPr>
        <w:t>，文件送达时间以意向机构将响应文件送达上述管理人办公室的时间为准。响应报价前如需了解项目情况、获取必要的资料，可联系</w:t>
      </w:r>
      <w:r>
        <w:rPr>
          <w:rFonts w:hint="eastAsia" w:ascii="宋体" w:hAnsi="宋体" w:cs="宋体"/>
          <w:bCs/>
          <w:color w:val="000000"/>
          <w:sz w:val="28"/>
          <w:szCs w:val="28"/>
          <w:lang w:val="en-US" w:eastAsia="zh-CN"/>
        </w:rPr>
        <w:t>钟律师</w:t>
      </w:r>
      <w:r>
        <w:rPr>
          <w:rFonts w:hint="eastAsia" w:ascii="宋体" w:hAnsi="宋体" w:eastAsia="宋体" w:cs="宋体"/>
          <w:bCs/>
          <w:color w:val="000000"/>
          <w:sz w:val="28"/>
          <w:szCs w:val="28"/>
        </w:rPr>
        <w:t>，联系电话</w:t>
      </w:r>
      <w:r>
        <w:rPr>
          <w:rFonts w:hint="eastAsia" w:ascii="宋体" w:hAnsi="宋体" w:cs="宋体"/>
          <w:bCs/>
          <w:color w:val="000000"/>
          <w:sz w:val="28"/>
          <w:szCs w:val="28"/>
          <w:lang w:val="en-US" w:eastAsia="zh-CN"/>
        </w:rPr>
        <w:t>15206040995</w:t>
      </w:r>
      <w:r>
        <w:rPr>
          <w:rFonts w:hint="eastAsia" w:ascii="宋体" w:hAnsi="宋体" w:eastAsia="宋体" w:cs="宋体"/>
          <w:bCs/>
          <w:color w:val="000000"/>
          <w:sz w:val="28"/>
          <w:szCs w:val="28"/>
        </w:rPr>
        <w:t>。</w:t>
      </w:r>
    </w:p>
    <w:p>
      <w:pPr>
        <w:spacing w:line="520" w:lineRule="exact"/>
        <w:ind w:firstLine="562" w:firstLineChars="200"/>
        <w:rPr>
          <w:rFonts w:hint="eastAsia" w:ascii="宋体" w:hAnsi="宋体" w:eastAsia="宋体" w:cs="宋体"/>
          <w:b/>
          <w:color w:val="000000"/>
          <w:sz w:val="28"/>
          <w:szCs w:val="28"/>
          <w:u w:val="single"/>
        </w:rPr>
      </w:pPr>
      <w:r>
        <w:rPr>
          <w:rFonts w:hint="eastAsia" w:ascii="宋体" w:hAnsi="宋体" w:eastAsia="宋体" w:cs="宋体"/>
          <w:b/>
          <w:color w:val="000000"/>
          <w:sz w:val="28"/>
          <w:szCs w:val="28"/>
          <w:u w:val="single"/>
        </w:rPr>
        <w:t>需提交的响应文件如下：</w:t>
      </w:r>
    </w:p>
    <w:p>
      <w:pPr>
        <w:spacing w:line="520" w:lineRule="exact"/>
        <w:ind w:firstLine="562" w:firstLineChars="200"/>
        <w:rPr>
          <w:rFonts w:hint="eastAsia" w:ascii="宋体" w:hAnsi="宋体" w:eastAsia="宋体" w:cs="宋体"/>
          <w:b/>
          <w:color w:val="000000"/>
          <w:sz w:val="28"/>
          <w:szCs w:val="28"/>
          <w:u w:val="single"/>
        </w:rPr>
      </w:pPr>
      <w:r>
        <w:rPr>
          <w:rFonts w:hint="eastAsia" w:ascii="宋体" w:hAnsi="宋体" w:eastAsia="宋体" w:cs="宋体"/>
          <w:b/>
          <w:color w:val="000000"/>
          <w:sz w:val="28"/>
          <w:szCs w:val="28"/>
          <w:u w:val="single"/>
        </w:rPr>
        <w:t>1.响应报价书</w:t>
      </w:r>
      <w:r>
        <w:rPr>
          <w:rFonts w:hint="eastAsia" w:ascii="宋体" w:hAnsi="宋体" w:cs="宋体"/>
          <w:b/>
          <w:color w:val="000000"/>
          <w:sz w:val="28"/>
          <w:szCs w:val="28"/>
          <w:u w:val="single"/>
          <w:lang w:eastAsia="zh-CN"/>
        </w:rPr>
        <w:t>（</w:t>
      </w:r>
      <w:r>
        <w:rPr>
          <w:rFonts w:hint="eastAsia" w:ascii="宋体" w:hAnsi="宋体" w:cs="宋体"/>
          <w:b/>
          <w:color w:val="000000"/>
          <w:sz w:val="28"/>
          <w:szCs w:val="28"/>
          <w:u w:val="single"/>
          <w:lang w:val="en-US" w:eastAsia="zh-CN"/>
        </w:rPr>
        <w:t>含自评表</w:t>
      </w:r>
      <w:r>
        <w:rPr>
          <w:rFonts w:hint="eastAsia" w:ascii="宋体" w:hAnsi="宋体" w:cs="宋体"/>
          <w:b/>
          <w:color w:val="000000"/>
          <w:sz w:val="28"/>
          <w:szCs w:val="28"/>
          <w:u w:val="single"/>
          <w:lang w:eastAsia="zh-CN"/>
        </w:rPr>
        <w:t>）</w:t>
      </w:r>
      <w:r>
        <w:rPr>
          <w:rFonts w:hint="eastAsia" w:ascii="宋体" w:hAnsi="宋体" w:eastAsia="宋体" w:cs="宋体"/>
          <w:b/>
          <w:color w:val="000000"/>
          <w:sz w:val="28"/>
          <w:szCs w:val="28"/>
          <w:u w:val="single"/>
        </w:rPr>
        <w:t>；</w:t>
      </w:r>
    </w:p>
    <w:p>
      <w:pPr>
        <w:spacing w:line="520" w:lineRule="exact"/>
        <w:ind w:firstLine="562" w:firstLineChars="200"/>
        <w:rPr>
          <w:rFonts w:hint="eastAsia" w:ascii="宋体" w:hAnsi="宋体" w:eastAsia="宋体" w:cs="宋体"/>
          <w:b/>
          <w:color w:val="000000"/>
          <w:sz w:val="28"/>
          <w:szCs w:val="28"/>
          <w:u w:val="single"/>
        </w:rPr>
      </w:pPr>
      <w:r>
        <w:rPr>
          <w:rFonts w:hint="eastAsia" w:ascii="宋体" w:hAnsi="宋体" w:eastAsia="宋体" w:cs="宋体"/>
          <w:b/>
          <w:color w:val="000000"/>
          <w:sz w:val="28"/>
          <w:szCs w:val="28"/>
          <w:u w:val="single"/>
        </w:rPr>
        <w:t>2.有效的商事登记证明文件、执业资格证书；</w:t>
      </w:r>
    </w:p>
    <w:p>
      <w:pPr>
        <w:spacing w:line="520" w:lineRule="exact"/>
        <w:ind w:firstLine="562" w:firstLineChars="200"/>
        <w:rPr>
          <w:rFonts w:hint="eastAsia" w:ascii="宋体" w:hAnsi="宋体" w:eastAsia="宋体" w:cs="宋体"/>
          <w:b/>
          <w:color w:val="000000"/>
          <w:sz w:val="28"/>
          <w:szCs w:val="28"/>
          <w:u w:val="single"/>
        </w:rPr>
      </w:pPr>
      <w:r>
        <w:rPr>
          <w:rFonts w:hint="eastAsia" w:ascii="宋体" w:hAnsi="宋体" w:eastAsia="宋体" w:cs="宋体"/>
          <w:b/>
          <w:color w:val="000000"/>
          <w:sz w:val="28"/>
          <w:szCs w:val="28"/>
          <w:u w:val="single"/>
        </w:rPr>
        <w:t>3.拟指派团队负责人及成员名单及执业资格证书；</w:t>
      </w:r>
    </w:p>
    <w:p>
      <w:pPr>
        <w:spacing w:line="520" w:lineRule="exact"/>
        <w:ind w:firstLine="562" w:firstLineChars="200"/>
        <w:rPr>
          <w:rFonts w:hint="eastAsia" w:ascii="宋体" w:hAnsi="宋体" w:eastAsia="宋体" w:cs="宋体"/>
          <w:b/>
          <w:color w:val="000000"/>
          <w:sz w:val="28"/>
          <w:szCs w:val="28"/>
          <w:u w:val="single"/>
        </w:rPr>
      </w:pPr>
      <w:r>
        <w:rPr>
          <w:rFonts w:hint="eastAsia" w:ascii="宋体" w:hAnsi="宋体" w:eastAsia="宋体" w:cs="宋体"/>
          <w:b/>
          <w:color w:val="000000"/>
          <w:sz w:val="28"/>
          <w:szCs w:val="28"/>
          <w:u w:val="single"/>
        </w:rPr>
        <w:t>4.业绩证明；</w:t>
      </w:r>
    </w:p>
    <w:p>
      <w:pPr>
        <w:spacing w:line="520" w:lineRule="exact"/>
        <w:ind w:firstLine="562" w:firstLineChars="200"/>
        <w:rPr>
          <w:rFonts w:hint="eastAsia" w:ascii="宋体" w:hAnsi="宋体" w:eastAsia="宋体" w:cs="宋体"/>
          <w:b/>
          <w:color w:val="000000"/>
          <w:sz w:val="28"/>
          <w:szCs w:val="28"/>
          <w:u w:val="single"/>
        </w:rPr>
      </w:pPr>
      <w:r>
        <w:rPr>
          <w:rFonts w:hint="eastAsia" w:ascii="宋体" w:hAnsi="宋体" w:eastAsia="宋体" w:cs="宋体"/>
          <w:b/>
          <w:color w:val="000000"/>
          <w:sz w:val="28"/>
          <w:szCs w:val="28"/>
          <w:u w:val="single"/>
        </w:rPr>
        <w:t>5.参选机构关于与</w:t>
      </w:r>
      <w:r>
        <w:rPr>
          <w:rFonts w:hint="eastAsia" w:ascii="宋体" w:hAnsi="宋体" w:eastAsia="宋体" w:cs="宋体"/>
          <w:b/>
          <w:color w:val="000000"/>
          <w:sz w:val="28"/>
          <w:szCs w:val="28"/>
          <w:u w:val="single"/>
          <w:lang w:eastAsia="zh-CN"/>
        </w:rPr>
        <w:t>华瑞</w:t>
      </w:r>
      <w:r>
        <w:rPr>
          <w:rFonts w:hint="eastAsia" w:ascii="宋体" w:hAnsi="宋体" w:eastAsia="宋体" w:cs="宋体"/>
          <w:b/>
          <w:color w:val="000000"/>
          <w:sz w:val="28"/>
          <w:szCs w:val="28"/>
          <w:u w:val="single"/>
        </w:rPr>
        <w:t>公司无法律上的利害关系的声明；</w:t>
      </w:r>
    </w:p>
    <w:p>
      <w:pPr>
        <w:spacing w:line="520" w:lineRule="exact"/>
        <w:ind w:firstLine="562" w:firstLineChars="200"/>
        <w:rPr>
          <w:rFonts w:hint="eastAsia" w:ascii="宋体" w:hAnsi="宋体" w:eastAsia="宋体" w:cs="宋体"/>
          <w:b/>
          <w:color w:val="000000"/>
          <w:sz w:val="28"/>
          <w:szCs w:val="28"/>
          <w:u w:val="single"/>
        </w:rPr>
      </w:pPr>
      <w:r>
        <w:rPr>
          <w:rFonts w:hint="eastAsia" w:ascii="宋体" w:hAnsi="宋体" w:eastAsia="宋体" w:cs="宋体"/>
          <w:b/>
          <w:color w:val="000000"/>
          <w:sz w:val="28"/>
          <w:szCs w:val="28"/>
          <w:u w:val="single"/>
        </w:rPr>
        <w:t>6.近3年未因违规执业被行政处罚或者行业处分的声明、无失信行为的声明、及时高效规范履职的承诺书等；</w:t>
      </w:r>
    </w:p>
    <w:p>
      <w:pPr>
        <w:spacing w:line="520" w:lineRule="exact"/>
        <w:ind w:firstLine="562" w:firstLineChars="200"/>
        <w:outlineLvl w:val="0"/>
        <w:rPr>
          <w:rFonts w:hint="eastAsia" w:ascii="宋体" w:hAnsi="宋体" w:eastAsia="宋体" w:cs="宋体"/>
          <w:b/>
          <w:bCs/>
          <w:color w:val="000000"/>
          <w:sz w:val="28"/>
          <w:szCs w:val="28"/>
        </w:rPr>
      </w:pPr>
      <w:r>
        <w:rPr>
          <w:rFonts w:hint="eastAsia" w:ascii="宋体" w:hAnsi="宋体" w:eastAsia="宋体" w:cs="宋体"/>
          <w:b/>
          <w:bCs/>
          <w:color w:val="000000"/>
          <w:sz w:val="28"/>
          <w:szCs w:val="28"/>
        </w:rPr>
        <w:t>（二）最高控制价</w:t>
      </w:r>
    </w:p>
    <w:p>
      <w:pPr>
        <w:spacing w:line="520" w:lineRule="exact"/>
        <w:ind w:firstLine="562" w:firstLineChars="200"/>
        <w:outlineLvl w:val="0"/>
        <w:rPr>
          <w:rFonts w:hint="eastAsia" w:ascii="宋体" w:hAnsi="宋体" w:cs="宋体"/>
          <w:b/>
          <w:bCs/>
          <w:color w:val="000000"/>
          <w:sz w:val="28"/>
          <w:szCs w:val="28"/>
          <w:highlight w:val="none"/>
          <w:lang w:eastAsia="zh-CN"/>
        </w:rPr>
      </w:pPr>
      <w:r>
        <w:rPr>
          <w:rFonts w:hint="eastAsia" w:ascii="宋体" w:hAnsi="宋体" w:cs="宋体"/>
          <w:b/>
          <w:bCs/>
          <w:color w:val="000000"/>
          <w:sz w:val="28"/>
          <w:szCs w:val="28"/>
          <w:highlight w:val="none"/>
          <w:lang w:val="en-US" w:eastAsia="zh-CN"/>
        </w:rPr>
        <w:t>为控制成本，</w:t>
      </w:r>
      <w:r>
        <w:rPr>
          <w:rFonts w:hint="eastAsia" w:ascii="宋体" w:hAnsi="宋体" w:eastAsia="宋体" w:cs="宋体"/>
          <w:b/>
          <w:bCs/>
          <w:color w:val="000000"/>
          <w:sz w:val="28"/>
          <w:szCs w:val="28"/>
          <w:highlight w:val="none"/>
        </w:rPr>
        <w:t>本次选聘设定最高控制价。工程质量检测费最高不超过人民币</w:t>
      </w:r>
      <w:r>
        <w:rPr>
          <w:rFonts w:hint="eastAsia" w:ascii="宋体" w:hAnsi="宋体" w:cs="宋体"/>
          <w:b/>
          <w:bCs/>
          <w:color w:val="000000"/>
          <w:sz w:val="28"/>
          <w:szCs w:val="28"/>
          <w:highlight w:val="none"/>
          <w:lang w:val="en-US" w:eastAsia="zh-CN"/>
        </w:rPr>
        <w:t>40</w:t>
      </w:r>
      <w:r>
        <w:rPr>
          <w:rFonts w:hint="eastAsia" w:ascii="宋体" w:hAnsi="宋体" w:eastAsia="宋体" w:cs="宋体"/>
          <w:b/>
          <w:bCs/>
          <w:color w:val="000000"/>
          <w:sz w:val="28"/>
          <w:szCs w:val="28"/>
          <w:highlight w:val="none"/>
        </w:rPr>
        <w:t>万元</w:t>
      </w:r>
      <w:r>
        <w:rPr>
          <w:rFonts w:hint="eastAsia" w:ascii="宋体" w:hAnsi="宋体" w:cs="宋体"/>
          <w:b/>
          <w:bCs/>
          <w:color w:val="000000"/>
          <w:sz w:val="28"/>
          <w:szCs w:val="28"/>
          <w:highlight w:val="none"/>
          <w:lang w:eastAsia="zh-CN"/>
        </w:rPr>
        <w:t>。</w:t>
      </w:r>
    </w:p>
    <w:p>
      <w:pPr>
        <w:spacing w:line="520" w:lineRule="exact"/>
        <w:ind w:firstLine="562" w:firstLineChars="200"/>
        <w:outlineLvl w:val="0"/>
        <w:rPr>
          <w:rFonts w:hint="eastAsia" w:ascii="宋体" w:hAnsi="宋体" w:eastAsia="宋体" w:cs="宋体"/>
          <w:b/>
          <w:bCs/>
          <w:color w:val="000000"/>
          <w:sz w:val="28"/>
          <w:szCs w:val="28"/>
        </w:rPr>
      </w:pPr>
      <w:r>
        <w:rPr>
          <w:rFonts w:hint="eastAsia" w:ascii="宋体" w:hAnsi="宋体" w:eastAsia="宋体" w:cs="宋体"/>
          <w:b/>
          <w:bCs/>
          <w:color w:val="000000"/>
          <w:sz w:val="28"/>
          <w:szCs w:val="28"/>
        </w:rPr>
        <w:t>（三）</w:t>
      </w:r>
      <w:r>
        <w:rPr>
          <w:rFonts w:hint="eastAsia" w:ascii="宋体" w:hAnsi="宋体" w:eastAsia="宋体" w:cs="宋体"/>
          <w:b/>
          <w:color w:val="000000"/>
          <w:sz w:val="28"/>
          <w:szCs w:val="28"/>
        </w:rPr>
        <w:t>评审和</w:t>
      </w:r>
      <w:r>
        <w:rPr>
          <w:rFonts w:hint="eastAsia" w:ascii="宋体" w:hAnsi="宋体" w:eastAsia="宋体" w:cs="宋体"/>
          <w:b/>
          <w:bCs/>
          <w:color w:val="000000"/>
          <w:sz w:val="28"/>
          <w:szCs w:val="28"/>
        </w:rPr>
        <w:t>录用</w:t>
      </w:r>
    </w:p>
    <w:p>
      <w:pPr>
        <w:spacing w:line="520" w:lineRule="exact"/>
        <w:ind w:firstLine="560" w:firstLineChars="200"/>
        <w:rPr>
          <w:rFonts w:hint="eastAsia" w:ascii="宋体" w:hAnsi="宋体" w:eastAsia="宋体" w:cs="宋体"/>
          <w:bCs/>
          <w:color w:val="000000"/>
          <w:sz w:val="28"/>
          <w:szCs w:val="28"/>
        </w:rPr>
      </w:pPr>
      <w:r>
        <w:rPr>
          <w:rFonts w:hint="eastAsia" w:ascii="宋体" w:hAnsi="宋体" w:eastAsia="宋体" w:cs="宋体"/>
          <w:bCs/>
          <w:color w:val="000000"/>
          <w:sz w:val="28"/>
          <w:szCs w:val="28"/>
        </w:rPr>
        <w:t>如仅有一家机构报名并符合本公告要求，则不再进行竞聘程序，经审查符合条件</w:t>
      </w:r>
      <w:r>
        <w:rPr>
          <w:rFonts w:hint="eastAsia" w:ascii="宋体" w:hAnsi="宋体" w:cs="宋体"/>
          <w:bCs/>
          <w:color w:val="000000"/>
          <w:sz w:val="28"/>
          <w:szCs w:val="28"/>
          <w:lang w:val="en-US" w:eastAsia="zh-CN"/>
        </w:rPr>
        <w:t>及现场磋商</w:t>
      </w:r>
      <w:r>
        <w:rPr>
          <w:rFonts w:hint="eastAsia" w:ascii="宋体" w:hAnsi="宋体" w:eastAsia="宋体" w:cs="宋体"/>
          <w:bCs/>
          <w:color w:val="000000"/>
          <w:sz w:val="28"/>
          <w:szCs w:val="28"/>
        </w:rPr>
        <w:t>则直接选聘。如有两家以上机构报名，则根据机构资质、工作业绩、</w:t>
      </w:r>
      <w:r>
        <w:rPr>
          <w:rFonts w:hint="eastAsia" w:ascii="宋体" w:hAnsi="宋体" w:cs="宋体"/>
          <w:bCs/>
          <w:color w:val="000000"/>
          <w:sz w:val="28"/>
          <w:szCs w:val="28"/>
          <w:lang w:val="en-US" w:eastAsia="zh-CN"/>
        </w:rPr>
        <w:t>方案建议</w:t>
      </w:r>
      <w:r>
        <w:rPr>
          <w:rFonts w:hint="eastAsia" w:ascii="宋体" w:hAnsi="宋体" w:eastAsia="宋体" w:cs="宋体"/>
          <w:bCs/>
          <w:color w:val="000000"/>
          <w:sz w:val="28"/>
          <w:szCs w:val="28"/>
        </w:rPr>
        <w:t>、报价</w:t>
      </w:r>
      <w:r>
        <w:rPr>
          <w:rFonts w:hint="eastAsia" w:ascii="宋体" w:hAnsi="宋体" w:cs="宋体"/>
          <w:bCs/>
          <w:color w:val="000000"/>
          <w:sz w:val="28"/>
          <w:szCs w:val="28"/>
          <w:lang w:val="en-US" w:eastAsia="zh-CN"/>
        </w:rPr>
        <w:t>响应</w:t>
      </w:r>
      <w:r>
        <w:rPr>
          <w:rFonts w:hint="eastAsia" w:ascii="宋体" w:hAnsi="宋体" w:eastAsia="宋体" w:cs="宋体"/>
          <w:bCs/>
          <w:color w:val="000000"/>
          <w:sz w:val="28"/>
          <w:szCs w:val="28"/>
        </w:rPr>
        <w:t>等内容进行评分竞聘。</w:t>
      </w:r>
    </w:p>
    <w:p>
      <w:pPr>
        <w:spacing w:line="520" w:lineRule="exact"/>
        <w:ind w:firstLine="560" w:firstLineChars="200"/>
        <w:rPr>
          <w:rFonts w:hint="eastAsia" w:ascii="宋体" w:hAnsi="宋体" w:eastAsia="宋体" w:cs="宋体"/>
          <w:color w:val="000000"/>
          <w:sz w:val="28"/>
          <w:szCs w:val="28"/>
        </w:rPr>
      </w:pPr>
      <w:r>
        <w:rPr>
          <w:rFonts w:hint="eastAsia" w:ascii="宋体" w:hAnsi="宋体" w:eastAsia="宋体" w:cs="宋体"/>
          <w:bCs/>
          <w:color w:val="000000"/>
          <w:sz w:val="28"/>
          <w:szCs w:val="28"/>
        </w:rPr>
        <w:t>本次评审，根据响应辅助机构提交的响应报价文件，考核其是否能够最大限度地满足公告中规定的评分标准，并结合评审组对辅助机构提供的响应文件综合评定后，择优确定</w:t>
      </w:r>
      <w:r>
        <w:rPr>
          <w:rFonts w:hint="eastAsia" w:ascii="宋体" w:hAnsi="宋体" w:eastAsia="宋体" w:cs="宋体"/>
          <w:color w:val="000000"/>
          <w:sz w:val="28"/>
          <w:szCs w:val="28"/>
        </w:rPr>
        <w:t>受聘机构</w:t>
      </w:r>
      <w:r>
        <w:rPr>
          <w:rFonts w:hint="eastAsia" w:ascii="宋体" w:hAnsi="宋体" w:eastAsia="宋体" w:cs="宋体"/>
          <w:bCs/>
          <w:color w:val="000000"/>
          <w:sz w:val="28"/>
          <w:szCs w:val="28"/>
        </w:rPr>
        <w:t>。评审工作安排在2024</w:t>
      </w:r>
      <w:r>
        <w:rPr>
          <w:rFonts w:hint="eastAsia" w:ascii="宋体" w:hAnsi="宋体" w:eastAsia="宋体" w:cs="宋体"/>
          <w:bCs/>
          <w:color w:val="000000"/>
          <w:sz w:val="28"/>
          <w:szCs w:val="28"/>
          <w:highlight w:val="yellow"/>
        </w:rPr>
        <w:t>年</w:t>
      </w:r>
      <w:r>
        <w:rPr>
          <w:rFonts w:hint="eastAsia" w:ascii="宋体" w:hAnsi="宋体" w:cs="宋体"/>
          <w:bCs/>
          <w:color w:val="000000"/>
          <w:sz w:val="28"/>
          <w:szCs w:val="28"/>
          <w:highlight w:val="yellow"/>
          <w:lang w:val="en-US" w:eastAsia="zh-CN"/>
        </w:rPr>
        <w:t>6</w:t>
      </w:r>
      <w:r>
        <w:rPr>
          <w:rFonts w:hint="eastAsia" w:ascii="宋体" w:hAnsi="宋体" w:eastAsia="宋体" w:cs="宋体"/>
          <w:bCs/>
          <w:color w:val="000000"/>
          <w:sz w:val="28"/>
          <w:szCs w:val="28"/>
          <w:highlight w:val="yellow"/>
        </w:rPr>
        <w:t>月</w:t>
      </w:r>
      <w:r>
        <w:rPr>
          <w:rFonts w:hint="eastAsia" w:ascii="宋体" w:hAnsi="宋体" w:cs="宋体"/>
          <w:bCs/>
          <w:color w:val="000000"/>
          <w:sz w:val="28"/>
          <w:szCs w:val="28"/>
          <w:highlight w:val="yellow"/>
          <w:lang w:val="en-US" w:eastAsia="zh-CN"/>
        </w:rPr>
        <w:t>7</w:t>
      </w:r>
      <w:r>
        <w:rPr>
          <w:rFonts w:hint="eastAsia" w:ascii="宋体" w:hAnsi="宋体" w:eastAsia="宋体" w:cs="宋体"/>
          <w:bCs/>
          <w:color w:val="000000"/>
          <w:sz w:val="28"/>
          <w:szCs w:val="28"/>
          <w:highlight w:val="yellow"/>
        </w:rPr>
        <w:t>日</w:t>
      </w:r>
      <w:r>
        <w:rPr>
          <w:rFonts w:hint="eastAsia" w:ascii="宋体" w:hAnsi="宋体" w:eastAsia="宋体" w:cs="宋体"/>
          <w:bCs/>
          <w:color w:val="000000"/>
          <w:sz w:val="28"/>
          <w:szCs w:val="28"/>
          <w:lang w:val="en-US"/>
        </w:rPr>
        <w:t>前</w:t>
      </w:r>
      <w:r>
        <w:rPr>
          <w:rFonts w:hint="eastAsia" w:ascii="宋体" w:hAnsi="宋体" w:eastAsia="宋体" w:cs="宋体"/>
          <w:bCs/>
          <w:color w:val="000000"/>
          <w:sz w:val="28"/>
          <w:szCs w:val="28"/>
        </w:rPr>
        <w:t>举行，评审人员和评审安排以管理人安排为准，接受</w:t>
      </w:r>
      <w:r>
        <w:rPr>
          <w:rFonts w:hint="eastAsia" w:ascii="宋体" w:hAnsi="宋体" w:cs="宋体"/>
          <w:bCs/>
          <w:color w:val="000000"/>
          <w:sz w:val="28"/>
          <w:szCs w:val="28"/>
          <w:lang w:val="en-US" w:eastAsia="zh-CN"/>
        </w:rPr>
        <w:t>宁化</w:t>
      </w:r>
      <w:r>
        <w:rPr>
          <w:rFonts w:hint="eastAsia" w:ascii="宋体" w:hAnsi="宋体" w:eastAsia="宋体" w:cs="宋体"/>
          <w:color w:val="000000"/>
          <w:sz w:val="28"/>
          <w:szCs w:val="28"/>
        </w:rPr>
        <w:t>法院</w:t>
      </w:r>
      <w:r>
        <w:rPr>
          <w:rFonts w:hint="eastAsia" w:ascii="宋体" w:hAnsi="宋体" w:cs="宋体"/>
          <w:color w:val="000000"/>
          <w:sz w:val="28"/>
          <w:szCs w:val="28"/>
          <w:lang w:val="en-US" w:eastAsia="zh-CN"/>
        </w:rPr>
        <w:t>的</w:t>
      </w:r>
      <w:r>
        <w:rPr>
          <w:rFonts w:hint="eastAsia" w:ascii="宋体" w:hAnsi="宋体" w:eastAsia="宋体" w:cs="宋体"/>
          <w:color w:val="000000"/>
          <w:sz w:val="28"/>
          <w:szCs w:val="28"/>
        </w:rPr>
        <w:t>监督</w:t>
      </w:r>
      <w:r>
        <w:rPr>
          <w:rFonts w:hint="eastAsia" w:ascii="宋体" w:hAnsi="宋体" w:eastAsia="宋体" w:cs="宋体"/>
          <w:bCs/>
          <w:color w:val="000000"/>
          <w:sz w:val="28"/>
          <w:szCs w:val="28"/>
        </w:rPr>
        <w:t>。</w:t>
      </w:r>
      <w:r>
        <w:rPr>
          <w:rFonts w:hint="eastAsia" w:ascii="宋体" w:hAnsi="宋体" w:eastAsia="宋体" w:cs="宋体"/>
          <w:color w:val="000000"/>
          <w:sz w:val="28"/>
          <w:szCs w:val="28"/>
        </w:rPr>
        <w:t>如报价过高，评审组有权要求报名机构下调报价或适时调整服务项目。具体评分标准如下：</w:t>
      </w:r>
    </w:p>
    <w:tbl>
      <w:tblPr>
        <w:tblStyle w:val="3"/>
        <w:tblW w:w="8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1276"/>
        <w:gridCol w:w="5852"/>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472" w:type="dxa"/>
            <w:noWrap w:val="0"/>
            <w:vAlign w:val="center"/>
          </w:tcPr>
          <w:p>
            <w:pPr>
              <w:spacing w:before="50" w:after="50" w:line="240" w:lineRule="exact"/>
              <w:jc w:val="center"/>
              <w:rPr>
                <w:b/>
                <w:kern w:val="0"/>
                <w:szCs w:val="21"/>
              </w:rPr>
            </w:pPr>
            <w:r>
              <w:rPr>
                <w:rFonts w:hint="eastAsia"/>
                <w:b/>
                <w:kern w:val="0"/>
                <w:szCs w:val="21"/>
              </w:rPr>
              <w:t>序号</w:t>
            </w:r>
          </w:p>
        </w:tc>
        <w:tc>
          <w:tcPr>
            <w:tcW w:w="7128" w:type="dxa"/>
            <w:gridSpan w:val="2"/>
            <w:noWrap w:val="0"/>
            <w:vAlign w:val="center"/>
          </w:tcPr>
          <w:p>
            <w:pPr>
              <w:spacing w:before="50" w:after="50" w:line="240" w:lineRule="exact"/>
              <w:jc w:val="center"/>
              <w:rPr>
                <w:b/>
                <w:kern w:val="0"/>
                <w:szCs w:val="21"/>
              </w:rPr>
            </w:pPr>
            <w:r>
              <w:rPr>
                <w:rFonts w:hint="eastAsia"/>
                <w:b/>
                <w:kern w:val="0"/>
                <w:szCs w:val="21"/>
              </w:rPr>
              <w:t>评分标准</w:t>
            </w:r>
          </w:p>
        </w:tc>
        <w:tc>
          <w:tcPr>
            <w:tcW w:w="850" w:type="dxa"/>
            <w:tcBorders>
              <w:bottom w:val="single" w:color="auto" w:sz="4" w:space="0"/>
              <w:right w:val="single" w:color="auto" w:sz="12" w:space="0"/>
            </w:tcBorders>
            <w:noWrap w:val="0"/>
            <w:vAlign w:val="center"/>
          </w:tcPr>
          <w:p>
            <w:pPr>
              <w:spacing w:before="50" w:after="50" w:line="240" w:lineRule="exact"/>
              <w:jc w:val="center"/>
              <w:rPr>
                <w:b/>
                <w:kern w:val="0"/>
                <w:szCs w:val="21"/>
              </w:rPr>
            </w:pPr>
            <w:r>
              <w:rPr>
                <w:rFonts w:hint="eastAsia"/>
                <w:b/>
                <w:kern w:val="0"/>
                <w:szCs w:val="21"/>
              </w:rPr>
              <w:t>总分1</w:t>
            </w:r>
            <w:r>
              <w:rPr>
                <w:b/>
                <w:kern w:val="0"/>
                <w:szCs w:val="21"/>
              </w:rPr>
              <w:t>00</w:t>
            </w:r>
            <w:r>
              <w:rPr>
                <w:rFonts w:hint="eastAsia"/>
                <w:b/>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72" w:type="dxa"/>
            <w:noWrap w:val="0"/>
            <w:vAlign w:val="center"/>
          </w:tcPr>
          <w:p>
            <w:pPr>
              <w:pStyle w:val="5"/>
              <w:numPr>
                <w:ilvl w:val="0"/>
                <w:numId w:val="0"/>
              </w:numPr>
              <w:spacing w:before="50" w:after="50" w:line="240" w:lineRule="exact"/>
              <w:ind w:firstLine="211" w:firstLineChars="100"/>
              <w:jc w:val="center"/>
              <w:rPr>
                <w:rFonts w:hint="eastAsia"/>
                <w:b/>
                <w:kern w:val="0"/>
                <w:szCs w:val="21"/>
              </w:rPr>
            </w:pPr>
            <w:r>
              <w:rPr>
                <w:rFonts w:hint="eastAsia"/>
                <w:b/>
                <w:kern w:val="0"/>
                <w:szCs w:val="21"/>
              </w:rPr>
              <w:t>1</w:t>
            </w:r>
          </w:p>
        </w:tc>
        <w:tc>
          <w:tcPr>
            <w:tcW w:w="7128" w:type="dxa"/>
            <w:gridSpan w:val="2"/>
            <w:noWrap w:val="0"/>
            <w:vAlign w:val="center"/>
          </w:tcPr>
          <w:p>
            <w:pPr>
              <w:jc w:val="left"/>
              <w:rPr>
                <w:rFonts w:ascii="宋体" w:hAnsi="宋体"/>
                <w:kern w:val="0"/>
                <w:szCs w:val="21"/>
              </w:rPr>
            </w:pPr>
            <w:r>
              <w:rPr>
                <w:rFonts w:ascii="宋体" w:hAnsi="宋体"/>
                <w:kern w:val="0"/>
                <w:szCs w:val="21"/>
              </w:rPr>
              <w:t>依据中国法律注册成立的，具有建设行政主管部门核发的可承接本检测项目的有效的工程质量检测机构企业资质等级证书，并具有有效的质量技术监督机构颁发的CMA计量认证证书</w:t>
            </w:r>
            <w:r>
              <w:rPr>
                <w:rFonts w:hint="eastAsia" w:ascii="宋体" w:hAnsi="宋体"/>
                <w:kern w:val="0"/>
                <w:szCs w:val="21"/>
              </w:rPr>
              <w:t>，住所地设在福建省或在福建省</w:t>
            </w:r>
            <w:r>
              <w:rPr>
                <w:rFonts w:hint="eastAsia" w:ascii="宋体" w:hAnsi="宋体"/>
                <w:kern w:val="0"/>
                <w:szCs w:val="21"/>
                <w:lang w:val="en-US" w:eastAsia="zh-CN"/>
              </w:rPr>
              <w:t>内</w:t>
            </w:r>
            <w:r>
              <w:rPr>
                <w:rFonts w:hint="eastAsia" w:ascii="宋体" w:hAnsi="宋体"/>
                <w:kern w:val="0"/>
                <w:szCs w:val="21"/>
              </w:rPr>
              <w:t>设有分支机构</w:t>
            </w:r>
            <w:r>
              <w:rPr>
                <w:rFonts w:hint="eastAsia" w:ascii="宋体" w:hAnsi="宋体"/>
                <w:kern w:val="0"/>
                <w:szCs w:val="21"/>
                <w:lang w:val="en-US" w:eastAsia="zh-CN"/>
              </w:rPr>
              <w:t>的</w:t>
            </w:r>
            <w:r>
              <w:rPr>
                <w:rFonts w:hint="eastAsia" w:ascii="宋体" w:hAnsi="宋体"/>
                <w:kern w:val="0"/>
                <w:szCs w:val="21"/>
              </w:rPr>
              <w:t>，</w:t>
            </w:r>
            <w:r>
              <w:rPr>
                <w:rFonts w:hint="eastAsia" w:ascii="宋体" w:hAnsi="宋体"/>
                <w:kern w:val="0"/>
                <w:szCs w:val="21"/>
                <w:lang w:val="en-US" w:eastAsia="zh-CN"/>
              </w:rPr>
              <w:t>得5分；</w:t>
            </w:r>
            <w:r>
              <w:rPr>
                <w:rFonts w:hint="eastAsia" w:ascii="宋体" w:hAnsi="宋体"/>
                <w:kern w:val="0"/>
                <w:szCs w:val="21"/>
              </w:rPr>
              <w:t>入选三明市住房和城乡建设局2024年度三明市房屋鉴定机构名单的</w:t>
            </w:r>
            <w:r>
              <w:rPr>
                <w:rFonts w:hint="eastAsia" w:ascii="宋体" w:hAnsi="宋体"/>
                <w:kern w:val="0"/>
                <w:szCs w:val="21"/>
                <w:lang w:eastAsia="zh-CN"/>
              </w:rPr>
              <w:t>，</w:t>
            </w:r>
            <w:r>
              <w:rPr>
                <w:rFonts w:hint="eastAsia" w:ascii="宋体" w:hAnsi="宋体"/>
                <w:kern w:val="0"/>
                <w:szCs w:val="21"/>
                <w:lang w:val="en-US" w:eastAsia="zh-CN"/>
              </w:rPr>
              <w:t>得5分；</w:t>
            </w:r>
            <w:r>
              <w:rPr>
                <w:rFonts w:hint="eastAsia" w:ascii="宋体" w:hAnsi="宋体"/>
                <w:kern w:val="0"/>
                <w:szCs w:val="21"/>
              </w:rPr>
              <w:t>具备司法鉴定资质</w:t>
            </w:r>
            <w:r>
              <w:rPr>
                <w:rFonts w:hint="eastAsia" w:ascii="宋体" w:hAnsi="宋体"/>
                <w:kern w:val="0"/>
                <w:szCs w:val="21"/>
                <w:lang w:val="en-US" w:eastAsia="zh-CN"/>
              </w:rPr>
              <w:t>的，加5分，总得分不超过15分</w:t>
            </w:r>
          </w:p>
        </w:tc>
        <w:tc>
          <w:tcPr>
            <w:tcW w:w="850" w:type="dxa"/>
            <w:tcBorders>
              <w:right w:val="single" w:color="auto" w:sz="12" w:space="0"/>
            </w:tcBorders>
            <w:noWrap w:val="0"/>
            <w:vAlign w:val="center"/>
          </w:tcPr>
          <w:p>
            <w:pPr>
              <w:spacing w:before="50" w:after="50" w:line="240" w:lineRule="exact"/>
              <w:jc w:val="center"/>
              <w:rPr>
                <w:rFonts w:hint="eastAsia" w:eastAsia="宋体"/>
                <w:bCs/>
                <w:kern w:val="0"/>
                <w:szCs w:val="21"/>
                <w:lang w:eastAsia="zh-CN"/>
              </w:rPr>
            </w:pPr>
            <w:r>
              <w:rPr>
                <w:bCs/>
                <w:kern w:val="0"/>
                <w:szCs w:val="21"/>
              </w:rPr>
              <w:t>1</w:t>
            </w:r>
            <w:r>
              <w:rPr>
                <w:rFonts w:hint="eastAsia"/>
                <w:bCs/>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noWrap w:val="0"/>
            <w:vAlign w:val="center"/>
          </w:tcPr>
          <w:p>
            <w:pPr>
              <w:pStyle w:val="5"/>
              <w:numPr>
                <w:ilvl w:val="0"/>
                <w:numId w:val="0"/>
              </w:numPr>
              <w:spacing w:before="50" w:after="50" w:line="240" w:lineRule="exact"/>
              <w:ind w:firstLine="211" w:firstLineChars="100"/>
              <w:jc w:val="center"/>
              <w:rPr>
                <w:rFonts w:hint="eastAsia"/>
                <w:b/>
                <w:kern w:val="0"/>
                <w:szCs w:val="21"/>
              </w:rPr>
            </w:pPr>
            <w:r>
              <w:rPr>
                <w:rFonts w:hint="eastAsia"/>
                <w:b/>
                <w:kern w:val="0"/>
                <w:szCs w:val="21"/>
              </w:rPr>
              <w:t>2</w:t>
            </w:r>
          </w:p>
        </w:tc>
        <w:tc>
          <w:tcPr>
            <w:tcW w:w="7128" w:type="dxa"/>
            <w:gridSpan w:val="2"/>
            <w:noWrap w:val="0"/>
            <w:vAlign w:val="center"/>
          </w:tcPr>
          <w:p>
            <w:pPr>
              <w:spacing w:before="50" w:after="50" w:line="240" w:lineRule="exact"/>
              <w:jc w:val="left"/>
              <w:rPr>
                <w:rFonts w:ascii="宋体" w:hAnsi="宋体"/>
                <w:kern w:val="0"/>
                <w:szCs w:val="21"/>
              </w:rPr>
            </w:pPr>
            <w:r>
              <w:rPr>
                <w:rFonts w:hint="eastAsia" w:ascii="宋体" w:hAnsi="宋体"/>
                <w:kern w:val="0"/>
                <w:szCs w:val="21"/>
                <w:lang w:val="en-US" w:eastAsia="zh-CN"/>
              </w:rPr>
              <w:t>曾向管理人</w:t>
            </w:r>
            <w:r>
              <w:rPr>
                <w:rFonts w:hint="eastAsia" w:ascii="宋体" w:hAnsi="宋体"/>
                <w:kern w:val="0"/>
                <w:szCs w:val="21"/>
              </w:rPr>
              <w:t>提供房地产</w:t>
            </w:r>
            <w:r>
              <w:rPr>
                <w:rFonts w:hint="eastAsia" w:ascii="宋体" w:hAnsi="宋体"/>
                <w:kern w:val="0"/>
                <w:szCs w:val="21"/>
                <w:lang w:val="en-US" w:eastAsia="zh-CN"/>
              </w:rPr>
              <w:t>企业</w:t>
            </w:r>
            <w:r>
              <w:rPr>
                <w:rFonts w:hint="eastAsia" w:ascii="宋体" w:hAnsi="宋体"/>
                <w:kern w:val="0"/>
                <w:szCs w:val="21"/>
              </w:rPr>
              <w:t>破产案件工程质量</w:t>
            </w:r>
            <w:r>
              <w:rPr>
                <w:rFonts w:hint="eastAsia" w:ascii="宋体" w:hAnsi="宋体"/>
                <w:kern w:val="0"/>
                <w:szCs w:val="21"/>
                <w:lang w:val="en-US" w:eastAsia="zh-CN"/>
              </w:rPr>
              <w:t>鉴定</w:t>
            </w:r>
            <w:r>
              <w:rPr>
                <w:rFonts w:hint="eastAsia" w:ascii="宋体" w:hAnsi="宋体"/>
                <w:kern w:val="0"/>
                <w:szCs w:val="21"/>
              </w:rPr>
              <w:t>辅助</w:t>
            </w:r>
            <w:r>
              <w:rPr>
                <w:rFonts w:hint="eastAsia" w:ascii="宋体" w:hAnsi="宋体"/>
                <w:kern w:val="0"/>
                <w:szCs w:val="21"/>
                <w:lang w:val="en-US" w:eastAsia="zh-CN"/>
              </w:rPr>
              <w:t>服务</w:t>
            </w:r>
            <w:r>
              <w:rPr>
                <w:rFonts w:hint="eastAsia" w:ascii="宋体" w:hAnsi="宋体"/>
                <w:kern w:val="0"/>
                <w:szCs w:val="21"/>
              </w:rPr>
              <w:t>的，每件得每件</w:t>
            </w:r>
            <w:r>
              <w:rPr>
                <w:rFonts w:hint="eastAsia" w:ascii="宋体" w:hAnsi="宋体"/>
                <w:kern w:val="0"/>
                <w:szCs w:val="21"/>
                <w:lang w:val="en-US" w:eastAsia="zh-CN"/>
              </w:rPr>
              <w:t>得5分，已裁定批准重整计划的案件加2</w:t>
            </w:r>
            <w:r>
              <w:rPr>
                <w:rFonts w:hint="eastAsia" w:ascii="宋体" w:hAnsi="宋体"/>
                <w:kern w:val="0"/>
                <w:szCs w:val="21"/>
              </w:rPr>
              <w:t>分，总得分不超过</w:t>
            </w:r>
            <w:r>
              <w:rPr>
                <w:rFonts w:hint="eastAsia" w:ascii="宋体" w:hAnsi="宋体"/>
                <w:kern w:val="0"/>
                <w:szCs w:val="21"/>
                <w:lang w:val="en-US" w:eastAsia="zh-CN"/>
              </w:rPr>
              <w:t>20</w:t>
            </w:r>
            <w:r>
              <w:rPr>
                <w:rFonts w:hint="eastAsia" w:ascii="宋体" w:hAnsi="宋体"/>
                <w:kern w:val="0"/>
                <w:szCs w:val="21"/>
              </w:rPr>
              <w:t>分</w:t>
            </w:r>
          </w:p>
        </w:tc>
        <w:tc>
          <w:tcPr>
            <w:tcW w:w="850" w:type="dxa"/>
            <w:tcBorders>
              <w:right w:val="single" w:color="auto" w:sz="12" w:space="0"/>
            </w:tcBorders>
            <w:noWrap w:val="0"/>
            <w:vAlign w:val="center"/>
          </w:tcPr>
          <w:p>
            <w:pPr>
              <w:spacing w:before="50" w:after="50" w:line="240" w:lineRule="exact"/>
              <w:jc w:val="center"/>
              <w:rPr>
                <w:bCs/>
                <w:kern w:val="0"/>
                <w:szCs w:val="21"/>
              </w:rPr>
            </w:pPr>
            <w:r>
              <w:rPr>
                <w:rFonts w:hint="eastAsia"/>
                <w:bCs/>
                <w:kern w:val="0"/>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472" w:type="dxa"/>
            <w:noWrap w:val="0"/>
            <w:vAlign w:val="center"/>
          </w:tcPr>
          <w:p>
            <w:pPr>
              <w:pStyle w:val="5"/>
              <w:numPr>
                <w:ilvl w:val="0"/>
                <w:numId w:val="0"/>
              </w:numPr>
              <w:spacing w:before="50" w:after="50" w:line="240" w:lineRule="exact"/>
              <w:ind w:firstLine="211" w:firstLineChars="100"/>
              <w:jc w:val="center"/>
              <w:rPr>
                <w:rFonts w:hint="eastAsia"/>
                <w:b/>
                <w:kern w:val="0"/>
                <w:szCs w:val="21"/>
              </w:rPr>
            </w:pPr>
            <w:r>
              <w:rPr>
                <w:rFonts w:hint="eastAsia"/>
                <w:b/>
                <w:kern w:val="0"/>
                <w:szCs w:val="21"/>
              </w:rPr>
              <w:t>3</w:t>
            </w:r>
          </w:p>
        </w:tc>
        <w:tc>
          <w:tcPr>
            <w:tcW w:w="1276" w:type="dxa"/>
            <w:noWrap w:val="0"/>
            <w:vAlign w:val="center"/>
          </w:tcPr>
          <w:p>
            <w:pPr>
              <w:spacing w:before="50" w:after="50" w:line="240" w:lineRule="exact"/>
              <w:jc w:val="left"/>
              <w:rPr>
                <w:rFonts w:ascii="宋体" w:hAnsi="宋体"/>
                <w:kern w:val="0"/>
                <w:szCs w:val="21"/>
              </w:rPr>
            </w:pPr>
            <w:r>
              <w:rPr>
                <w:rFonts w:hint="eastAsia" w:ascii="宋体" w:hAnsi="宋体"/>
                <w:kern w:val="0"/>
                <w:szCs w:val="21"/>
              </w:rPr>
              <w:t>团队保证</w:t>
            </w:r>
          </w:p>
        </w:tc>
        <w:tc>
          <w:tcPr>
            <w:tcW w:w="5852" w:type="dxa"/>
            <w:noWrap w:val="0"/>
            <w:vAlign w:val="center"/>
          </w:tcPr>
          <w:p>
            <w:pPr>
              <w:spacing w:before="50" w:after="50" w:line="240" w:lineRule="exact"/>
              <w:jc w:val="left"/>
              <w:rPr>
                <w:rFonts w:ascii="宋体" w:hAnsi="宋体"/>
                <w:kern w:val="0"/>
                <w:szCs w:val="21"/>
              </w:rPr>
            </w:pPr>
            <w:r>
              <w:rPr>
                <w:rFonts w:hint="eastAsia" w:ascii="宋体" w:hAnsi="宋体"/>
                <w:kern w:val="0"/>
                <w:szCs w:val="21"/>
              </w:rPr>
              <w:t>团队不少于</w:t>
            </w:r>
            <w:r>
              <w:rPr>
                <w:rFonts w:ascii="宋体" w:hAnsi="宋体"/>
                <w:kern w:val="0"/>
                <w:szCs w:val="21"/>
              </w:rPr>
              <w:t>5</w:t>
            </w:r>
            <w:r>
              <w:rPr>
                <w:rFonts w:hint="eastAsia" w:ascii="宋体" w:hAnsi="宋体"/>
                <w:kern w:val="0"/>
                <w:szCs w:val="21"/>
              </w:rPr>
              <w:t>人，且有层级高、经验丰富的项目负责人及配备满足工作要求的专业人员及辅助人员</w:t>
            </w:r>
          </w:p>
        </w:tc>
        <w:tc>
          <w:tcPr>
            <w:tcW w:w="850" w:type="dxa"/>
            <w:tcBorders>
              <w:right w:val="single" w:color="auto" w:sz="12" w:space="0"/>
            </w:tcBorders>
            <w:noWrap w:val="0"/>
            <w:vAlign w:val="center"/>
          </w:tcPr>
          <w:p>
            <w:pPr>
              <w:spacing w:before="50" w:after="50" w:line="240" w:lineRule="exact"/>
              <w:jc w:val="center"/>
              <w:rPr>
                <w:bCs/>
                <w:kern w:val="0"/>
                <w:szCs w:val="21"/>
              </w:rPr>
            </w:pPr>
            <w:r>
              <w:rPr>
                <w:rFonts w:hint="eastAsia"/>
                <w:bCs/>
                <w:kern w:val="0"/>
                <w:szCs w:val="21"/>
              </w:rPr>
              <w:t>1</w:t>
            </w:r>
            <w:r>
              <w:rPr>
                <w:bCs/>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72" w:type="dxa"/>
            <w:vMerge w:val="restart"/>
            <w:noWrap w:val="0"/>
            <w:vAlign w:val="center"/>
          </w:tcPr>
          <w:p>
            <w:pPr>
              <w:pStyle w:val="5"/>
              <w:numPr>
                <w:ilvl w:val="0"/>
                <w:numId w:val="0"/>
              </w:numPr>
              <w:spacing w:before="50" w:after="50" w:line="240" w:lineRule="exact"/>
              <w:ind w:firstLine="211" w:firstLineChars="100"/>
              <w:jc w:val="center"/>
              <w:rPr>
                <w:rFonts w:hint="eastAsia"/>
                <w:b/>
                <w:kern w:val="0"/>
                <w:szCs w:val="21"/>
              </w:rPr>
            </w:pPr>
            <w:r>
              <w:rPr>
                <w:rFonts w:hint="eastAsia"/>
                <w:b/>
                <w:kern w:val="0"/>
                <w:szCs w:val="21"/>
              </w:rPr>
              <w:t>4</w:t>
            </w:r>
          </w:p>
        </w:tc>
        <w:tc>
          <w:tcPr>
            <w:tcW w:w="1276" w:type="dxa"/>
            <w:vMerge w:val="restart"/>
            <w:noWrap w:val="0"/>
            <w:vAlign w:val="center"/>
          </w:tcPr>
          <w:p>
            <w:pPr>
              <w:spacing w:before="50" w:after="50" w:line="240" w:lineRule="exact"/>
              <w:rPr>
                <w:bCs/>
                <w:kern w:val="0"/>
                <w:szCs w:val="21"/>
              </w:rPr>
            </w:pPr>
            <w:r>
              <w:rPr>
                <w:rFonts w:hint="eastAsia"/>
                <w:bCs/>
                <w:kern w:val="0"/>
                <w:szCs w:val="21"/>
              </w:rPr>
              <w:t>报价</w:t>
            </w:r>
          </w:p>
        </w:tc>
        <w:tc>
          <w:tcPr>
            <w:tcW w:w="5852" w:type="dxa"/>
            <w:noWrap w:val="0"/>
            <w:vAlign w:val="center"/>
          </w:tcPr>
          <w:p>
            <w:pPr>
              <w:jc w:val="left"/>
              <w:rPr>
                <w:rFonts w:hint="eastAsia" w:ascii="宋体" w:hAnsi="宋体"/>
                <w:kern w:val="0"/>
                <w:szCs w:val="21"/>
              </w:rPr>
            </w:pPr>
            <w:r>
              <w:rPr>
                <w:rFonts w:hint="eastAsia" w:ascii="宋体" w:hAnsi="宋体"/>
                <w:kern w:val="0"/>
                <w:szCs w:val="21"/>
              </w:rPr>
              <w:t>最低报价得2</w:t>
            </w:r>
            <w:r>
              <w:rPr>
                <w:rFonts w:ascii="宋体" w:hAnsi="宋体"/>
                <w:kern w:val="0"/>
                <w:szCs w:val="21"/>
              </w:rPr>
              <w:t>0</w:t>
            </w:r>
            <w:r>
              <w:rPr>
                <w:rFonts w:hint="eastAsia" w:ascii="宋体" w:hAnsi="宋体"/>
                <w:kern w:val="0"/>
                <w:szCs w:val="21"/>
              </w:rPr>
              <w:t>分，依次递减</w:t>
            </w:r>
            <w:r>
              <w:rPr>
                <w:rFonts w:ascii="宋体" w:hAnsi="宋体"/>
                <w:kern w:val="0"/>
                <w:szCs w:val="21"/>
              </w:rPr>
              <w:t>5</w:t>
            </w:r>
            <w:r>
              <w:rPr>
                <w:rFonts w:hint="eastAsia" w:ascii="宋体" w:hAnsi="宋体"/>
                <w:kern w:val="0"/>
                <w:szCs w:val="21"/>
              </w:rPr>
              <w:t>分，最低不低于</w:t>
            </w:r>
            <w:r>
              <w:rPr>
                <w:rFonts w:ascii="宋体" w:hAnsi="宋体"/>
                <w:kern w:val="0"/>
                <w:szCs w:val="21"/>
              </w:rPr>
              <w:t>10</w:t>
            </w:r>
            <w:r>
              <w:rPr>
                <w:rFonts w:hint="eastAsia" w:ascii="宋体" w:hAnsi="宋体"/>
                <w:kern w:val="0"/>
                <w:szCs w:val="21"/>
              </w:rPr>
              <w:t>分</w:t>
            </w:r>
          </w:p>
        </w:tc>
        <w:tc>
          <w:tcPr>
            <w:tcW w:w="850" w:type="dxa"/>
            <w:tcBorders>
              <w:right w:val="single" w:color="auto" w:sz="12" w:space="0"/>
            </w:tcBorders>
            <w:noWrap w:val="0"/>
            <w:vAlign w:val="center"/>
          </w:tcPr>
          <w:p>
            <w:pPr>
              <w:spacing w:before="50" w:after="50" w:line="240" w:lineRule="exact"/>
              <w:jc w:val="center"/>
              <w:rPr>
                <w:bCs/>
                <w:kern w:val="0"/>
                <w:szCs w:val="21"/>
              </w:rPr>
            </w:pPr>
            <w:r>
              <w:rPr>
                <w:bCs/>
                <w:kern w:val="0"/>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472" w:type="dxa"/>
            <w:vMerge w:val="continue"/>
            <w:noWrap w:val="0"/>
            <w:vAlign w:val="center"/>
          </w:tcPr>
          <w:p>
            <w:pPr>
              <w:jc w:val="center"/>
              <w:rPr>
                <w:b/>
                <w:kern w:val="0"/>
                <w:szCs w:val="21"/>
              </w:rPr>
            </w:pPr>
          </w:p>
        </w:tc>
        <w:tc>
          <w:tcPr>
            <w:tcW w:w="1276" w:type="dxa"/>
            <w:vMerge w:val="continue"/>
            <w:noWrap w:val="0"/>
            <w:vAlign w:val="center"/>
          </w:tcPr>
          <w:p>
            <w:pPr>
              <w:jc w:val="left"/>
              <w:rPr>
                <w:bCs/>
                <w:kern w:val="0"/>
                <w:szCs w:val="21"/>
              </w:rPr>
            </w:pPr>
          </w:p>
        </w:tc>
        <w:tc>
          <w:tcPr>
            <w:tcW w:w="5852" w:type="dxa"/>
            <w:noWrap w:val="0"/>
            <w:vAlign w:val="center"/>
          </w:tcPr>
          <w:p>
            <w:pPr>
              <w:jc w:val="left"/>
              <w:rPr>
                <w:rFonts w:ascii="宋体" w:hAnsi="宋体"/>
                <w:kern w:val="0"/>
                <w:szCs w:val="21"/>
              </w:rPr>
            </w:pPr>
            <w:r>
              <w:rPr>
                <w:rFonts w:hint="eastAsia" w:ascii="宋体" w:hAnsi="宋体"/>
                <w:kern w:val="0"/>
                <w:szCs w:val="21"/>
              </w:rPr>
              <w:t>同意报价经再协商适当下调（</w:t>
            </w:r>
            <w:r>
              <w:rPr>
                <w:rFonts w:hint="eastAsia" w:ascii="宋体" w:hAnsi="宋体"/>
                <w:b/>
                <w:kern w:val="0"/>
                <w:szCs w:val="21"/>
              </w:rPr>
              <w:t>下调幅度不超过20%</w:t>
            </w:r>
            <w:r>
              <w:rPr>
                <w:rFonts w:hint="eastAsia" w:ascii="宋体" w:hAnsi="宋体"/>
                <w:kern w:val="0"/>
                <w:szCs w:val="21"/>
              </w:rPr>
              <w:t>）</w:t>
            </w:r>
          </w:p>
        </w:tc>
        <w:tc>
          <w:tcPr>
            <w:tcW w:w="850" w:type="dxa"/>
            <w:tcBorders>
              <w:right w:val="single" w:color="auto" w:sz="12" w:space="0"/>
            </w:tcBorders>
            <w:noWrap w:val="0"/>
            <w:vAlign w:val="center"/>
          </w:tcPr>
          <w:p>
            <w:pPr>
              <w:jc w:val="center"/>
              <w:rPr>
                <w:bCs/>
                <w:kern w:val="0"/>
                <w:szCs w:val="21"/>
              </w:rPr>
            </w:pPr>
            <w:r>
              <w:rPr>
                <w:bCs/>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472" w:type="dxa"/>
            <w:noWrap w:val="0"/>
            <w:vAlign w:val="center"/>
          </w:tcPr>
          <w:p>
            <w:pPr>
              <w:pStyle w:val="5"/>
              <w:numPr>
                <w:ilvl w:val="0"/>
                <w:numId w:val="0"/>
              </w:numPr>
              <w:spacing w:before="50" w:after="50" w:line="240" w:lineRule="exact"/>
              <w:ind w:firstLine="211" w:firstLineChars="100"/>
              <w:jc w:val="center"/>
              <w:rPr>
                <w:rFonts w:hint="eastAsia"/>
                <w:b/>
                <w:kern w:val="0"/>
                <w:szCs w:val="21"/>
              </w:rPr>
            </w:pPr>
            <w:r>
              <w:rPr>
                <w:rFonts w:hint="eastAsia"/>
                <w:b/>
                <w:kern w:val="0"/>
                <w:szCs w:val="21"/>
              </w:rPr>
              <w:t>5</w:t>
            </w:r>
          </w:p>
        </w:tc>
        <w:tc>
          <w:tcPr>
            <w:tcW w:w="1276" w:type="dxa"/>
            <w:noWrap w:val="0"/>
            <w:vAlign w:val="center"/>
          </w:tcPr>
          <w:p>
            <w:pPr>
              <w:jc w:val="left"/>
              <w:rPr>
                <w:bCs/>
                <w:kern w:val="0"/>
                <w:szCs w:val="21"/>
              </w:rPr>
            </w:pPr>
            <w:r>
              <w:rPr>
                <w:rFonts w:hint="eastAsia"/>
                <w:bCs/>
                <w:kern w:val="0"/>
                <w:szCs w:val="21"/>
              </w:rPr>
              <w:t>综合素质</w:t>
            </w:r>
          </w:p>
        </w:tc>
        <w:tc>
          <w:tcPr>
            <w:tcW w:w="5852" w:type="dxa"/>
            <w:noWrap w:val="0"/>
            <w:vAlign w:val="center"/>
          </w:tcPr>
          <w:p>
            <w:pPr>
              <w:jc w:val="left"/>
              <w:rPr>
                <w:rFonts w:hint="eastAsia" w:ascii="宋体" w:hAnsi="宋体"/>
                <w:kern w:val="0"/>
                <w:szCs w:val="21"/>
              </w:rPr>
            </w:pPr>
            <w:r>
              <w:rPr>
                <w:rFonts w:hint="eastAsia" w:ascii="宋体" w:hAnsi="宋体"/>
                <w:kern w:val="0"/>
                <w:szCs w:val="21"/>
                <w:lang w:val="en-US" w:eastAsia="zh-CN"/>
              </w:rPr>
              <w:t>结合方案建议（</w:t>
            </w:r>
            <w:r>
              <w:rPr>
                <w:rFonts w:hint="eastAsia" w:ascii="宋体" w:hAnsi="宋体"/>
                <w:kern w:val="0"/>
                <w:szCs w:val="21"/>
              </w:rPr>
              <w:t>检测数量、内容、工期</w:t>
            </w:r>
            <w:r>
              <w:rPr>
                <w:rFonts w:hint="eastAsia" w:ascii="宋体" w:hAnsi="宋体"/>
                <w:kern w:val="0"/>
                <w:szCs w:val="21"/>
                <w:lang w:eastAsia="zh-CN"/>
              </w:rPr>
              <w:t>）</w:t>
            </w:r>
            <w:r>
              <w:rPr>
                <w:rFonts w:hint="eastAsia" w:ascii="宋体" w:hAnsi="宋体"/>
                <w:kern w:val="0"/>
                <w:szCs w:val="21"/>
              </w:rPr>
              <w:t>、业务经验、人员数量、人员素质、专业知识等</w:t>
            </w:r>
            <w:r>
              <w:rPr>
                <w:rFonts w:hint="eastAsia" w:ascii="宋体" w:hAnsi="宋体"/>
                <w:kern w:val="0"/>
                <w:szCs w:val="21"/>
                <w:lang w:val="en-US" w:eastAsia="zh-CN"/>
              </w:rPr>
              <w:t>综合评判</w:t>
            </w:r>
            <w:r>
              <w:rPr>
                <w:rFonts w:hint="eastAsia" w:ascii="宋体" w:hAnsi="宋体"/>
                <w:kern w:val="0"/>
                <w:szCs w:val="21"/>
              </w:rPr>
              <w:t>；最高分</w:t>
            </w:r>
            <w:r>
              <w:rPr>
                <w:rFonts w:ascii="宋体" w:hAnsi="宋体"/>
                <w:kern w:val="0"/>
                <w:szCs w:val="21"/>
              </w:rPr>
              <w:t>2</w:t>
            </w:r>
            <w:r>
              <w:rPr>
                <w:rFonts w:hint="eastAsia" w:ascii="宋体" w:hAnsi="宋体"/>
                <w:kern w:val="0"/>
                <w:szCs w:val="21"/>
                <w:lang w:val="en-US" w:eastAsia="zh-CN"/>
              </w:rPr>
              <w:t>5</w:t>
            </w:r>
            <w:r>
              <w:rPr>
                <w:rFonts w:hint="eastAsia" w:ascii="宋体" w:hAnsi="宋体"/>
                <w:kern w:val="0"/>
                <w:szCs w:val="21"/>
              </w:rPr>
              <w:t>分，最低不低于</w:t>
            </w:r>
            <w:r>
              <w:rPr>
                <w:rFonts w:hint="eastAsia" w:ascii="宋体" w:hAnsi="宋体"/>
                <w:kern w:val="0"/>
                <w:szCs w:val="21"/>
                <w:lang w:val="en-US" w:eastAsia="zh-CN"/>
              </w:rPr>
              <w:t>5</w:t>
            </w:r>
            <w:r>
              <w:rPr>
                <w:rFonts w:hint="eastAsia" w:ascii="宋体" w:hAnsi="宋体"/>
                <w:kern w:val="0"/>
                <w:szCs w:val="21"/>
              </w:rPr>
              <w:t>分</w:t>
            </w:r>
          </w:p>
        </w:tc>
        <w:tc>
          <w:tcPr>
            <w:tcW w:w="850" w:type="dxa"/>
            <w:tcBorders>
              <w:right w:val="single" w:color="auto" w:sz="12" w:space="0"/>
            </w:tcBorders>
            <w:noWrap w:val="0"/>
            <w:vAlign w:val="center"/>
          </w:tcPr>
          <w:p>
            <w:pPr>
              <w:jc w:val="center"/>
              <w:rPr>
                <w:bCs/>
                <w:kern w:val="0"/>
                <w:szCs w:val="21"/>
              </w:rPr>
            </w:pPr>
            <w:r>
              <w:rPr>
                <w:bCs/>
                <w:kern w:val="0"/>
                <w:szCs w:val="21"/>
              </w:rPr>
              <w:t>2</w:t>
            </w:r>
            <w:r>
              <w:rPr>
                <w:rFonts w:hint="eastAsia"/>
                <w:bCs/>
                <w:kern w:val="0"/>
                <w:szCs w:val="21"/>
                <w:lang w:val="en-US" w:eastAsia="zh-CN"/>
              </w:rPr>
              <w:t>5</w:t>
            </w:r>
          </w:p>
        </w:tc>
      </w:tr>
    </w:tbl>
    <w:p>
      <w:pPr>
        <w:spacing w:line="520" w:lineRule="exact"/>
        <w:ind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（三）签订合同</w:t>
      </w:r>
    </w:p>
    <w:p>
      <w:pPr>
        <w:spacing w:line="52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经评选确定</w:t>
      </w:r>
      <w:bookmarkStart w:id="1" w:name="_GoBack"/>
      <w:bookmarkEnd w:id="1"/>
      <w:r>
        <w:rPr>
          <w:rFonts w:hint="eastAsia" w:ascii="宋体" w:hAnsi="宋体" w:eastAsia="宋体" w:cs="宋体"/>
          <w:color w:val="000000"/>
          <w:sz w:val="28"/>
          <w:szCs w:val="28"/>
        </w:rPr>
        <w:t>受聘机构后，管理人将公示，并在公示期满后与受聘机构签订委托合同。合同的协商和签订不应影响受聘机构提前进场及与管理人做好工作交底，确保辅助工作的有序开展。受聘机构应当依约及时、全面履行相应的辅助工作，否则管理人有权解除合同、更换受聘机构，追究受聘机构的违约责任并向主管部门发出督导建议。</w:t>
      </w:r>
    </w:p>
    <w:p>
      <w:pPr>
        <w:spacing w:line="520" w:lineRule="exact"/>
        <w:ind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八、联系方式：</w:t>
      </w:r>
    </w:p>
    <w:p>
      <w:pPr>
        <w:spacing w:line="52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联系方式：</w:t>
      </w:r>
      <w:r>
        <w:rPr>
          <w:rFonts w:hint="eastAsia" w:ascii="宋体" w:hAnsi="宋体" w:cs="宋体"/>
          <w:bCs/>
          <w:color w:val="000000"/>
          <w:sz w:val="28"/>
          <w:szCs w:val="28"/>
          <w:lang w:val="en-US" w:eastAsia="zh-CN"/>
        </w:rPr>
        <w:t>钟律师</w:t>
      </w:r>
      <w:r>
        <w:rPr>
          <w:rFonts w:hint="eastAsia" w:ascii="宋体" w:hAnsi="宋体" w:eastAsia="宋体" w:cs="宋体"/>
          <w:bCs/>
          <w:color w:val="000000"/>
          <w:sz w:val="28"/>
          <w:szCs w:val="28"/>
        </w:rPr>
        <w:t>，联系电话</w:t>
      </w:r>
      <w:r>
        <w:rPr>
          <w:rFonts w:hint="eastAsia" w:ascii="宋体" w:hAnsi="宋体" w:cs="宋体"/>
          <w:bCs/>
          <w:color w:val="000000"/>
          <w:sz w:val="28"/>
          <w:szCs w:val="28"/>
          <w:lang w:val="en-US" w:eastAsia="zh-CN"/>
        </w:rPr>
        <w:t>15206040995；</w:t>
      </w:r>
      <w:r>
        <w:rPr>
          <w:rFonts w:hint="eastAsia" w:ascii="宋体" w:hAnsi="宋体" w:eastAsia="宋体" w:cs="宋体"/>
          <w:color w:val="000000"/>
          <w:sz w:val="28"/>
          <w:szCs w:val="28"/>
        </w:rPr>
        <w:t>林律师，联系电话：15960274960</w:t>
      </w:r>
      <w:r>
        <w:rPr>
          <w:rFonts w:hint="eastAsia" w:ascii="宋体" w:hAnsi="宋体" w:eastAsia="宋体" w:cs="宋体"/>
          <w:bCs/>
          <w:color w:val="000000"/>
          <w:sz w:val="28"/>
          <w:szCs w:val="28"/>
        </w:rPr>
        <w:t>。</w:t>
      </w:r>
    </w:p>
    <w:p>
      <w:pPr>
        <w:spacing w:line="520" w:lineRule="exact"/>
        <w:ind w:firstLine="560" w:firstLineChars="200"/>
        <w:rPr>
          <w:rFonts w:hint="eastAsia" w:ascii="宋体" w:hAnsi="宋体" w:eastAsia="宋体" w:cs="宋体"/>
          <w:bCs/>
          <w:color w:val="000000"/>
          <w:sz w:val="28"/>
          <w:szCs w:val="28"/>
        </w:rPr>
      </w:pPr>
      <w:r>
        <w:rPr>
          <w:rFonts w:hint="eastAsia" w:ascii="宋体" w:hAnsi="宋体" w:eastAsia="宋体" w:cs="宋体"/>
          <w:color w:val="000000"/>
          <w:sz w:val="28"/>
          <w:szCs w:val="28"/>
        </w:rPr>
        <w:t>资料提交地址：</w:t>
      </w:r>
      <w:r>
        <w:rPr>
          <w:rFonts w:hint="eastAsia" w:ascii="宋体" w:hAnsi="宋体" w:eastAsia="宋体" w:cs="宋体"/>
          <w:bCs/>
          <w:color w:val="000000"/>
          <w:sz w:val="28"/>
          <w:szCs w:val="28"/>
        </w:rPr>
        <w:t>福建省</w:t>
      </w:r>
      <w:r>
        <w:rPr>
          <w:rFonts w:hint="eastAsia" w:ascii="宋体" w:hAnsi="宋体" w:cs="宋体"/>
          <w:bCs/>
          <w:color w:val="000000"/>
          <w:sz w:val="28"/>
          <w:szCs w:val="28"/>
          <w:lang w:val="en-US" w:eastAsia="zh-CN"/>
        </w:rPr>
        <w:t>厦门市思明区湖滨南路334-1号二轻大厦九楼福建信实律师事务所</w:t>
      </w:r>
      <w:r>
        <w:rPr>
          <w:rFonts w:hint="eastAsia" w:ascii="宋体" w:hAnsi="宋体" w:eastAsia="宋体" w:cs="宋体"/>
          <w:bCs/>
          <w:color w:val="000000"/>
          <w:sz w:val="28"/>
          <w:szCs w:val="28"/>
        </w:rPr>
        <w:t>。</w:t>
      </w:r>
    </w:p>
    <w:p>
      <w:pPr>
        <w:spacing w:line="520" w:lineRule="exact"/>
        <w:ind w:firstLine="560" w:firstLineChars="200"/>
        <w:rPr>
          <w:rFonts w:hint="eastAsia" w:ascii="宋体" w:hAnsi="宋体" w:eastAsia="宋体" w:cs="宋体"/>
          <w:bCs/>
          <w:color w:val="000000"/>
          <w:sz w:val="28"/>
          <w:szCs w:val="28"/>
        </w:rPr>
      </w:pPr>
    </w:p>
    <w:p>
      <w:pPr>
        <w:spacing w:line="520" w:lineRule="exact"/>
        <w:ind w:firstLine="562" w:firstLineChars="200"/>
        <w:jc w:val="right"/>
        <w:rPr>
          <w:rFonts w:hint="eastAsia" w:ascii="宋体" w:hAnsi="宋体" w:eastAsia="宋体" w:cs="宋体"/>
          <w:b/>
          <w:bCs/>
          <w:color w:val="000000"/>
          <w:sz w:val="28"/>
          <w:szCs w:val="28"/>
        </w:rPr>
      </w:pPr>
      <w:r>
        <w:rPr>
          <w:rFonts w:hint="eastAsia" w:ascii="宋体" w:hAnsi="宋体" w:cs="宋体"/>
          <w:b/>
          <w:bCs/>
          <w:color w:val="000000"/>
          <w:sz w:val="28"/>
          <w:szCs w:val="28"/>
          <w:lang w:eastAsia="zh-CN"/>
        </w:rPr>
        <w:t>三明华瑞房地产开发有限公司</w:t>
      </w:r>
      <w:r>
        <w:rPr>
          <w:rFonts w:hint="eastAsia" w:ascii="宋体" w:hAnsi="宋体" w:eastAsia="宋体" w:cs="宋体"/>
          <w:b/>
          <w:bCs/>
          <w:color w:val="000000"/>
          <w:sz w:val="28"/>
          <w:szCs w:val="28"/>
        </w:rPr>
        <w:t>管理人</w:t>
      </w:r>
    </w:p>
    <w:p>
      <w:pPr>
        <w:spacing w:line="520" w:lineRule="exact"/>
        <w:ind w:firstLine="562" w:firstLineChars="200"/>
        <w:jc w:val="right"/>
        <w:rPr>
          <w:rFonts w:hint="eastAsia" w:ascii="宋体" w:hAnsi="宋体" w:eastAsia="宋体" w:cs="宋体"/>
          <w:b/>
          <w:bCs/>
          <w:color w:val="000000"/>
          <w:sz w:val="28"/>
          <w:szCs w:val="28"/>
        </w:rPr>
      </w:pPr>
    </w:p>
    <w:p>
      <w:pPr>
        <w:wordWrap w:val="0"/>
        <w:spacing w:line="520" w:lineRule="exact"/>
        <w:ind w:firstLine="562" w:firstLineChars="200"/>
        <w:jc w:val="right"/>
        <w:rPr>
          <w:rFonts w:hint="eastAsia" w:ascii="宋体" w:hAnsi="宋体" w:eastAsia="宋体" w:cs="宋体"/>
          <w:b/>
          <w:color w:val="000000"/>
          <w:sz w:val="28"/>
          <w:szCs w:val="28"/>
        </w:rPr>
      </w:pPr>
      <w:r>
        <w:rPr>
          <w:rFonts w:hint="eastAsia" w:ascii="宋体" w:hAnsi="宋体" w:eastAsia="宋体" w:cs="宋体"/>
          <w:b/>
          <w:bCs/>
          <w:color w:val="000000"/>
          <w:sz w:val="28"/>
          <w:szCs w:val="28"/>
        </w:rPr>
        <w:t>二〇二四年</w:t>
      </w:r>
      <w:r>
        <w:rPr>
          <w:rFonts w:hint="eastAsia" w:ascii="宋体" w:hAnsi="宋体" w:cs="宋体"/>
          <w:b/>
          <w:bCs/>
          <w:color w:val="000000"/>
          <w:sz w:val="28"/>
          <w:szCs w:val="28"/>
          <w:lang w:val="en-US" w:eastAsia="zh-CN"/>
        </w:rPr>
        <w:t>五</w:t>
      </w:r>
      <w:r>
        <w:rPr>
          <w:rFonts w:hint="eastAsia" w:ascii="宋体" w:hAnsi="宋体" w:eastAsia="宋体" w:cs="宋体"/>
          <w:b/>
          <w:bCs/>
          <w:color w:val="000000"/>
          <w:sz w:val="28"/>
          <w:szCs w:val="28"/>
        </w:rPr>
        <w:t>月</w:t>
      </w:r>
      <w:r>
        <w:rPr>
          <w:rFonts w:hint="eastAsia" w:ascii="宋体" w:hAnsi="宋体" w:cs="宋体"/>
          <w:b/>
          <w:bCs/>
          <w:color w:val="000000"/>
          <w:sz w:val="28"/>
          <w:szCs w:val="28"/>
          <w:lang w:val="en-US" w:eastAsia="zh-CN"/>
        </w:rPr>
        <w:t>二十九</w:t>
      </w:r>
      <w:r>
        <w:rPr>
          <w:rFonts w:hint="eastAsia" w:ascii="宋体" w:hAnsi="宋体" w:eastAsia="宋体" w:cs="宋体"/>
          <w:b/>
          <w:bCs/>
          <w:color w:val="000000"/>
          <w:sz w:val="28"/>
          <w:szCs w:val="28"/>
        </w:rPr>
        <w:t>日</w:t>
      </w:r>
    </w:p>
    <w:p>
      <w:pPr>
        <w:spacing w:line="420" w:lineRule="exact"/>
        <w:jc w:val="left"/>
        <w:rPr>
          <w:rFonts w:hint="eastAsia" w:ascii="宋体" w:hAnsi="宋体" w:eastAsia="宋体" w:cs="宋体"/>
          <w:b/>
          <w:color w:val="000000"/>
          <w:sz w:val="28"/>
          <w:szCs w:val="28"/>
        </w:rPr>
      </w:pPr>
      <w:r>
        <w:rPr>
          <w:rFonts w:hint="eastAsia" w:ascii="宋体" w:hAnsi="宋体" w:eastAsia="宋体" w:cs="宋体"/>
          <w:b/>
          <w:color w:val="000000"/>
          <w:sz w:val="28"/>
          <w:szCs w:val="28"/>
        </w:rPr>
        <w:br w:type="page"/>
      </w:r>
      <w:r>
        <w:rPr>
          <w:rFonts w:hint="eastAsia" w:ascii="宋体" w:hAnsi="宋体" w:eastAsia="宋体" w:cs="宋体"/>
          <w:b/>
          <w:color w:val="000000"/>
          <w:sz w:val="28"/>
          <w:szCs w:val="28"/>
        </w:rPr>
        <w:t>附件：</w:t>
      </w:r>
    </w:p>
    <w:p>
      <w:pPr>
        <w:spacing w:before="120" w:beforeLines="50" w:after="120" w:afterLines="50" w:line="360" w:lineRule="exact"/>
        <w:jc w:val="center"/>
        <w:rPr>
          <w:rFonts w:hint="eastAsia" w:ascii="宋体" w:hAnsi="宋体" w:eastAsia="宋体" w:cs="宋体"/>
          <w:b/>
          <w:color w:val="000000"/>
          <w:sz w:val="36"/>
          <w:szCs w:val="36"/>
        </w:rPr>
      </w:pPr>
      <w:r>
        <w:rPr>
          <w:rFonts w:hint="eastAsia" w:ascii="宋体" w:hAnsi="宋体" w:eastAsia="宋体" w:cs="宋体"/>
          <w:b/>
          <w:color w:val="000000"/>
          <w:sz w:val="36"/>
          <w:szCs w:val="36"/>
        </w:rPr>
        <w:t>响应报价书</w:t>
      </w:r>
    </w:p>
    <w:p>
      <w:pPr>
        <w:spacing w:before="120" w:beforeLines="50" w:after="120" w:afterLines="50" w:line="360" w:lineRule="exact"/>
        <w:jc w:val="left"/>
        <w:rPr>
          <w:rFonts w:hint="eastAsia" w:ascii="宋体" w:hAnsi="宋体" w:eastAsia="宋体" w:cs="宋体"/>
          <w:b/>
          <w:color w:val="000000"/>
          <w:sz w:val="28"/>
          <w:szCs w:val="28"/>
        </w:rPr>
      </w:pPr>
      <w:r>
        <w:rPr>
          <w:rFonts w:hint="eastAsia" w:ascii="宋体" w:hAnsi="宋体" w:eastAsia="宋体" w:cs="宋体"/>
          <w:b/>
          <w:color w:val="000000"/>
          <w:sz w:val="28"/>
          <w:szCs w:val="28"/>
        </w:rPr>
        <w:t>致：</w:t>
      </w:r>
      <w:r>
        <w:rPr>
          <w:rFonts w:hint="eastAsia" w:ascii="宋体" w:hAnsi="宋体" w:cs="宋体"/>
          <w:b/>
          <w:color w:val="000000"/>
          <w:sz w:val="28"/>
          <w:szCs w:val="28"/>
          <w:lang w:eastAsia="zh-CN"/>
        </w:rPr>
        <w:t>三明华瑞房地产开发有限公司</w:t>
      </w:r>
      <w:r>
        <w:rPr>
          <w:rFonts w:hint="eastAsia" w:ascii="宋体" w:hAnsi="宋体" w:eastAsia="宋体" w:cs="宋体"/>
          <w:b/>
          <w:color w:val="000000"/>
          <w:sz w:val="28"/>
          <w:szCs w:val="28"/>
        </w:rPr>
        <w:t>管理人</w:t>
      </w:r>
    </w:p>
    <w:p>
      <w:pPr>
        <w:spacing w:before="120" w:beforeLines="50" w:after="120" w:afterLines="50" w:line="36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本单位已充分阅读《</w:t>
      </w:r>
      <w:r>
        <w:rPr>
          <w:rFonts w:hint="eastAsia" w:ascii="宋体" w:hAnsi="宋体" w:cs="宋体"/>
          <w:color w:val="000000"/>
          <w:sz w:val="28"/>
          <w:szCs w:val="28"/>
          <w:lang w:eastAsia="zh-CN"/>
        </w:rPr>
        <w:t>三明华瑞房地产开发有限公司破产清算案工程质量鉴定辅助机构的第二次选聘公告</w:t>
      </w:r>
      <w:r>
        <w:rPr>
          <w:rFonts w:hint="eastAsia" w:ascii="宋体" w:hAnsi="宋体" w:eastAsia="宋体" w:cs="宋体"/>
          <w:color w:val="000000"/>
          <w:sz w:val="28"/>
          <w:szCs w:val="28"/>
        </w:rPr>
        <w:t>》，充分了解贵单位针对</w:t>
      </w:r>
      <w:r>
        <w:rPr>
          <w:rFonts w:hint="eastAsia" w:ascii="宋体" w:hAnsi="宋体" w:cs="宋体"/>
          <w:color w:val="000000"/>
          <w:sz w:val="28"/>
          <w:szCs w:val="28"/>
          <w:lang w:eastAsia="zh-CN"/>
        </w:rPr>
        <w:t>华瑞</w:t>
      </w:r>
      <w:r>
        <w:rPr>
          <w:rFonts w:hint="eastAsia" w:ascii="宋体" w:hAnsi="宋体" w:eastAsia="宋体" w:cs="宋体"/>
          <w:color w:val="000000"/>
          <w:sz w:val="28"/>
          <w:szCs w:val="28"/>
        </w:rPr>
        <w:t>公司的</w:t>
      </w:r>
      <w:r>
        <w:rPr>
          <w:rFonts w:hint="eastAsia" w:ascii="宋体" w:hAnsi="宋体" w:cs="宋体"/>
          <w:color w:val="000000"/>
          <w:sz w:val="28"/>
          <w:szCs w:val="28"/>
          <w:lang w:val="en-US" w:eastAsia="zh-CN"/>
        </w:rPr>
        <w:t>工程质量鉴定</w:t>
      </w:r>
      <w:r>
        <w:rPr>
          <w:rFonts w:hint="eastAsia" w:ascii="宋体" w:hAnsi="宋体" w:eastAsia="宋体" w:cs="宋体"/>
          <w:color w:val="000000"/>
          <w:sz w:val="28"/>
          <w:szCs w:val="28"/>
        </w:rPr>
        <w:t>机构选聘要求及相关情况，同意在2024年</w:t>
      </w:r>
      <w:r>
        <w:rPr>
          <w:rFonts w:hint="eastAsia" w:ascii="宋体" w:hAnsi="宋体" w:cs="宋体"/>
          <w:color w:val="000000"/>
          <w:sz w:val="28"/>
          <w:szCs w:val="28"/>
          <w:lang w:eastAsia="zh-CN"/>
        </w:rPr>
        <w:t>【】</w:t>
      </w:r>
      <w:r>
        <w:rPr>
          <w:rFonts w:hint="eastAsia" w:ascii="宋体" w:hAnsi="宋体" w:eastAsia="宋体" w:cs="宋体"/>
          <w:color w:val="000000"/>
          <w:spacing w:val="-28"/>
          <w:sz w:val="28"/>
          <w:szCs w:val="28"/>
        </w:rPr>
        <w:t>月</w:t>
      </w:r>
      <w:r>
        <w:rPr>
          <w:rFonts w:hint="eastAsia" w:ascii="宋体" w:hAnsi="宋体" w:cs="宋体"/>
          <w:color w:val="000000"/>
          <w:spacing w:val="-28"/>
          <w:sz w:val="28"/>
          <w:szCs w:val="28"/>
          <w:lang w:eastAsia="zh-CN"/>
        </w:rPr>
        <w:t>【</w:t>
      </w:r>
      <w:r>
        <w:rPr>
          <w:rFonts w:hint="eastAsia" w:ascii="宋体" w:hAnsi="宋体" w:cs="宋体"/>
          <w:color w:val="000000"/>
          <w:spacing w:val="-28"/>
          <w:sz w:val="28"/>
          <w:szCs w:val="28"/>
          <w:lang w:val="en-US" w:eastAsia="zh-CN"/>
        </w:rPr>
        <w:t xml:space="preserve"> </w:t>
      </w:r>
      <w:r>
        <w:rPr>
          <w:rFonts w:hint="eastAsia" w:ascii="宋体" w:hAnsi="宋体" w:cs="宋体"/>
          <w:color w:val="000000"/>
          <w:spacing w:val="-28"/>
          <w:sz w:val="28"/>
          <w:szCs w:val="28"/>
          <w:lang w:eastAsia="zh-CN"/>
        </w:rPr>
        <w:t>】</w:t>
      </w:r>
      <w:r>
        <w:rPr>
          <w:rFonts w:hint="eastAsia" w:ascii="宋体" w:hAnsi="宋体" w:eastAsia="宋体" w:cs="宋体"/>
          <w:color w:val="000000"/>
          <w:spacing w:val="-28"/>
          <w:sz w:val="28"/>
          <w:szCs w:val="28"/>
        </w:rPr>
        <w:t>日</w:t>
      </w:r>
      <w:r>
        <w:rPr>
          <w:rFonts w:hint="eastAsia" w:ascii="宋体" w:hAnsi="宋体" w:eastAsia="宋体" w:cs="宋体"/>
          <w:color w:val="000000"/>
          <w:sz w:val="28"/>
          <w:szCs w:val="28"/>
        </w:rPr>
        <w:t>17：00前进行响应，并根据项目情况提出如下报价和承诺：</w:t>
      </w:r>
    </w:p>
    <w:p>
      <w:pPr>
        <w:spacing w:before="120" w:beforeLines="50" w:after="120" w:afterLines="50" w:line="360" w:lineRule="exact"/>
        <w:ind w:firstLine="562" w:firstLineChars="200"/>
        <w:jc w:val="left"/>
        <w:rPr>
          <w:rFonts w:hint="eastAsia" w:ascii="宋体" w:hAnsi="宋体" w:eastAsia="宋体" w:cs="宋体"/>
          <w:color w:val="000000"/>
          <w:sz w:val="28"/>
          <w:szCs w:val="28"/>
        </w:rPr>
      </w:pPr>
      <w:r>
        <w:rPr>
          <w:rFonts w:hint="eastAsia" w:ascii="宋体" w:hAnsi="宋体" w:eastAsia="宋体" w:cs="宋体"/>
          <w:b/>
          <w:color w:val="000000"/>
          <w:sz w:val="28"/>
          <w:szCs w:val="28"/>
        </w:rPr>
        <w:t>一、本单位愿意报价</w:t>
      </w:r>
      <w:r>
        <w:rPr>
          <w:rFonts w:hint="eastAsia" w:ascii="宋体" w:hAnsi="宋体" w:eastAsia="宋体" w:cs="宋体"/>
          <w:b/>
          <w:color w:val="000000"/>
          <w:sz w:val="28"/>
          <w:szCs w:val="28"/>
          <w:u w:val="single"/>
        </w:rPr>
        <w:t xml:space="preserve">    </w:t>
      </w:r>
      <w:r>
        <w:rPr>
          <w:rFonts w:hint="eastAsia" w:ascii="宋体" w:hAnsi="宋体" w:cs="宋体"/>
          <w:b/>
          <w:color w:val="000000"/>
          <w:sz w:val="28"/>
          <w:szCs w:val="28"/>
          <w:u w:val="single"/>
          <w:lang w:val="en-US" w:eastAsia="zh-CN"/>
        </w:rPr>
        <w:t xml:space="preserve">   </w:t>
      </w:r>
      <w:r>
        <w:rPr>
          <w:rFonts w:hint="eastAsia" w:ascii="宋体" w:hAnsi="宋体" w:eastAsia="宋体" w:cs="宋体"/>
          <w:b/>
          <w:color w:val="000000"/>
          <w:sz w:val="28"/>
          <w:szCs w:val="28"/>
          <w:u w:val="single"/>
        </w:rPr>
        <w:t xml:space="preserve"> </w:t>
      </w:r>
      <w:r>
        <w:rPr>
          <w:rFonts w:hint="eastAsia" w:ascii="宋体" w:hAnsi="宋体" w:eastAsia="宋体" w:cs="宋体"/>
          <w:b/>
          <w:color w:val="000000"/>
          <w:sz w:val="28"/>
          <w:szCs w:val="28"/>
        </w:rPr>
        <w:t>元，□同意 / □不同意（填写“√”）报价经协商适当下调（下调幅度不超过20%），承担</w:t>
      </w:r>
      <w:r>
        <w:rPr>
          <w:rFonts w:hint="eastAsia" w:ascii="宋体" w:hAnsi="宋体" w:cs="宋体"/>
          <w:b/>
          <w:color w:val="000000"/>
          <w:sz w:val="28"/>
          <w:szCs w:val="28"/>
          <w:lang w:eastAsia="zh-CN"/>
        </w:rPr>
        <w:t>三明华瑞房地产开发有限公司</w:t>
      </w:r>
      <w:r>
        <w:rPr>
          <w:rFonts w:hint="eastAsia" w:ascii="宋体" w:hAnsi="宋体" w:cs="宋体"/>
          <w:b/>
          <w:i w:val="0"/>
          <w:iCs w:val="0"/>
          <w:color w:val="000000"/>
          <w:sz w:val="28"/>
          <w:szCs w:val="28"/>
          <w:u w:val="none"/>
          <w:lang w:val="en-US" w:eastAsia="zh-CN"/>
        </w:rPr>
        <w:t>工程质量鉴定</w:t>
      </w:r>
      <w:r>
        <w:rPr>
          <w:rFonts w:hint="eastAsia" w:ascii="宋体" w:hAnsi="宋体" w:eastAsia="宋体" w:cs="宋体"/>
          <w:b/>
          <w:i w:val="0"/>
          <w:iCs w:val="0"/>
          <w:color w:val="000000"/>
          <w:sz w:val="28"/>
          <w:szCs w:val="28"/>
          <w:u w:val="none"/>
        </w:rPr>
        <w:t>项</w:t>
      </w:r>
      <w:r>
        <w:rPr>
          <w:rFonts w:hint="eastAsia" w:ascii="宋体" w:hAnsi="宋体" w:eastAsia="宋体" w:cs="宋体"/>
          <w:b/>
          <w:color w:val="000000"/>
          <w:sz w:val="28"/>
          <w:szCs w:val="28"/>
        </w:rPr>
        <w:t>目工作，同时承诺：</w:t>
      </w:r>
    </w:p>
    <w:p>
      <w:pPr>
        <w:widowControl/>
        <w:snapToGrid w:val="0"/>
        <w:spacing w:before="120" w:beforeLines="50" w:after="120" w:afterLines="50" w:line="360" w:lineRule="exact"/>
        <w:ind w:firstLine="562" w:firstLineChars="200"/>
        <w:jc w:val="left"/>
        <w:outlineLvl w:val="0"/>
        <w:rPr>
          <w:rFonts w:hint="eastAsia" w:ascii="宋体" w:hAnsi="宋体" w:eastAsia="宋体" w:cs="宋体"/>
          <w:b/>
          <w:color w:val="000000"/>
          <w:kern w:val="0"/>
          <w:sz w:val="28"/>
          <w:szCs w:val="28"/>
        </w:rPr>
      </w:pPr>
      <w:r>
        <w:rPr>
          <w:rFonts w:hint="eastAsia" w:ascii="宋体" w:hAnsi="宋体" w:eastAsia="宋体" w:cs="宋体"/>
          <w:b/>
          <w:color w:val="000000"/>
          <w:sz w:val="28"/>
          <w:szCs w:val="28"/>
        </w:rPr>
        <w:t>1. 本单位如</w:t>
      </w:r>
      <w:r>
        <w:rPr>
          <w:rFonts w:hint="eastAsia" w:ascii="宋体" w:hAnsi="宋体" w:eastAsia="宋体" w:cs="宋体"/>
          <w:b/>
          <w:color w:val="000000"/>
          <w:kern w:val="0"/>
          <w:sz w:val="28"/>
          <w:szCs w:val="28"/>
        </w:rPr>
        <w:t>被选定，将按响应做出承诺全面履行，配合管理人做好辅助工作，并接受公告约定的提前进场（工作交底）和付款安排；</w:t>
      </w:r>
    </w:p>
    <w:p>
      <w:pPr>
        <w:widowControl/>
        <w:snapToGrid w:val="0"/>
        <w:spacing w:before="120" w:beforeLines="50" w:after="120" w:afterLines="50" w:line="360" w:lineRule="exact"/>
        <w:ind w:firstLine="562" w:firstLineChars="200"/>
        <w:jc w:val="left"/>
        <w:rPr>
          <w:rFonts w:hint="eastAsia" w:ascii="宋体" w:hAnsi="宋体" w:eastAsia="宋体" w:cs="宋体"/>
          <w:b/>
          <w:color w:val="000000"/>
          <w:sz w:val="21"/>
          <w:szCs w:val="21"/>
        </w:rPr>
      </w:pPr>
      <w:r>
        <w:rPr>
          <w:rFonts w:hint="eastAsia" w:ascii="宋体" w:hAnsi="宋体" w:eastAsia="宋体" w:cs="宋体"/>
          <w:b/>
          <w:color w:val="000000"/>
          <w:sz w:val="28"/>
          <w:szCs w:val="28"/>
        </w:rPr>
        <w:t>2. 本单位如被选定，将指派如下工作团队，并恪守保密义务</w:t>
      </w:r>
      <w:r>
        <w:rPr>
          <w:rFonts w:hint="eastAsia" w:ascii="宋体" w:hAnsi="宋体" w:eastAsia="宋体" w:cs="宋体"/>
          <w:b/>
          <w:color w:val="000000"/>
          <w:sz w:val="21"/>
          <w:szCs w:val="21"/>
        </w:rPr>
        <w:t>：</w:t>
      </w:r>
    </w:p>
    <w:tbl>
      <w:tblPr>
        <w:tblStyle w:val="3"/>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1750"/>
        <w:gridCol w:w="3253"/>
        <w:gridCol w:w="2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序号</w:t>
            </w:r>
          </w:p>
        </w:tc>
        <w:tc>
          <w:tcPr>
            <w:tcW w:w="1750"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人员</w:t>
            </w:r>
          </w:p>
        </w:tc>
        <w:tc>
          <w:tcPr>
            <w:tcW w:w="32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职称或学历、学位</w:t>
            </w:r>
          </w:p>
        </w:tc>
        <w:tc>
          <w:tcPr>
            <w:tcW w:w="25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1</w:t>
            </w:r>
          </w:p>
        </w:tc>
        <w:tc>
          <w:tcPr>
            <w:tcW w:w="1750"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c>
          <w:tcPr>
            <w:tcW w:w="32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c>
          <w:tcPr>
            <w:tcW w:w="25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r>
              <w:rPr>
                <w:rFonts w:hint="eastAsia" w:ascii="宋体" w:hAnsi="宋体" w:eastAsia="宋体" w:cs="宋体"/>
                <w:bCs/>
                <w:color w:val="000000"/>
                <w:sz w:val="21"/>
                <w:szCs w:val="21"/>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2</w:t>
            </w:r>
          </w:p>
        </w:tc>
        <w:tc>
          <w:tcPr>
            <w:tcW w:w="1750"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c>
          <w:tcPr>
            <w:tcW w:w="32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c>
          <w:tcPr>
            <w:tcW w:w="25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3</w:t>
            </w:r>
          </w:p>
        </w:tc>
        <w:tc>
          <w:tcPr>
            <w:tcW w:w="1750"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c>
          <w:tcPr>
            <w:tcW w:w="32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c>
          <w:tcPr>
            <w:tcW w:w="25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4</w:t>
            </w:r>
          </w:p>
        </w:tc>
        <w:tc>
          <w:tcPr>
            <w:tcW w:w="1750"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c>
          <w:tcPr>
            <w:tcW w:w="32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c>
          <w:tcPr>
            <w:tcW w:w="25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5</w:t>
            </w:r>
          </w:p>
        </w:tc>
        <w:tc>
          <w:tcPr>
            <w:tcW w:w="1750"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c>
          <w:tcPr>
            <w:tcW w:w="32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c>
          <w:tcPr>
            <w:tcW w:w="25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6</w:t>
            </w:r>
          </w:p>
        </w:tc>
        <w:tc>
          <w:tcPr>
            <w:tcW w:w="1750"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c>
          <w:tcPr>
            <w:tcW w:w="32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c>
          <w:tcPr>
            <w:tcW w:w="2553" w:type="dxa"/>
            <w:tcBorders>
              <w:top w:val="single" w:color="auto" w:sz="4" w:space="0"/>
              <w:left w:val="single" w:color="auto" w:sz="4" w:space="0"/>
              <w:bottom w:val="single" w:color="auto" w:sz="4" w:space="0"/>
              <w:right w:val="single" w:color="auto" w:sz="4" w:space="0"/>
            </w:tcBorders>
            <w:noWrap w:val="0"/>
            <w:vAlign w:val="top"/>
          </w:tcPr>
          <w:p>
            <w:pPr>
              <w:widowControl/>
              <w:snapToGrid w:val="0"/>
              <w:spacing w:line="280" w:lineRule="exact"/>
              <w:jc w:val="left"/>
              <w:rPr>
                <w:rFonts w:hint="eastAsia" w:ascii="宋体" w:hAnsi="宋体" w:eastAsia="宋体" w:cs="宋体"/>
                <w:bCs/>
                <w:color w:val="000000"/>
                <w:sz w:val="21"/>
                <w:szCs w:val="21"/>
              </w:rPr>
            </w:pPr>
          </w:p>
        </w:tc>
      </w:tr>
    </w:tbl>
    <w:p>
      <w:pPr>
        <w:widowControl/>
        <w:snapToGrid w:val="0"/>
        <w:spacing w:before="120" w:beforeLines="50" w:after="120" w:afterLines="50" w:line="360" w:lineRule="exact"/>
        <w:ind w:firstLine="562" w:firstLineChars="200"/>
        <w:jc w:val="left"/>
        <w:rPr>
          <w:rFonts w:hint="eastAsia" w:ascii="宋体" w:hAnsi="宋体" w:eastAsia="宋体" w:cs="宋体"/>
          <w:color w:val="000000"/>
          <w:sz w:val="28"/>
          <w:szCs w:val="28"/>
        </w:rPr>
      </w:pPr>
      <w:r>
        <w:rPr>
          <w:rFonts w:hint="eastAsia" w:ascii="宋体" w:hAnsi="宋体" w:eastAsia="宋体" w:cs="宋体"/>
          <w:b/>
          <w:color w:val="000000"/>
          <w:sz w:val="28"/>
          <w:szCs w:val="28"/>
        </w:rPr>
        <w:t>二、本单位如</w:t>
      </w:r>
      <w:r>
        <w:rPr>
          <w:rFonts w:hint="eastAsia" w:ascii="宋体" w:hAnsi="宋体" w:eastAsia="宋体" w:cs="宋体"/>
          <w:b/>
          <w:color w:val="000000"/>
          <w:kern w:val="0"/>
          <w:sz w:val="28"/>
          <w:szCs w:val="28"/>
        </w:rPr>
        <w:t>被选定，将按照管理人要求于入场后</w:t>
      </w:r>
      <w:r>
        <w:rPr>
          <w:rFonts w:hint="eastAsia" w:ascii="宋体" w:hAnsi="宋体" w:eastAsia="宋体" w:cs="宋体"/>
          <w:b/>
          <w:color w:val="000000"/>
          <w:kern w:val="0"/>
          <w:sz w:val="28"/>
          <w:szCs w:val="28"/>
          <w:lang w:val="en-US"/>
        </w:rPr>
        <w:t>三十</w:t>
      </w:r>
      <w:r>
        <w:rPr>
          <w:rFonts w:hint="eastAsia" w:ascii="宋体" w:hAnsi="宋体" w:eastAsia="宋体" w:cs="宋体"/>
          <w:b/>
          <w:color w:val="000000"/>
          <w:kern w:val="0"/>
          <w:sz w:val="28"/>
          <w:szCs w:val="28"/>
        </w:rPr>
        <w:t>日内完成</w:t>
      </w:r>
      <w:r>
        <w:rPr>
          <w:rFonts w:hint="eastAsia" w:ascii="宋体" w:hAnsi="宋体" w:eastAsia="宋体" w:cs="宋体"/>
          <w:b/>
          <w:color w:val="000000"/>
          <w:sz w:val="28"/>
          <w:szCs w:val="28"/>
        </w:rPr>
        <w:t>相应的辅助</w:t>
      </w:r>
      <w:r>
        <w:rPr>
          <w:rFonts w:hint="eastAsia" w:ascii="宋体" w:hAnsi="宋体" w:eastAsia="宋体" w:cs="宋体"/>
          <w:b/>
          <w:color w:val="000000"/>
          <w:kern w:val="0"/>
          <w:sz w:val="28"/>
          <w:szCs w:val="28"/>
        </w:rPr>
        <w:t>工作，并根据管理人的要求出具</w:t>
      </w:r>
      <w:r>
        <w:rPr>
          <w:rFonts w:hint="eastAsia" w:ascii="宋体" w:hAnsi="宋体" w:eastAsia="宋体" w:cs="宋体"/>
          <w:b/>
          <w:color w:val="000000"/>
          <w:kern w:val="0"/>
          <w:sz w:val="28"/>
          <w:szCs w:val="28"/>
          <w:lang w:val="en-US"/>
        </w:rPr>
        <w:t>报告初稿，并于2024年</w:t>
      </w:r>
      <w:r>
        <w:rPr>
          <w:rFonts w:hint="eastAsia" w:ascii="宋体" w:hAnsi="宋体" w:cs="宋体"/>
          <w:b/>
          <w:color w:val="000000"/>
          <w:kern w:val="0"/>
          <w:sz w:val="28"/>
          <w:szCs w:val="28"/>
          <w:lang w:val="en-US" w:eastAsia="zh-CN"/>
        </w:rPr>
        <w:t>【 】</w:t>
      </w:r>
      <w:r>
        <w:rPr>
          <w:rFonts w:hint="eastAsia" w:ascii="宋体" w:hAnsi="宋体" w:eastAsia="宋体" w:cs="宋体"/>
          <w:b/>
          <w:color w:val="000000"/>
          <w:kern w:val="0"/>
          <w:sz w:val="28"/>
          <w:szCs w:val="28"/>
          <w:lang w:val="en-US"/>
        </w:rPr>
        <w:t>月</w:t>
      </w:r>
      <w:r>
        <w:rPr>
          <w:rFonts w:hint="eastAsia" w:ascii="宋体" w:hAnsi="宋体" w:cs="宋体"/>
          <w:b/>
          <w:color w:val="000000"/>
          <w:kern w:val="0"/>
          <w:sz w:val="28"/>
          <w:szCs w:val="28"/>
          <w:lang w:val="en-US" w:eastAsia="zh-CN"/>
        </w:rPr>
        <w:t>【 】</w:t>
      </w:r>
      <w:r>
        <w:rPr>
          <w:rFonts w:hint="eastAsia" w:ascii="宋体" w:hAnsi="宋体" w:eastAsia="宋体" w:cs="宋体"/>
          <w:b/>
          <w:color w:val="000000"/>
          <w:kern w:val="0"/>
          <w:sz w:val="28"/>
          <w:szCs w:val="28"/>
          <w:lang w:val="en-US"/>
        </w:rPr>
        <w:t>日前完成终稿。</w:t>
      </w:r>
      <w:r>
        <w:rPr>
          <w:rFonts w:hint="eastAsia" w:ascii="宋体" w:hAnsi="宋体" w:eastAsia="宋体" w:cs="宋体"/>
          <w:b/>
          <w:color w:val="000000"/>
          <w:kern w:val="0"/>
          <w:sz w:val="28"/>
          <w:szCs w:val="28"/>
        </w:rPr>
        <w:t>逾期完成相关工作或逾期出具书面正式报告的，同意按公告须知的要求承担违约责任。</w:t>
      </w:r>
    </w:p>
    <w:p>
      <w:pPr>
        <w:spacing w:before="120" w:beforeLines="50" w:after="120" w:afterLines="50" w:line="36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三、本单位指定</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（身份证号码：</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联系电话：</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为本选聘项目授权代理人，有权代为递交《响应报价书》和参与评选。本单位确认下列地址为有效送达地址：</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w:t>
      </w:r>
    </w:p>
    <w:p>
      <w:pPr>
        <w:spacing w:before="120" w:beforeLines="50" w:after="120" w:afterLines="50" w:line="360" w:lineRule="exact"/>
        <w:ind w:firstLine="3920" w:firstLineChars="1400"/>
        <w:jc w:val="left"/>
        <w:rPr>
          <w:rFonts w:hint="eastAsia" w:ascii="宋体" w:hAnsi="宋体" w:eastAsia="宋体" w:cs="宋体"/>
          <w:color w:val="000000"/>
          <w:sz w:val="28"/>
          <w:szCs w:val="28"/>
        </w:rPr>
      </w:pPr>
      <w:r>
        <w:rPr>
          <w:rFonts w:hint="eastAsia" w:ascii="宋体" w:hAnsi="宋体" w:eastAsia="宋体" w:cs="宋体"/>
          <w:color w:val="000000"/>
          <w:sz w:val="28"/>
          <w:szCs w:val="28"/>
        </w:rPr>
        <w:t>响应单位：(公章)</w:t>
      </w:r>
    </w:p>
    <w:p>
      <w:pPr>
        <w:spacing w:before="120" w:beforeLines="50" w:after="120" w:afterLines="50" w:line="360" w:lineRule="exact"/>
        <w:ind w:firstLine="3780" w:firstLineChars="1350"/>
        <w:jc w:val="right"/>
        <w:rPr>
          <w:rFonts w:hint="eastAsia" w:ascii="宋体" w:hAnsi="宋体" w:eastAsia="宋体" w:cs="宋体"/>
          <w:color w:val="000000"/>
          <w:sz w:val="28"/>
          <w:szCs w:val="28"/>
        </w:rPr>
      </w:pPr>
      <w:r>
        <w:rPr>
          <w:rFonts w:hint="eastAsia" w:ascii="宋体" w:hAnsi="宋体" w:eastAsia="宋体" w:cs="宋体"/>
          <w:color w:val="000000"/>
          <w:sz w:val="28"/>
          <w:szCs w:val="28"/>
        </w:rPr>
        <w:t>年  月  日</w:t>
      </w:r>
    </w:p>
    <w:p>
      <w:pPr>
        <w:spacing w:before="120" w:beforeLines="50" w:after="120" w:afterLines="50" w:line="360" w:lineRule="exact"/>
        <w:ind w:firstLine="3780" w:firstLineChars="1350"/>
        <w:jc w:val="right"/>
        <w:rPr>
          <w:rFonts w:hint="eastAsia" w:ascii="宋体" w:hAnsi="宋体" w:eastAsia="宋体" w:cs="宋体"/>
          <w:color w:val="000000"/>
          <w:sz w:val="28"/>
          <w:szCs w:val="28"/>
        </w:rPr>
      </w:pPr>
    </w:p>
    <w:p>
      <w:pPr>
        <w:spacing w:before="120" w:beforeLines="50" w:after="120" w:afterLines="50" w:line="360" w:lineRule="exact"/>
        <w:ind w:firstLine="3780" w:firstLineChars="1350"/>
        <w:jc w:val="right"/>
        <w:rPr>
          <w:rFonts w:hint="eastAsia" w:ascii="宋体" w:hAnsi="宋体" w:eastAsia="宋体" w:cs="宋体"/>
          <w:color w:val="000000"/>
          <w:sz w:val="28"/>
          <w:szCs w:val="28"/>
        </w:rPr>
      </w:pPr>
    </w:p>
    <w:p>
      <w:pPr>
        <w:jc w:val="center"/>
        <w:rPr>
          <w:rFonts w:hint="eastAsia"/>
          <w:b/>
          <w:bCs/>
          <w:sz w:val="36"/>
          <w:szCs w:val="44"/>
        </w:rPr>
      </w:pPr>
      <w:r>
        <w:rPr>
          <w:rFonts w:hint="eastAsia"/>
          <w:b/>
          <w:bCs/>
          <w:sz w:val="36"/>
          <w:szCs w:val="44"/>
        </w:rPr>
        <w:t>三明华瑞房地产开发有限公司破产清算案</w:t>
      </w:r>
    </w:p>
    <w:p>
      <w:pPr>
        <w:jc w:val="center"/>
        <w:rPr>
          <w:rFonts w:hint="eastAsia"/>
          <w:b/>
          <w:bCs/>
          <w:sz w:val="36"/>
          <w:szCs w:val="44"/>
          <w:lang w:val="en-US" w:eastAsia="zh-CN"/>
        </w:rPr>
      </w:pPr>
      <w:r>
        <w:rPr>
          <w:rFonts w:hint="eastAsia"/>
          <w:b/>
          <w:bCs/>
          <w:sz w:val="36"/>
          <w:szCs w:val="44"/>
          <w:lang w:val="en-US" w:eastAsia="zh-CN"/>
        </w:rPr>
        <w:t>工程质量鉴定机构自评表</w:t>
      </w:r>
    </w:p>
    <w:p>
      <w:pPr>
        <w:jc w:val="center"/>
        <w:rPr>
          <w:rFonts w:hint="eastAsia"/>
          <w:b/>
          <w:bCs/>
          <w:sz w:val="36"/>
          <w:szCs w:val="44"/>
          <w:lang w:val="en-US" w:eastAsia="zh-CN"/>
        </w:rPr>
      </w:pPr>
    </w:p>
    <w:tbl>
      <w:tblPr>
        <w:tblStyle w:val="3"/>
        <w:tblW w:w="10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1213"/>
        <w:gridCol w:w="3092"/>
        <w:gridCol w:w="1595"/>
        <w:gridCol w:w="2337"/>
        <w:gridCol w:w="1305"/>
        <w:tblGridChange w:id="0">
          <w:tblGrid>
            <w:gridCol w:w="472"/>
            <w:gridCol w:w="1213"/>
            <w:gridCol w:w="3092"/>
            <w:gridCol w:w="1595"/>
            <w:gridCol w:w="2337"/>
            <w:gridCol w:w="1305"/>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472"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bidi="ar"/>
              </w:rPr>
              <w:t>序号</w:t>
            </w:r>
          </w:p>
        </w:tc>
        <w:tc>
          <w:tcPr>
            <w:tcW w:w="4305" w:type="dxa"/>
            <w:gridSpan w:val="2"/>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bidi="ar"/>
              </w:rPr>
              <w:t>评分标准</w:t>
            </w:r>
          </w:p>
        </w:tc>
        <w:tc>
          <w:tcPr>
            <w:tcW w:w="1595"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bidi="ar"/>
              </w:rPr>
              <w:t>总分100分</w:t>
            </w:r>
          </w:p>
        </w:tc>
        <w:tc>
          <w:tcPr>
            <w:tcW w:w="2337"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
                <w:bCs w:val="0"/>
                <w:kern w:val="0"/>
                <w:sz w:val="24"/>
                <w:szCs w:val="24"/>
                <w:lang w:val="en-US" w:eastAsia="zh-CN" w:bidi="ar"/>
              </w:rPr>
            </w:pPr>
            <w:r>
              <w:rPr>
                <w:rFonts w:hint="eastAsia" w:ascii="宋体" w:hAnsi="宋体" w:eastAsia="宋体" w:cs="宋体"/>
                <w:b/>
                <w:bCs w:val="0"/>
                <w:kern w:val="0"/>
                <w:sz w:val="24"/>
                <w:szCs w:val="24"/>
                <w:lang w:val="en-US" w:eastAsia="zh-CN" w:bidi="ar"/>
              </w:rPr>
              <w:t>证明材料及页码</w:t>
            </w:r>
          </w:p>
        </w:tc>
        <w:tc>
          <w:tcPr>
            <w:tcW w:w="1305"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
                <w:bCs w:val="0"/>
                <w:kern w:val="0"/>
                <w:sz w:val="24"/>
                <w:szCs w:val="24"/>
                <w:lang w:val="en-US" w:eastAsia="zh-CN" w:bidi="ar"/>
              </w:rPr>
            </w:pPr>
            <w:r>
              <w:rPr>
                <w:rFonts w:hint="eastAsia" w:ascii="宋体" w:hAnsi="宋体" w:eastAsia="宋体" w:cs="宋体"/>
                <w:b/>
                <w:bCs w:val="0"/>
                <w:kern w:val="0"/>
                <w:sz w:val="24"/>
                <w:szCs w:val="24"/>
                <w:lang w:val="en-US" w:eastAsia="zh-CN" w:bidi="ar"/>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72" w:type="dxa"/>
            <w:tcBorders>
              <w:tl2br w:val="nil"/>
              <w:tr2bl w:val="nil"/>
            </w:tcBorders>
            <w:noWrap w:val="0"/>
            <w:vAlign w:val="center"/>
          </w:tcPr>
          <w:p>
            <w:pPr>
              <w:pStyle w:val="5"/>
              <w:widowControl/>
              <w:spacing w:before="50" w:beforeAutospacing="0" w:after="50" w:afterAutospacing="0" w:line="240" w:lineRule="exact"/>
              <w:jc w:val="center"/>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1</w:t>
            </w:r>
            <w:r>
              <w:rPr>
                <w:rFonts w:hint="eastAsia" w:ascii="宋体" w:hAnsi="宋体" w:eastAsia="宋体" w:cs="宋体"/>
                <w:b/>
                <w:bCs w:val="0"/>
                <w:kern w:val="0"/>
                <w:sz w:val="24"/>
                <w:szCs w:val="24"/>
              </w:rPr>
              <w:t>1</w:t>
            </w:r>
          </w:p>
        </w:tc>
        <w:tc>
          <w:tcPr>
            <w:tcW w:w="4305" w:type="dxa"/>
            <w:gridSpan w:val="2"/>
            <w:tcBorders>
              <w:tl2br w:val="nil"/>
              <w:tr2bl w:val="nil"/>
            </w:tcBorders>
            <w:noWrap w:val="0"/>
            <w:vAlign w:val="center"/>
          </w:tcPr>
          <w:p>
            <w:pPr>
              <w:keepNext w:val="0"/>
              <w:keepLines w:val="0"/>
              <w:widowControl w:val="0"/>
              <w:suppressLineNumbers w:val="0"/>
              <w:spacing w:before="0" w:beforeAutospacing="0" w:after="0" w:afterAutospacing="0"/>
              <w:ind w:left="0" w:right="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依据中国法律注册成立的，具有建设行政主管部门核发的可承接本检测项目的有效的工程质量检测机构企业资质等级证书，并具有有效的质量技术监督机构颁发的CMA计量认证证书，住所地设在福建省或在福建省内设有分支机构的，得5分；入选三明市住房和城乡建设局2024年度三明市房屋鉴定机构名单的，得5分；具备司法鉴定资质的，加5分，总得分不超过15分</w:t>
            </w:r>
          </w:p>
        </w:tc>
        <w:tc>
          <w:tcPr>
            <w:tcW w:w="1595"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Cs/>
                <w:kern w:val="0"/>
                <w:sz w:val="24"/>
                <w:szCs w:val="24"/>
              </w:rPr>
            </w:pPr>
            <w:r>
              <w:rPr>
                <w:rFonts w:hint="eastAsia" w:ascii="宋体" w:hAnsi="宋体" w:eastAsia="宋体" w:cs="宋体"/>
                <w:bCs/>
                <w:kern w:val="0"/>
                <w:sz w:val="24"/>
                <w:szCs w:val="24"/>
                <w:lang w:val="en-US" w:eastAsia="zh-CN" w:bidi="ar"/>
              </w:rPr>
              <w:t>1</w:t>
            </w:r>
            <w:r>
              <w:rPr>
                <w:rFonts w:hint="eastAsia" w:ascii="宋体" w:hAnsi="宋体" w:cs="宋体"/>
                <w:bCs/>
                <w:kern w:val="0"/>
                <w:sz w:val="24"/>
                <w:szCs w:val="24"/>
                <w:lang w:val="en-US" w:eastAsia="zh-CN" w:bidi="ar"/>
              </w:rPr>
              <w:t>5</w:t>
            </w:r>
          </w:p>
        </w:tc>
        <w:tc>
          <w:tcPr>
            <w:tcW w:w="2337"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Cs/>
                <w:kern w:val="0"/>
                <w:sz w:val="24"/>
                <w:szCs w:val="24"/>
                <w:lang w:val="en-US" w:eastAsia="zh-CN" w:bidi="ar"/>
              </w:rPr>
            </w:pPr>
          </w:p>
        </w:tc>
        <w:tc>
          <w:tcPr>
            <w:tcW w:w="1305"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Cs/>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tcBorders>
              <w:tl2br w:val="nil"/>
              <w:tr2bl w:val="nil"/>
            </w:tcBorders>
            <w:noWrap w:val="0"/>
            <w:vAlign w:val="center"/>
          </w:tcPr>
          <w:p>
            <w:pPr>
              <w:pStyle w:val="5"/>
              <w:widowControl/>
              <w:spacing w:before="50" w:beforeAutospacing="0" w:after="50" w:afterAutospacing="0" w:line="240" w:lineRule="exact"/>
              <w:jc w:val="center"/>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2</w:t>
            </w:r>
            <w:r>
              <w:rPr>
                <w:rFonts w:hint="eastAsia" w:ascii="宋体" w:hAnsi="宋体" w:eastAsia="宋体" w:cs="宋体"/>
                <w:b/>
                <w:bCs w:val="0"/>
                <w:kern w:val="0"/>
                <w:sz w:val="24"/>
                <w:szCs w:val="24"/>
              </w:rPr>
              <w:t>2</w:t>
            </w:r>
          </w:p>
        </w:tc>
        <w:tc>
          <w:tcPr>
            <w:tcW w:w="4305" w:type="dxa"/>
            <w:gridSpan w:val="2"/>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曾向管理人提供房地产企业破产案件工程质量鉴定辅助服务的，每件得5分，已裁定批准重整计划的案件加2分，总得分不超过</w:t>
            </w:r>
            <w:r>
              <w:rPr>
                <w:rFonts w:hint="eastAsia" w:ascii="宋体" w:hAnsi="宋体" w:cs="宋体"/>
                <w:kern w:val="0"/>
                <w:sz w:val="24"/>
                <w:szCs w:val="24"/>
                <w:lang w:val="en-US" w:eastAsia="zh-CN" w:bidi="ar"/>
              </w:rPr>
              <w:t>20</w:t>
            </w:r>
            <w:r>
              <w:rPr>
                <w:rFonts w:hint="eastAsia" w:ascii="宋体" w:hAnsi="宋体" w:eastAsia="宋体" w:cs="宋体"/>
                <w:kern w:val="0"/>
                <w:sz w:val="24"/>
                <w:szCs w:val="24"/>
                <w:lang w:val="en-US" w:eastAsia="zh-CN" w:bidi="ar"/>
              </w:rPr>
              <w:t>分</w:t>
            </w:r>
          </w:p>
        </w:tc>
        <w:tc>
          <w:tcPr>
            <w:tcW w:w="1595"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Cs/>
                <w:kern w:val="0"/>
                <w:sz w:val="24"/>
                <w:szCs w:val="24"/>
              </w:rPr>
            </w:pPr>
            <w:r>
              <w:rPr>
                <w:rFonts w:hint="eastAsia" w:ascii="宋体" w:hAnsi="宋体" w:cs="宋体"/>
                <w:bCs/>
                <w:kern w:val="0"/>
                <w:sz w:val="24"/>
                <w:szCs w:val="24"/>
                <w:lang w:val="en-US" w:eastAsia="zh-CN" w:bidi="ar"/>
              </w:rPr>
              <w:t>20</w:t>
            </w:r>
          </w:p>
        </w:tc>
        <w:tc>
          <w:tcPr>
            <w:tcW w:w="2337"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Cs/>
                <w:kern w:val="0"/>
                <w:sz w:val="24"/>
                <w:szCs w:val="24"/>
                <w:lang w:val="en-US" w:eastAsia="zh-CN" w:bidi="ar"/>
              </w:rPr>
            </w:pPr>
          </w:p>
        </w:tc>
        <w:tc>
          <w:tcPr>
            <w:tcW w:w="1305"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Cs/>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472" w:type="dxa"/>
            <w:tcBorders>
              <w:tl2br w:val="nil"/>
              <w:tr2bl w:val="nil"/>
            </w:tcBorders>
            <w:noWrap w:val="0"/>
            <w:vAlign w:val="center"/>
          </w:tcPr>
          <w:p>
            <w:pPr>
              <w:pStyle w:val="5"/>
              <w:widowControl/>
              <w:spacing w:before="50" w:beforeAutospacing="0" w:after="50" w:afterAutospacing="0" w:line="240" w:lineRule="exact"/>
              <w:jc w:val="center"/>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3</w:t>
            </w:r>
            <w:r>
              <w:rPr>
                <w:rFonts w:hint="eastAsia" w:ascii="宋体" w:hAnsi="宋体" w:eastAsia="宋体" w:cs="宋体"/>
                <w:b/>
                <w:bCs w:val="0"/>
                <w:kern w:val="0"/>
                <w:sz w:val="24"/>
                <w:szCs w:val="24"/>
              </w:rPr>
              <w:t>3</w:t>
            </w:r>
          </w:p>
        </w:tc>
        <w:tc>
          <w:tcPr>
            <w:tcW w:w="1213"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团队保证</w:t>
            </w:r>
          </w:p>
        </w:tc>
        <w:tc>
          <w:tcPr>
            <w:tcW w:w="3092"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团队不少于5人，且有层级高、经验丰富的项目负责人及配备满足工作要求的专业人员及辅助人员</w:t>
            </w:r>
          </w:p>
        </w:tc>
        <w:tc>
          <w:tcPr>
            <w:tcW w:w="1595"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Cs/>
                <w:kern w:val="0"/>
                <w:sz w:val="24"/>
                <w:szCs w:val="24"/>
              </w:rPr>
            </w:pPr>
            <w:r>
              <w:rPr>
                <w:rFonts w:hint="eastAsia" w:ascii="宋体" w:hAnsi="宋体" w:eastAsia="宋体" w:cs="宋体"/>
                <w:bCs/>
                <w:kern w:val="0"/>
                <w:sz w:val="24"/>
                <w:szCs w:val="24"/>
                <w:lang w:val="en-US" w:eastAsia="zh-CN" w:bidi="ar"/>
              </w:rPr>
              <w:t>10</w:t>
            </w:r>
          </w:p>
        </w:tc>
        <w:tc>
          <w:tcPr>
            <w:tcW w:w="2337"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Cs/>
                <w:kern w:val="0"/>
                <w:sz w:val="24"/>
                <w:szCs w:val="24"/>
                <w:lang w:val="en-US" w:eastAsia="zh-CN" w:bidi="ar"/>
              </w:rPr>
            </w:pPr>
          </w:p>
        </w:tc>
        <w:tc>
          <w:tcPr>
            <w:tcW w:w="1305"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Cs/>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72" w:type="dxa"/>
            <w:vMerge w:val="restart"/>
            <w:tcBorders>
              <w:tl2br w:val="nil"/>
              <w:tr2bl w:val="nil"/>
            </w:tcBorders>
            <w:noWrap w:val="0"/>
            <w:vAlign w:val="center"/>
          </w:tcPr>
          <w:p>
            <w:pPr>
              <w:pStyle w:val="5"/>
              <w:widowControl/>
              <w:spacing w:before="50" w:beforeAutospacing="0" w:after="50" w:afterAutospacing="0" w:line="240" w:lineRule="exact"/>
              <w:jc w:val="center"/>
              <w:rPr>
                <w:rFonts w:hint="eastAsia" w:ascii="宋体" w:hAnsi="宋体" w:eastAsia="宋体" w:cs="宋体"/>
                <w:b/>
                <w:bCs w:val="0"/>
                <w:kern w:val="0"/>
                <w:sz w:val="24"/>
                <w:szCs w:val="24"/>
                <w:lang w:val="en-US" w:eastAsia="zh-CN"/>
              </w:rPr>
            </w:pPr>
            <w:r>
              <w:rPr>
                <w:rFonts w:hint="eastAsia" w:ascii="宋体" w:hAnsi="宋体" w:eastAsia="宋体" w:cs="宋体"/>
                <w:b/>
                <w:bCs w:val="0"/>
                <w:kern w:val="0"/>
                <w:sz w:val="24"/>
                <w:szCs w:val="24"/>
                <w:lang w:val="en-US" w:eastAsia="zh-CN"/>
              </w:rPr>
              <w:t>44</w:t>
            </w:r>
          </w:p>
        </w:tc>
        <w:tc>
          <w:tcPr>
            <w:tcW w:w="1213" w:type="dxa"/>
            <w:vMerge w:val="restart"/>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both"/>
              <w:rPr>
                <w:rFonts w:hint="eastAsia" w:ascii="宋体" w:hAnsi="宋体" w:eastAsia="宋体" w:cs="宋体"/>
                <w:bCs/>
                <w:kern w:val="0"/>
                <w:sz w:val="24"/>
                <w:szCs w:val="24"/>
              </w:rPr>
            </w:pPr>
            <w:r>
              <w:rPr>
                <w:rFonts w:hint="eastAsia" w:ascii="宋体" w:hAnsi="宋体" w:eastAsia="宋体" w:cs="宋体"/>
                <w:bCs/>
                <w:kern w:val="0"/>
                <w:sz w:val="24"/>
                <w:szCs w:val="24"/>
                <w:lang w:val="en-US" w:eastAsia="zh-CN" w:bidi="ar"/>
              </w:rPr>
              <w:t>报价</w:t>
            </w:r>
          </w:p>
        </w:tc>
        <w:tc>
          <w:tcPr>
            <w:tcW w:w="3092"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最低报价得20分，依次递减5分，最低不低于10分</w:t>
            </w:r>
          </w:p>
        </w:tc>
        <w:tc>
          <w:tcPr>
            <w:tcW w:w="1595"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Cs/>
                <w:kern w:val="0"/>
                <w:sz w:val="24"/>
                <w:szCs w:val="24"/>
              </w:rPr>
            </w:pPr>
            <w:r>
              <w:rPr>
                <w:rFonts w:hint="eastAsia" w:ascii="宋体" w:hAnsi="宋体" w:eastAsia="宋体" w:cs="宋体"/>
                <w:bCs/>
                <w:kern w:val="0"/>
                <w:sz w:val="24"/>
                <w:szCs w:val="24"/>
                <w:lang w:val="en-US" w:eastAsia="zh-CN" w:bidi="ar"/>
              </w:rPr>
              <w:t>20</w:t>
            </w:r>
          </w:p>
        </w:tc>
        <w:tc>
          <w:tcPr>
            <w:tcW w:w="2337"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Cs/>
                <w:kern w:val="0"/>
                <w:sz w:val="24"/>
                <w:szCs w:val="24"/>
                <w:lang w:val="en-US" w:eastAsia="zh-CN" w:bidi="ar"/>
              </w:rPr>
            </w:pPr>
          </w:p>
        </w:tc>
        <w:tc>
          <w:tcPr>
            <w:tcW w:w="1305" w:type="dxa"/>
            <w:tcBorders>
              <w:tl2br w:val="nil"/>
              <w:tr2bl w:val="nil"/>
            </w:tcBorders>
            <w:noWrap w:val="0"/>
            <w:vAlign w:val="center"/>
          </w:tcPr>
          <w:p>
            <w:pPr>
              <w:keepNext w:val="0"/>
              <w:keepLines w:val="0"/>
              <w:widowControl w:val="0"/>
              <w:suppressLineNumbers w:val="0"/>
              <w:spacing w:before="50" w:beforeAutospacing="0" w:after="50" w:afterAutospacing="0" w:line="240" w:lineRule="exact"/>
              <w:ind w:left="0" w:right="0"/>
              <w:jc w:val="center"/>
              <w:rPr>
                <w:rFonts w:hint="eastAsia" w:ascii="宋体" w:hAnsi="宋体" w:eastAsia="宋体" w:cs="宋体"/>
                <w:bCs/>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47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1213" w:type="dxa"/>
            <w:vMerge w:val="continue"/>
            <w:tcBorders>
              <w:tl2br w:val="nil"/>
              <w:tr2bl w:val="nil"/>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3092"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同意报价经再协商适当下调（</w:t>
            </w:r>
            <w:r>
              <w:rPr>
                <w:rFonts w:hint="eastAsia" w:ascii="宋体" w:hAnsi="宋体" w:eastAsia="宋体" w:cs="宋体"/>
                <w:b/>
                <w:bCs w:val="0"/>
                <w:kern w:val="0"/>
                <w:sz w:val="24"/>
                <w:szCs w:val="24"/>
                <w:lang w:val="en-US" w:eastAsia="zh-CN" w:bidi="ar"/>
              </w:rPr>
              <w:t>下调幅度不超过20%</w:t>
            </w:r>
            <w:r>
              <w:rPr>
                <w:rFonts w:hint="eastAsia" w:ascii="宋体" w:hAnsi="宋体" w:eastAsia="宋体" w:cs="宋体"/>
                <w:kern w:val="0"/>
                <w:sz w:val="24"/>
                <w:szCs w:val="24"/>
                <w:lang w:val="en-US" w:eastAsia="zh-CN" w:bidi="ar"/>
              </w:rPr>
              <w:t>）</w:t>
            </w:r>
          </w:p>
        </w:tc>
        <w:tc>
          <w:tcPr>
            <w:tcW w:w="1595"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kern w:val="0"/>
                <w:sz w:val="24"/>
                <w:szCs w:val="24"/>
              </w:rPr>
            </w:pPr>
            <w:r>
              <w:rPr>
                <w:rFonts w:hint="eastAsia" w:ascii="宋体" w:hAnsi="宋体" w:eastAsia="宋体" w:cs="宋体"/>
                <w:bCs/>
                <w:kern w:val="0"/>
                <w:sz w:val="24"/>
                <w:szCs w:val="24"/>
                <w:lang w:val="en-US" w:eastAsia="zh-CN" w:bidi="ar"/>
              </w:rPr>
              <w:t>10</w:t>
            </w:r>
          </w:p>
        </w:tc>
        <w:tc>
          <w:tcPr>
            <w:tcW w:w="2337"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kern w:val="0"/>
                <w:sz w:val="24"/>
                <w:szCs w:val="24"/>
                <w:lang w:val="en-US" w:eastAsia="zh-CN" w:bidi="ar"/>
              </w:rPr>
            </w:pPr>
          </w:p>
        </w:tc>
        <w:tc>
          <w:tcPr>
            <w:tcW w:w="1305"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472" w:type="dxa"/>
            <w:tcBorders>
              <w:tl2br w:val="nil"/>
              <w:tr2bl w:val="nil"/>
            </w:tcBorders>
            <w:noWrap w:val="0"/>
            <w:vAlign w:val="center"/>
          </w:tcPr>
          <w:p>
            <w:pPr>
              <w:pStyle w:val="5"/>
              <w:widowControl/>
              <w:spacing w:before="50" w:beforeAutospacing="0" w:after="50" w:afterAutospacing="0" w:line="240" w:lineRule="exact"/>
              <w:jc w:val="center"/>
              <w:rPr>
                <w:rFonts w:hint="eastAsia" w:ascii="宋体" w:hAnsi="宋体" w:eastAsia="宋体" w:cs="宋体"/>
                <w:b/>
                <w:bCs w:val="0"/>
                <w:kern w:val="0"/>
                <w:sz w:val="24"/>
                <w:szCs w:val="24"/>
                <w:lang w:val="en-US" w:eastAsia="zh-CN"/>
              </w:rPr>
            </w:pPr>
            <w:r>
              <w:rPr>
                <w:rFonts w:hint="eastAsia" w:ascii="宋体" w:hAnsi="宋体" w:eastAsia="宋体" w:cs="宋体"/>
                <w:b/>
                <w:bCs w:val="0"/>
                <w:kern w:val="0"/>
                <w:sz w:val="24"/>
                <w:szCs w:val="24"/>
                <w:lang w:val="en-US" w:eastAsia="zh-CN"/>
              </w:rPr>
              <w:t>55</w:t>
            </w:r>
          </w:p>
        </w:tc>
        <w:tc>
          <w:tcPr>
            <w:tcW w:w="1213"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left"/>
              <w:rPr>
                <w:rFonts w:hint="eastAsia" w:ascii="宋体" w:hAnsi="宋体" w:eastAsia="宋体" w:cs="宋体"/>
                <w:bCs/>
                <w:kern w:val="0"/>
                <w:sz w:val="24"/>
                <w:szCs w:val="24"/>
              </w:rPr>
            </w:pPr>
            <w:r>
              <w:rPr>
                <w:rFonts w:hint="eastAsia" w:ascii="宋体" w:hAnsi="宋体" w:eastAsia="宋体" w:cs="宋体"/>
                <w:bCs/>
                <w:kern w:val="0"/>
                <w:sz w:val="24"/>
                <w:szCs w:val="24"/>
                <w:lang w:val="en-US" w:eastAsia="zh-CN" w:bidi="ar"/>
              </w:rPr>
              <w:t>综合素质</w:t>
            </w:r>
          </w:p>
        </w:tc>
        <w:tc>
          <w:tcPr>
            <w:tcW w:w="3092"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结合方案建议（检测数量、内容、工期）、业务经验、人员数量、人员素质、专业知识等综合评判；最高分2</w:t>
            </w:r>
            <w:r>
              <w:rPr>
                <w:rFonts w:hint="eastAsia" w:ascii="宋体" w:hAnsi="宋体" w:cs="宋体"/>
                <w:kern w:val="0"/>
                <w:sz w:val="24"/>
                <w:szCs w:val="24"/>
                <w:lang w:val="en-US" w:eastAsia="zh-CN" w:bidi="ar"/>
              </w:rPr>
              <w:t>5</w:t>
            </w:r>
            <w:r>
              <w:rPr>
                <w:rFonts w:hint="eastAsia" w:ascii="宋体" w:hAnsi="宋体" w:eastAsia="宋体" w:cs="宋体"/>
                <w:kern w:val="0"/>
                <w:sz w:val="24"/>
                <w:szCs w:val="24"/>
                <w:lang w:val="en-US" w:eastAsia="zh-CN" w:bidi="ar"/>
              </w:rPr>
              <w:t>分，最低不低于5分</w:t>
            </w:r>
          </w:p>
        </w:tc>
        <w:tc>
          <w:tcPr>
            <w:tcW w:w="1595"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kern w:val="0"/>
                <w:sz w:val="24"/>
                <w:szCs w:val="24"/>
              </w:rPr>
            </w:pPr>
            <w:r>
              <w:rPr>
                <w:rFonts w:hint="eastAsia" w:ascii="宋体" w:hAnsi="宋体" w:eastAsia="宋体" w:cs="宋体"/>
                <w:bCs/>
                <w:kern w:val="0"/>
                <w:sz w:val="24"/>
                <w:szCs w:val="24"/>
                <w:lang w:val="en-US" w:eastAsia="zh-CN" w:bidi="ar"/>
              </w:rPr>
              <w:t>2</w:t>
            </w:r>
            <w:r>
              <w:rPr>
                <w:rFonts w:hint="eastAsia" w:ascii="宋体" w:hAnsi="宋体" w:cs="宋体"/>
                <w:bCs/>
                <w:kern w:val="0"/>
                <w:sz w:val="24"/>
                <w:szCs w:val="24"/>
                <w:lang w:val="en-US" w:eastAsia="zh-CN" w:bidi="ar"/>
              </w:rPr>
              <w:t>5</w:t>
            </w:r>
          </w:p>
        </w:tc>
        <w:tc>
          <w:tcPr>
            <w:tcW w:w="2337"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kern w:val="0"/>
                <w:sz w:val="24"/>
                <w:szCs w:val="24"/>
                <w:lang w:val="en-US" w:eastAsia="zh-CN" w:bidi="ar"/>
              </w:rPr>
            </w:pPr>
          </w:p>
        </w:tc>
        <w:tc>
          <w:tcPr>
            <w:tcW w:w="1305" w:type="dxa"/>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10014" w:type="dxa"/>
            <w:gridSpan w:val="6"/>
            <w:tcBorders>
              <w:tl2br w:val="nil"/>
              <w:tr2bl w:val="nil"/>
            </w:tcBorders>
            <w:noWrap w:val="0"/>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Cs/>
                <w:kern w:val="0"/>
                <w:sz w:val="24"/>
                <w:szCs w:val="24"/>
                <w:lang w:val="en-US" w:eastAsia="zh-CN" w:bidi="ar"/>
              </w:rPr>
            </w:pPr>
            <w:r>
              <w:rPr>
                <w:rFonts w:hint="eastAsia" w:ascii="宋体" w:hAnsi="宋体" w:eastAsia="宋体" w:cs="宋体"/>
                <w:b/>
                <w:bCs w:val="0"/>
                <w:kern w:val="0"/>
                <w:sz w:val="24"/>
                <w:szCs w:val="24"/>
                <w:lang w:val="en-US" w:eastAsia="zh-CN" w:bidi="ar"/>
              </w:rPr>
              <w:t>自评分合计：</w:t>
            </w:r>
          </w:p>
        </w:tc>
      </w:tr>
    </w:tbl>
    <w:p>
      <w:pPr>
        <w:jc w:val="right"/>
        <w:rPr>
          <w:rFonts w:hint="eastAsia"/>
          <w:b w:val="0"/>
          <w:bCs w:val="0"/>
          <w:sz w:val="24"/>
          <w:szCs w:val="24"/>
          <w:lang w:val="en-US" w:eastAsia="zh-CN"/>
        </w:rPr>
      </w:pPr>
    </w:p>
    <w:p>
      <w:pPr>
        <w:ind w:firstLine="4200" w:firstLineChars="1500"/>
        <w:jc w:val="both"/>
        <w:rPr>
          <w:rFonts w:hint="eastAsia"/>
          <w:b w:val="0"/>
          <w:bCs w:val="0"/>
          <w:sz w:val="28"/>
          <w:szCs w:val="28"/>
          <w:lang w:val="en-US" w:eastAsia="zh-CN"/>
        </w:rPr>
      </w:pPr>
      <w:r>
        <w:rPr>
          <w:rFonts w:hint="eastAsia"/>
          <w:b w:val="0"/>
          <w:bCs w:val="0"/>
          <w:sz w:val="28"/>
          <w:szCs w:val="28"/>
          <w:lang w:val="en-US" w:eastAsia="zh-CN"/>
        </w:rPr>
        <w:t>响应单位：      （公章）</w:t>
      </w:r>
    </w:p>
    <w:p>
      <w:pPr>
        <w:jc w:val="right"/>
        <w:rPr>
          <w:rFonts w:hint="eastAsia"/>
          <w:b w:val="0"/>
          <w:bCs w:val="0"/>
          <w:sz w:val="28"/>
          <w:szCs w:val="28"/>
          <w:lang w:val="en-US" w:eastAsia="zh-CN"/>
        </w:rPr>
      </w:pPr>
      <w:r>
        <w:rPr>
          <w:rFonts w:hint="eastAsia"/>
          <w:b w:val="0"/>
          <w:bCs w:val="0"/>
          <w:sz w:val="28"/>
          <w:szCs w:val="28"/>
          <w:lang w:val="en-US" w:eastAsia="zh-CN"/>
        </w:rPr>
        <w:t>年  月  日</w:t>
      </w:r>
    </w:p>
    <w:p>
      <w:pPr>
        <w:jc w:val="right"/>
        <w:rPr>
          <w:rFonts w:hint="eastAsia"/>
          <w:b w:val="0"/>
          <w:bCs w:val="0"/>
          <w:sz w:val="24"/>
          <w:szCs w:val="24"/>
          <w:lang w:val="en-US" w:eastAsia="zh-CN"/>
        </w:rPr>
      </w:pPr>
    </w:p>
    <w:sectPr>
      <w:footerReference r:id="rId3" w:type="default"/>
      <w:pgSz w:w="12240" w:h="15840"/>
      <w:pgMar w:top="1383" w:right="1800" w:bottom="1383" w:left="1800"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4</w: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singleLevel"/>
    <w:tmpl w:val="00000004"/>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2NDQzZmFlZWJhNTZiNTRiYmY5YjljZDE5MTdhZGIifQ=="/>
  </w:docVars>
  <w:rsids>
    <w:rsidRoot w:val="00000000"/>
    <w:rsid w:val="32FDCAA5"/>
    <w:rsid w:val="3B47B98E"/>
    <w:rsid w:val="3FD8101A"/>
    <w:rsid w:val="45D8871C"/>
    <w:rsid w:val="4F6F66D9"/>
    <w:rsid w:val="5C4F0114"/>
    <w:rsid w:val="6CB90B4D"/>
    <w:rsid w:val="6D7C4C84"/>
    <w:rsid w:val="75BB3FD6"/>
    <w:rsid w:val="770F0651"/>
    <w:rsid w:val="7F3BCA20"/>
    <w:rsid w:val="9FBEE178"/>
    <w:rsid w:val="AB7E7B86"/>
    <w:rsid w:val="DFF74F62"/>
    <w:rsid w:val="DFFFD743"/>
    <w:rsid w:val="F7F03631"/>
    <w:rsid w:val="F9ADE7E2"/>
    <w:rsid w:val="FBDF911F"/>
    <w:rsid w:val="FBFF2DDB"/>
    <w:rsid w:val="FCBF4E46"/>
    <w:rsid w:val="FCDF0720"/>
    <w:rsid w:val="FD7D723F"/>
    <w:rsid w:val="FF53B093"/>
    <w:rsid w:val="FFFFC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kern w:val="0"/>
      <w:sz w:val="18"/>
      <w:szCs w:val="18"/>
    </w:rPr>
  </w:style>
  <w:style w:type="paragraph" w:customStyle="1" w:styleId="5">
    <w:name w:val="彩色列表 - 强调文字颜色 11"/>
    <w:basedOn w:val="1"/>
    <w:qFormat/>
    <w:uiPriority w:val="0"/>
    <w:pPr>
      <w:ind w:firstLine="420" w:firstLineChars="200"/>
    </w:pPr>
    <w:rPr>
      <w:rFonts w:ascii="Times New Roman" w:hAnsi="Times New Roman" w:eastAsia="宋体" w:cs="Times New Roman"/>
    </w:rPr>
  </w:style>
  <w:style w:type="paragraph" w:styleId="6">
    <w:name w:val="List Paragraph"/>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4898</Words>
  <Characters>5224</Characters>
  <Lines>0</Lines>
  <Paragraphs>0</Paragraphs>
  <TotalTime>9</TotalTime>
  <ScaleCrop>false</ScaleCrop>
  <LinksUpToDate>false</LinksUpToDate>
  <CharactersWithSpaces>5353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2024-05-25T18:50:00Z</dcterms:created>
  <dc:creator>张</dc:creator>
  <cp:lastModifiedBy>钟柳青</cp:lastModifiedBy>
  <dcterms:modified xsi:type="dcterms:W3CDTF">2024-05-29T03:14:29Z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C9381B1E7E154EAA87C495FE48D859CE_13</vt:lpwstr>
  </property>
</Properties>
</file>