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after="150"/>
        <w:jc w:val="center"/>
        <w:rPr>
          <w:rFonts w:ascii="微软雅黑" w:hAnsi="微软雅黑" w:eastAsia="微软雅黑" w:cs="微软雅黑"/>
          <w:kern w:val="0"/>
          <w:sz w:val="36"/>
          <w:szCs w:val="36"/>
          <w:shd w:val="clear" w:color="auto" w:fill="FFFFFF"/>
          <w:lang w:bidi="ar"/>
        </w:rPr>
      </w:pPr>
      <w:r>
        <w:rPr>
          <w:rFonts w:hint="eastAsia" w:ascii="微软雅黑" w:hAnsi="微软雅黑" w:eastAsia="微软雅黑" w:cs="微软雅黑"/>
          <w:kern w:val="0"/>
          <w:sz w:val="36"/>
          <w:szCs w:val="36"/>
          <w:shd w:val="clear" w:color="auto" w:fill="FFFFFF"/>
          <w:lang w:bidi="ar"/>
        </w:rPr>
        <w:t>上海华源制药安徽广生药业有限公司管理人</w:t>
      </w:r>
    </w:p>
    <w:p>
      <w:pPr>
        <w:widowControl/>
        <w:shd w:val="clear" w:color="auto" w:fill="FFFFFF"/>
        <w:spacing w:after="150"/>
        <w:jc w:val="center"/>
        <w:rPr>
          <w:rFonts w:ascii="微软雅黑" w:hAnsi="微软雅黑" w:eastAsia="微软雅黑" w:cs="微软雅黑"/>
          <w:color w:val="3D3D3D"/>
          <w:sz w:val="36"/>
          <w:szCs w:val="36"/>
        </w:rPr>
      </w:pPr>
      <w:r>
        <w:rPr>
          <w:rFonts w:hint="eastAsia" w:ascii="微软雅黑" w:hAnsi="微软雅黑" w:eastAsia="微软雅黑" w:cs="微软雅黑"/>
          <w:kern w:val="0"/>
          <w:sz w:val="36"/>
          <w:szCs w:val="36"/>
          <w:shd w:val="clear" w:color="auto" w:fill="FFFFFF"/>
          <w:lang w:bidi="ar"/>
        </w:rPr>
        <w:t>招募重整投资人公告</w:t>
      </w:r>
    </w:p>
    <w:p>
      <w:pPr>
        <w:spacing w:line="360" w:lineRule="auto"/>
        <w:ind w:firstLine="560" w:firstLineChars="200"/>
        <w:rPr>
          <w:rFonts w:ascii="仿宋" w:hAnsi="仿宋"/>
          <w:b w:val="0"/>
          <w:sz w:val="28"/>
          <w:szCs w:val="28"/>
        </w:rPr>
      </w:pPr>
      <w:r>
        <w:rPr>
          <w:rFonts w:hint="eastAsia" w:ascii="仿宋" w:hAnsi="仿宋"/>
          <w:b w:val="0"/>
          <w:sz w:val="28"/>
          <w:szCs w:val="28"/>
        </w:rPr>
        <w:t>安徽省界首市人民法院（以下简称：界首法院） 于2020年10月26日作出（2020）皖1282破1号民事裁定书，裁定受理上海华源制药安徽广生药业有限公司（以下简称：广生药业）破产清算一案，并作出（2020）皖1282破1号决定书，指定安徽杰信会计师事务所担任广生药业管理人（以下简称：管理人）。</w:t>
      </w:r>
    </w:p>
    <w:p>
      <w:pPr>
        <w:spacing w:line="360" w:lineRule="auto"/>
        <w:ind w:firstLine="560" w:firstLineChars="200"/>
        <w:rPr>
          <w:rFonts w:ascii="仿宋" w:hAnsi="仿宋"/>
          <w:b w:val="0"/>
          <w:sz w:val="28"/>
          <w:szCs w:val="28"/>
        </w:rPr>
      </w:pPr>
      <w:r>
        <w:rPr>
          <w:rFonts w:hint="eastAsia" w:ascii="仿宋" w:hAnsi="仿宋"/>
          <w:b w:val="0"/>
          <w:sz w:val="28"/>
          <w:szCs w:val="28"/>
        </w:rPr>
        <w:t>为维护全体债权人的合法权益，引进有实力的投资人维护债务人的企业价值，实现资源有效整合、提高债权清偿比例、实现企业的重整再生，管理人根据《中华人民共和国企业破产法》及相关法律规定，向社会公开招募重整投资人，现就本次招募相关事宜公告如下。</w:t>
      </w:r>
    </w:p>
    <w:p>
      <w:pPr>
        <w:spacing w:line="360" w:lineRule="auto"/>
        <w:ind w:firstLine="562" w:firstLineChars="200"/>
        <w:rPr>
          <w:rFonts w:ascii="仿宋" w:hAnsi="仿宋"/>
          <w:sz w:val="28"/>
          <w:szCs w:val="28"/>
        </w:rPr>
      </w:pPr>
      <w:r>
        <w:rPr>
          <w:rFonts w:hint="eastAsia" w:ascii="仿宋" w:hAnsi="仿宋"/>
          <w:sz w:val="28"/>
          <w:szCs w:val="28"/>
        </w:rPr>
        <w:t>一、招募须知</w:t>
      </w:r>
    </w:p>
    <w:p>
      <w:pPr>
        <w:spacing w:line="360" w:lineRule="auto"/>
        <w:ind w:firstLine="560" w:firstLineChars="200"/>
        <w:rPr>
          <w:rFonts w:ascii="仿宋" w:hAnsi="仿宋"/>
          <w:b w:val="0"/>
          <w:sz w:val="28"/>
          <w:szCs w:val="28"/>
        </w:rPr>
      </w:pPr>
      <w:r>
        <w:rPr>
          <w:rFonts w:hint="eastAsia" w:ascii="仿宋" w:hAnsi="仿宋"/>
          <w:b w:val="0"/>
          <w:sz w:val="28"/>
          <w:szCs w:val="28"/>
        </w:rPr>
        <w:t>1.为公平、公开、公正引入重整投资人，本次招募投资人以公开方式进行，以接受各方监督。本招募公告对全体意向重整投资人平等适用，具有相同效力。 </w:t>
      </w:r>
    </w:p>
    <w:p>
      <w:pPr>
        <w:spacing w:line="360" w:lineRule="auto"/>
        <w:ind w:firstLine="560" w:firstLineChars="200"/>
        <w:rPr>
          <w:rFonts w:ascii="仿宋" w:hAnsi="仿宋"/>
          <w:b w:val="0"/>
          <w:sz w:val="28"/>
          <w:szCs w:val="28"/>
        </w:rPr>
      </w:pPr>
      <w:r>
        <w:rPr>
          <w:rFonts w:hint="eastAsia" w:ascii="仿宋" w:hAnsi="仿宋"/>
          <w:b w:val="0"/>
          <w:sz w:val="28"/>
          <w:szCs w:val="28"/>
        </w:rPr>
        <w:t>2.本公告所述信息并不替代意向重整投资人尽职调查，意向重整投资人如需开展尽职调查或更进一步了解债务人的有关情况，需向管理人提交报名申请并与管理人签署《保密承诺书》。 </w:t>
      </w:r>
    </w:p>
    <w:p>
      <w:pPr>
        <w:spacing w:line="360" w:lineRule="auto"/>
        <w:ind w:firstLine="560" w:firstLineChars="200"/>
        <w:rPr>
          <w:rFonts w:ascii="仿宋" w:hAnsi="仿宋"/>
          <w:b w:val="0"/>
          <w:sz w:val="28"/>
          <w:szCs w:val="28"/>
        </w:rPr>
      </w:pPr>
      <w:r>
        <w:rPr>
          <w:rFonts w:hint="eastAsia" w:ascii="仿宋" w:hAnsi="仿宋"/>
          <w:b w:val="0"/>
          <w:sz w:val="28"/>
          <w:szCs w:val="28"/>
        </w:rPr>
        <w:t>3.本公告不构成要约，不具有重整投资协议的约束效力。 </w:t>
      </w:r>
    </w:p>
    <w:p>
      <w:pPr>
        <w:spacing w:line="360" w:lineRule="auto"/>
        <w:ind w:firstLine="560" w:firstLineChars="200"/>
        <w:rPr>
          <w:rFonts w:ascii="仿宋" w:hAnsi="仿宋"/>
          <w:b w:val="0"/>
          <w:sz w:val="28"/>
          <w:szCs w:val="28"/>
        </w:rPr>
      </w:pPr>
      <w:r>
        <w:rPr>
          <w:rFonts w:hint="eastAsia" w:ascii="仿宋" w:hAnsi="仿宋"/>
          <w:b w:val="0"/>
          <w:sz w:val="28"/>
          <w:szCs w:val="28"/>
        </w:rPr>
        <w:t>4.</w:t>
      </w:r>
      <w:r>
        <w:rPr>
          <w:rFonts w:hint="eastAsia" w:ascii="仿宋" w:hAnsi="仿宋"/>
          <w:b w:val="0"/>
          <w:sz w:val="28"/>
          <w:szCs w:val="28"/>
          <w:lang w:val="en-US" w:eastAsia="zh-CN"/>
        </w:rPr>
        <w:t>特别说明：</w:t>
      </w:r>
      <w:r>
        <w:rPr>
          <w:rFonts w:hint="eastAsia" w:ascii="仿宋" w:hAnsi="仿宋"/>
          <w:b w:val="0"/>
          <w:sz w:val="28"/>
          <w:szCs w:val="28"/>
        </w:rPr>
        <w:t>本公告所提供数据为暂估数据，相关数据仅供意向重整投资人参考，不作为相应合同以及文件签订的数据来源，最终数据以最终审计、评估以及认定数据为准。</w:t>
      </w:r>
    </w:p>
    <w:p>
      <w:pPr>
        <w:spacing w:line="360" w:lineRule="auto"/>
        <w:ind w:firstLine="560" w:firstLineChars="200"/>
        <w:rPr>
          <w:rFonts w:ascii="仿宋" w:hAnsi="仿宋"/>
          <w:b w:val="0"/>
          <w:sz w:val="28"/>
          <w:szCs w:val="28"/>
        </w:rPr>
      </w:pPr>
      <w:r>
        <w:rPr>
          <w:rFonts w:hint="eastAsia" w:ascii="仿宋" w:hAnsi="仿宋"/>
          <w:b w:val="0"/>
          <w:sz w:val="28"/>
          <w:szCs w:val="28"/>
        </w:rPr>
        <w:t>⒌意向重整投资人缴纳保证金并向管理人提交投资文件的，视为同意对广生药业进行投资，相关投资风险自行承担。</w:t>
      </w:r>
    </w:p>
    <w:p>
      <w:pPr>
        <w:spacing w:line="360" w:lineRule="auto"/>
        <w:ind w:firstLine="560" w:firstLineChars="200"/>
        <w:rPr>
          <w:rFonts w:ascii="仿宋" w:hAnsi="仿宋"/>
          <w:b w:val="0"/>
          <w:sz w:val="28"/>
          <w:szCs w:val="28"/>
        </w:rPr>
      </w:pPr>
      <w:r>
        <w:rPr>
          <w:rFonts w:hint="eastAsia" w:ascii="仿宋" w:hAnsi="仿宋"/>
          <w:b w:val="0"/>
          <w:sz w:val="28"/>
          <w:szCs w:val="28"/>
        </w:rPr>
        <w:t>⒍本招募公告由管理人负责解释。 </w:t>
      </w:r>
    </w:p>
    <w:p>
      <w:pPr>
        <w:spacing w:line="360" w:lineRule="auto"/>
        <w:ind w:firstLine="562" w:firstLineChars="200"/>
        <w:rPr>
          <w:rFonts w:ascii="仿宋" w:hAnsi="仿宋"/>
          <w:sz w:val="28"/>
          <w:szCs w:val="28"/>
        </w:rPr>
      </w:pPr>
      <w:r>
        <w:rPr>
          <w:rFonts w:hint="eastAsia" w:ascii="仿宋" w:hAnsi="仿宋"/>
          <w:sz w:val="28"/>
          <w:szCs w:val="28"/>
        </w:rPr>
        <w:t>二、企业概况</w:t>
      </w:r>
    </w:p>
    <w:p>
      <w:pPr>
        <w:spacing w:line="360" w:lineRule="auto"/>
        <w:ind w:firstLine="560" w:firstLineChars="200"/>
        <w:rPr>
          <w:rFonts w:ascii="仿宋" w:hAnsi="仿宋"/>
          <w:b w:val="0"/>
          <w:sz w:val="28"/>
          <w:szCs w:val="28"/>
        </w:rPr>
      </w:pPr>
      <w:r>
        <w:rPr>
          <w:rFonts w:hint="eastAsia" w:ascii="仿宋" w:hAnsi="仿宋"/>
          <w:b w:val="0"/>
          <w:sz w:val="28"/>
          <w:szCs w:val="28"/>
        </w:rPr>
        <w:t>（一）债务人工商登记情况</w:t>
      </w:r>
    </w:p>
    <w:p>
      <w:pPr>
        <w:spacing w:line="360" w:lineRule="auto"/>
        <w:ind w:firstLine="560" w:firstLineChars="200"/>
        <w:rPr>
          <w:rFonts w:ascii="仿宋" w:hAnsi="仿宋"/>
          <w:b w:val="0"/>
          <w:sz w:val="28"/>
          <w:szCs w:val="28"/>
        </w:rPr>
      </w:pPr>
      <w:r>
        <w:rPr>
          <w:rFonts w:hint="eastAsia" w:ascii="仿宋" w:hAnsi="仿宋"/>
          <w:b w:val="0"/>
          <w:sz w:val="28"/>
          <w:szCs w:val="28"/>
        </w:rPr>
        <w:t>广生药业前身为安徽省界首制药厂，始创于1970年，200</w:t>
      </w:r>
      <w:bookmarkStart w:id="0" w:name="_GoBack"/>
      <w:bookmarkEnd w:id="0"/>
      <w:r>
        <w:rPr>
          <w:rFonts w:hint="eastAsia" w:ascii="仿宋" w:hAnsi="仿宋"/>
          <w:b w:val="0"/>
          <w:sz w:val="28"/>
          <w:szCs w:val="28"/>
        </w:rPr>
        <w:t>0年改制为安徽广生药业有限公司，2002年加盟上海华源制药股份有限公司，成为其子公司，并更名为安徽华源广生药业有限公司，2004年更名为上海华源制药安徽广生药业有限公司，统一社会信用代码91341282152260207E，注册资本为1595万元，法定代表人</w:t>
      </w:r>
      <w:r>
        <w:rPr>
          <w:rFonts w:hint="eastAsia" w:ascii="仿宋" w:hAnsi="仿宋"/>
          <w:b w:val="0"/>
          <w:sz w:val="28"/>
          <w:szCs w:val="28"/>
          <w:lang w:eastAsia="zh-CN"/>
        </w:rPr>
        <w:t>徐博</w:t>
      </w:r>
      <w:r>
        <w:rPr>
          <w:rFonts w:hint="eastAsia" w:ascii="仿宋" w:hAnsi="仿宋"/>
          <w:b w:val="0"/>
          <w:sz w:val="28"/>
          <w:szCs w:val="28"/>
        </w:rPr>
        <w:t>，经营范围为：片剂、硬胶囊剂、颗粒剂、丸剂（水蜜丸、水丸、浓缩丸）,中药材种植加工,地产中药材收购、销售。营业期限至2030年10月25日。公司住所地界首市华源大道6号。经查询，目前公司登记股东2个，分别为亚美控股集团股份有限公司，持股97.81%；上海沪源医药有限公司，持股2.19%。</w:t>
      </w:r>
    </w:p>
    <w:p>
      <w:pPr>
        <w:spacing w:line="360" w:lineRule="auto"/>
        <w:ind w:firstLine="560" w:firstLineChars="200"/>
        <w:rPr>
          <w:rFonts w:ascii="仿宋" w:hAnsi="仿宋"/>
          <w:b w:val="0"/>
          <w:sz w:val="28"/>
          <w:szCs w:val="28"/>
        </w:rPr>
      </w:pPr>
      <w:r>
        <w:rPr>
          <w:rFonts w:hint="eastAsia" w:ascii="仿宋" w:hAnsi="仿宋"/>
          <w:b w:val="0"/>
          <w:sz w:val="28"/>
          <w:szCs w:val="28"/>
        </w:rPr>
        <w:t>（二）主要资产情况 </w:t>
      </w:r>
    </w:p>
    <w:p>
      <w:pPr>
        <w:spacing w:line="360" w:lineRule="auto"/>
        <w:ind w:firstLine="560" w:firstLineChars="200"/>
        <w:rPr>
          <w:rFonts w:ascii="仿宋" w:hAnsi="仿宋"/>
          <w:b w:val="0"/>
          <w:sz w:val="28"/>
          <w:szCs w:val="28"/>
        </w:rPr>
      </w:pPr>
      <w:r>
        <w:rPr>
          <w:rFonts w:hint="eastAsia" w:ascii="仿宋" w:hAnsi="仿宋"/>
          <w:b w:val="0"/>
          <w:sz w:val="28"/>
          <w:szCs w:val="28"/>
        </w:rPr>
        <w:t>1.货币资金：管理人通过查询广生药业名下的基本户、一般户，</w:t>
      </w:r>
      <w:r>
        <w:rPr>
          <w:rFonts w:ascii="仿宋" w:hAnsi="仿宋"/>
          <w:b w:val="0"/>
          <w:sz w:val="28"/>
          <w:szCs w:val="28"/>
        </w:rPr>
        <w:t>截</w:t>
      </w:r>
      <w:r>
        <w:rPr>
          <w:rFonts w:hint="eastAsia" w:ascii="仿宋" w:hAnsi="仿宋"/>
          <w:b w:val="0"/>
          <w:sz w:val="28"/>
          <w:szCs w:val="28"/>
        </w:rPr>
        <w:t>至</w:t>
      </w:r>
      <w:r>
        <w:rPr>
          <w:rFonts w:ascii="仿宋" w:hAnsi="仿宋"/>
          <w:b w:val="0"/>
          <w:sz w:val="28"/>
          <w:szCs w:val="28"/>
        </w:rPr>
        <w:t>2020年10月26日广生药业银行存款余额</w:t>
      </w:r>
      <w:r>
        <w:rPr>
          <w:rFonts w:hint="eastAsia" w:ascii="仿宋" w:hAnsi="仿宋"/>
          <w:b w:val="0"/>
          <w:sz w:val="28"/>
          <w:szCs w:val="28"/>
          <w:lang w:val="en-US" w:eastAsia="zh-CN"/>
        </w:rPr>
        <w:t>约</w:t>
      </w:r>
      <w:r>
        <w:rPr>
          <w:rFonts w:ascii="仿宋" w:hAnsi="仿宋"/>
          <w:b w:val="0"/>
          <w:sz w:val="28"/>
          <w:szCs w:val="28"/>
        </w:rPr>
        <w:t>为</w:t>
      </w:r>
      <w:r>
        <w:rPr>
          <w:rFonts w:hint="eastAsia" w:ascii="仿宋" w:hAnsi="仿宋"/>
          <w:b w:val="0"/>
          <w:sz w:val="28"/>
          <w:szCs w:val="28"/>
        </w:rPr>
        <w:t>17,414.19</w:t>
      </w:r>
      <w:r>
        <w:rPr>
          <w:rFonts w:ascii="仿宋" w:hAnsi="仿宋"/>
          <w:b w:val="0"/>
          <w:sz w:val="28"/>
          <w:szCs w:val="28"/>
        </w:rPr>
        <w:t>元。</w:t>
      </w:r>
    </w:p>
    <w:p>
      <w:pPr>
        <w:spacing w:line="360" w:lineRule="auto"/>
        <w:ind w:firstLine="560" w:firstLineChars="200"/>
        <w:rPr>
          <w:rFonts w:ascii="仿宋" w:hAnsi="仿宋"/>
          <w:b w:val="0"/>
          <w:sz w:val="28"/>
          <w:szCs w:val="28"/>
        </w:rPr>
      </w:pPr>
      <w:r>
        <w:rPr>
          <w:rFonts w:hint="eastAsia" w:ascii="仿宋" w:hAnsi="仿宋"/>
          <w:b w:val="0"/>
          <w:sz w:val="28"/>
          <w:szCs w:val="28"/>
        </w:rPr>
        <w:t>2.不动产：处位于界光路118号房产14处，位于界光路66号的房产116间及相关构筑物。房产及构筑物初步评估价值约为</w:t>
      </w:r>
      <w:r>
        <w:rPr>
          <w:rFonts w:ascii="仿宋" w:hAnsi="仿宋"/>
          <w:b w:val="0"/>
          <w:sz w:val="28"/>
          <w:szCs w:val="28"/>
        </w:rPr>
        <w:t>11,095,115.00</w:t>
      </w:r>
      <w:r>
        <w:rPr>
          <w:rFonts w:hint="eastAsia" w:ascii="仿宋" w:hAnsi="仿宋"/>
          <w:b w:val="0"/>
          <w:sz w:val="28"/>
          <w:szCs w:val="28"/>
        </w:rPr>
        <w:t>元。 </w:t>
      </w:r>
    </w:p>
    <w:p>
      <w:pPr>
        <w:spacing w:line="360" w:lineRule="auto"/>
        <w:ind w:firstLine="560" w:firstLineChars="200"/>
        <w:rPr>
          <w:rFonts w:ascii="仿宋" w:hAnsi="仿宋"/>
          <w:b w:val="0"/>
          <w:sz w:val="28"/>
          <w:szCs w:val="28"/>
        </w:rPr>
      </w:pPr>
      <w:r>
        <w:rPr>
          <w:rFonts w:hint="eastAsia" w:ascii="仿宋" w:hAnsi="仿宋"/>
          <w:b w:val="0"/>
          <w:sz w:val="28"/>
          <w:szCs w:val="28"/>
        </w:rPr>
        <w:t>3.机器设备：洗药机、切药机、热风循环烘箱、压片机、打印机、电脑等等与药品生产相关的机器设备。机器设备初步评估价值约为</w:t>
      </w:r>
      <w:r>
        <w:rPr>
          <w:rFonts w:ascii="仿宋" w:hAnsi="仿宋"/>
          <w:b w:val="0"/>
          <w:sz w:val="28"/>
          <w:szCs w:val="28"/>
        </w:rPr>
        <w:t>7,126,995.00</w:t>
      </w:r>
      <w:r>
        <w:rPr>
          <w:rFonts w:hint="eastAsia" w:ascii="仿宋" w:hAnsi="仿宋"/>
          <w:b w:val="0"/>
          <w:sz w:val="28"/>
          <w:szCs w:val="28"/>
        </w:rPr>
        <w:t>元。 </w:t>
      </w:r>
    </w:p>
    <w:p>
      <w:pPr>
        <w:spacing w:line="360" w:lineRule="auto"/>
        <w:ind w:firstLine="560" w:firstLineChars="200"/>
        <w:rPr>
          <w:rFonts w:ascii="仿宋" w:hAnsi="仿宋"/>
          <w:b w:val="0"/>
          <w:sz w:val="28"/>
          <w:szCs w:val="28"/>
        </w:rPr>
      </w:pPr>
      <w:r>
        <w:rPr>
          <w:rFonts w:hint="eastAsia" w:ascii="仿宋" w:hAnsi="仿宋"/>
          <w:b w:val="0"/>
          <w:sz w:val="28"/>
          <w:szCs w:val="28"/>
        </w:rPr>
        <w:t>4. 车辆：广生药业名下有一辆车，登记日期为2021年4月1日，品牌：江淮牌，车牌号：皖AKHE029,车辆型号：HFC5041XXYP7K2C3V-1，档案号：341282042328。</w:t>
      </w:r>
    </w:p>
    <w:p>
      <w:pPr>
        <w:spacing w:line="360" w:lineRule="auto"/>
        <w:ind w:firstLine="560" w:firstLineChars="200"/>
        <w:rPr>
          <w:rFonts w:ascii="仿宋" w:hAnsi="仿宋"/>
          <w:b w:val="0"/>
          <w:sz w:val="28"/>
          <w:szCs w:val="28"/>
        </w:rPr>
      </w:pPr>
      <w:r>
        <w:rPr>
          <w:rFonts w:hint="eastAsia" w:ascii="仿宋" w:hAnsi="仿宋"/>
          <w:b w:val="0"/>
          <w:sz w:val="28"/>
          <w:szCs w:val="28"/>
        </w:rPr>
        <w:t xml:space="preserve"> 5.无形资产：土地使用权一处，初步评估价值约为3,183,200元。广生药业拥有</w:t>
      </w:r>
      <w:r>
        <w:rPr>
          <w:rFonts w:ascii="仿宋" w:hAnsi="仿宋"/>
          <w:b w:val="0"/>
          <w:sz w:val="28"/>
          <w:szCs w:val="28"/>
        </w:rPr>
        <w:t>84个国药准字文号</w:t>
      </w:r>
      <w:r>
        <w:rPr>
          <w:rFonts w:hint="eastAsia" w:ascii="仿宋" w:hAnsi="仿宋"/>
          <w:b w:val="0"/>
          <w:sz w:val="28"/>
          <w:szCs w:val="28"/>
        </w:rPr>
        <w:t>，经初步评估价值约为19,326,000元。</w:t>
      </w:r>
    </w:p>
    <w:p>
      <w:pPr>
        <w:spacing w:line="360" w:lineRule="auto"/>
        <w:ind w:firstLine="560" w:firstLineChars="200"/>
        <w:rPr>
          <w:rFonts w:ascii="仿宋" w:hAnsi="仿宋"/>
          <w:b w:val="0"/>
          <w:sz w:val="28"/>
          <w:szCs w:val="28"/>
        </w:rPr>
      </w:pPr>
      <w:r>
        <w:rPr>
          <w:rFonts w:hint="eastAsia" w:ascii="仿宋" w:hAnsi="仿宋"/>
          <w:b w:val="0"/>
          <w:sz w:val="28"/>
          <w:szCs w:val="28"/>
        </w:rPr>
        <w:t>经初步评估，广生药业名下资产评估价值约为4073万元。</w:t>
      </w:r>
    </w:p>
    <w:p>
      <w:pPr>
        <w:spacing w:line="360" w:lineRule="auto"/>
        <w:ind w:firstLine="560" w:firstLineChars="200"/>
        <w:rPr>
          <w:rFonts w:ascii="仿宋" w:hAnsi="仿宋"/>
          <w:b w:val="0"/>
          <w:sz w:val="28"/>
          <w:szCs w:val="28"/>
        </w:rPr>
      </w:pPr>
      <w:r>
        <w:rPr>
          <w:rFonts w:hint="eastAsia" w:ascii="仿宋" w:hAnsi="仿宋"/>
          <w:b w:val="0"/>
          <w:sz w:val="28"/>
          <w:szCs w:val="28"/>
        </w:rPr>
        <w:t>以上数据均以最终确定的审计报告和评估报告为准。</w:t>
      </w:r>
    </w:p>
    <w:p>
      <w:pPr>
        <w:spacing w:line="360" w:lineRule="auto"/>
        <w:ind w:firstLine="560" w:firstLineChars="200"/>
        <w:rPr>
          <w:rFonts w:ascii="仿宋" w:hAnsi="仿宋"/>
          <w:b w:val="0"/>
          <w:sz w:val="28"/>
          <w:szCs w:val="28"/>
        </w:rPr>
      </w:pPr>
      <w:r>
        <w:rPr>
          <w:rFonts w:hint="eastAsia" w:ascii="仿宋" w:hAnsi="仿宋"/>
          <w:b w:val="0"/>
          <w:sz w:val="28"/>
          <w:szCs w:val="28"/>
        </w:rPr>
        <w:t>（三）主要负债情况 </w:t>
      </w:r>
    </w:p>
    <w:p>
      <w:pPr>
        <w:spacing w:line="360" w:lineRule="auto"/>
        <w:ind w:firstLine="560" w:firstLineChars="200"/>
        <w:rPr>
          <w:rFonts w:ascii="仿宋" w:hAnsi="仿宋"/>
          <w:b w:val="0"/>
          <w:sz w:val="28"/>
          <w:szCs w:val="28"/>
        </w:rPr>
      </w:pPr>
      <w:r>
        <w:rPr>
          <w:rFonts w:hint="eastAsia" w:ascii="仿宋" w:hAnsi="仿宋"/>
          <w:b w:val="0"/>
          <w:sz w:val="28"/>
          <w:szCs w:val="28"/>
        </w:rPr>
        <w:t>截至2024年6月18日，管理人接收广生药业债权人申报的债权总额为92301376.94元（含职工债权）。另有部分职工申报补缴养老保险、医疗保险、独生子女费未申报具体金额。上述数据均以最终的确定的审计报告和评估报告为准。</w:t>
      </w:r>
    </w:p>
    <w:p>
      <w:pPr>
        <w:spacing w:line="360" w:lineRule="auto"/>
        <w:ind w:firstLine="562" w:firstLineChars="200"/>
        <w:rPr>
          <w:rFonts w:ascii="仿宋" w:hAnsi="仿宋"/>
          <w:sz w:val="28"/>
          <w:szCs w:val="28"/>
        </w:rPr>
      </w:pPr>
      <w:r>
        <w:rPr>
          <w:rFonts w:hint="eastAsia" w:ascii="仿宋" w:hAnsi="仿宋"/>
          <w:sz w:val="28"/>
          <w:szCs w:val="28"/>
        </w:rPr>
        <w:t>三、重整模式及可行性 </w:t>
      </w:r>
    </w:p>
    <w:p>
      <w:pPr>
        <w:spacing w:line="360" w:lineRule="auto"/>
        <w:ind w:firstLine="560" w:firstLineChars="200"/>
        <w:rPr>
          <w:rFonts w:ascii="仿宋" w:hAnsi="仿宋"/>
          <w:b w:val="0"/>
          <w:sz w:val="28"/>
          <w:szCs w:val="28"/>
        </w:rPr>
      </w:pPr>
      <w:r>
        <w:rPr>
          <w:rFonts w:hint="eastAsia" w:ascii="仿宋" w:hAnsi="仿宋"/>
          <w:b w:val="0"/>
          <w:sz w:val="28"/>
          <w:szCs w:val="28"/>
        </w:rPr>
        <w:t>1.清算式重整 </w:t>
      </w:r>
    </w:p>
    <w:p>
      <w:pPr>
        <w:spacing w:line="360" w:lineRule="auto"/>
        <w:ind w:firstLine="560" w:firstLineChars="200"/>
        <w:rPr>
          <w:rFonts w:ascii="仿宋" w:hAnsi="仿宋"/>
          <w:b w:val="0"/>
          <w:sz w:val="28"/>
          <w:szCs w:val="28"/>
        </w:rPr>
      </w:pPr>
      <w:r>
        <w:rPr>
          <w:rFonts w:hint="eastAsia" w:ascii="仿宋" w:hAnsi="仿宋"/>
          <w:b w:val="0"/>
          <w:sz w:val="28"/>
          <w:szCs w:val="28"/>
        </w:rPr>
        <w:t>广生药业选择清算式重整，基于其具有一定的“壳”价值。此处的“壳”价值是指拥有某种行业资质、掌握某项核心技术、享有商标专利等无形资产，以及依附于企业的政策、人员、行业资源等，这些较为稀缺且具有收益性的价值，可能随着企业主体资格的消亡而消亡，且无法通过转让方式取得，若进行破产清算可能造成资源浪费。 </w:t>
      </w:r>
    </w:p>
    <w:p>
      <w:pPr>
        <w:spacing w:line="360" w:lineRule="auto"/>
        <w:ind w:firstLine="560" w:firstLineChars="200"/>
        <w:rPr>
          <w:rFonts w:ascii="仿宋" w:hAnsi="仿宋"/>
          <w:b w:val="0"/>
          <w:sz w:val="28"/>
          <w:szCs w:val="28"/>
        </w:rPr>
      </w:pPr>
      <w:r>
        <w:rPr>
          <w:rFonts w:hint="eastAsia" w:ascii="仿宋" w:hAnsi="仿宋"/>
          <w:b w:val="0"/>
          <w:sz w:val="28"/>
          <w:szCs w:val="28"/>
        </w:rPr>
        <w:t>所以，广生药业在破产重整程序中对债务人财产制定的优于破产清算时的清算、变现、分配的清算计划，实现了企业核心资产价值的最大化，选择保持原广生药业的法人资格存续，以此减少重整负担、平衡各方利益的重整模式。</w:t>
      </w:r>
    </w:p>
    <w:p>
      <w:pPr>
        <w:spacing w:line="360" w:lineRule="auto"/>
        <w:ind w:firstLine="560" w:firstLineChars="200"/>
        <w:rPr>
          <w:rFonts w:ascii="仿宋" w:hAnsi="仿宋"/>
          <w:b w:val="0"/>
          <w:sz w:val="28"/>
          <w:szCs w:val="28"/>
        </w:rPr>
      </w:pPr>
      <w:r>
        <w:rPr>
          <w:rFonts w:hint="eastAsia" w:ascii="仿宋" w:hAnsi="仿宋"/>
          <w:b w:val="0"/>
          <w:sz w:val="28"/>
          <w:szCs w:val="28"/>
        </w:rPr>
        <w:t>2.清算式重整可行性 </w:t>
      </w:r>
    </w:p>
    <w:p>
      <w:pPr>
        <w:spacing w:line="360" w:lineRule="auto"/>
        <w:ind w:firstLine="560" w:firstLineChars="200"/>
        <w:rPr>
          <w:rFonts w:ascii="仿宋" w:hAnsi="仿宋"/>
          <w:b w:val="0"/>
          <w:sz w:val="28"/>
          <w:szCs w:val="28"/>
        </w:rPr>
      </w:pPr>
      <w:r>
        <w:rPr>
          <w:rFonts w:hint="eastAsia" w:ascii="仿宋" w:hAnsi="仿宋"/>
          <w:b w:val="0"/>
          <w:sz w:val="28"/>
          <w:szCs w:val="28"/>
        </w:rPr>
        <w:t>广生药业全部资产，包括厂房、土地、设备、办公楼等，若广生药业保留主体资质，包括</w:t>
      </w:r>
      <w:r>
        <w:rPr>
          <w:rFonts w:ascii="仿宋" w:hAnsi="仿宋"/>
          <w:b w:val="0"/>
          <w:sz w:val="28"/>
          <w:szCs w:val="28"/>
        </w:rPr>
        <w:t>84个国药准字文号</w:t>
      </w:r>
      <w:r>
        <w:rPr>
          <w:rFonts w:hint="eastAsia" w:ascii="仿宋" w:hAnsi="仿宋"/>
          <w:b w:val="0"/>
          <w:sz w:val="28"/>
          <w:szCs w:val="28"/>
        </w:rPr>
        <w:t>、商标等“无形资产”，通过出资人股权转让的方式，</w:t>
      </w:r>
      <w:r>
        <w:rPr>
          <w:rFonts w:hint="eastAsia" w:ascii="仿宋" w:hAnsi="仿宋"/>
          <w:b w:val="0"/>
          <w:sz w:val="28"/>
          <w:szCs w:val="28"/>
          <w:highlight w:val="yellow"/>
        </w:rPr>
        <w:t>以不低于</w:t>
      </w:r>
      <w:r>
        <w:rPr>
          <w:rFonts w:hint="eastAsia" w:ascii="仿宋" w:hAnsi="仿宋"/>
          <w:b w:val="0"/>
          <w:sz w:val="28"/>
          <w:szCs w:val="28"/>
          <w:highlight w:val="yellow"/>
          <w:lang w:val="en-US" w:eastAsia="zh-CN"/>
        </w:rPr>
        <w:t>4075</w:t>
      </w:r>
      <w:r>
        <w:rPr>
          <w:rFonts w:hint="eastAsia" w:ascii="仿宋" w:hAnsi="仿宋"/>
          <w:b w:val="0"/>
          <w:sz w:val="28"/>
          <w:szCs w:val="28"/>
          <w:highlight w:val="yellow"/>
        </w:rPr>
        <w:t>万元对价</w:t>
      </w:r>
      <w:r>
        <w:rPr>
          <w:rFonts w:hint="eastAsia" w:ascii="仿宋" w:hAnsi="仿宋"/>
          <w:b w:val="0"/>
          <w:sz w:val="28"/>
          <w:szCs w:val="28"/>
        </w:rPr>
        <w:t>转让给投资人（进行网络拍卖，价高者竞得），所得价款依据企业破产法和《重整计划草案》之规定的清偿顺序清偿债务，能够有效提高清偿率。 </w:t>
      </w:r>
    </w:p>
    <w:p>
      <w:pPr>
        <w:spacing w:line="360" w:lineRule="auto"/>
        <w:ind w:firstLine="560" w:firstLineChars="200"/>
        <w:rPr>
          <w:rFonts w:ascii="仿宋" w:hAnsi="仿宋"/>
          <w:b w:val="0"/>
          <w:sz w:val="28"/>
          <w:szCs w:val="28"/>
        </w:rPr>
      </w:pPr>
      <w:r>
        <w:rPr>
          <w:rFonts w:hint="eastAsia" w:ascii="仿宋" w:hAnsi="仿宋"/>
          <w:b w:val="0"/>
          <w:sz w:val="28"/>
          <w:szCs w:val="28"/>
        </w:rPr>
        <w:t>为此，破产法院</w:t>
      </w:r>
      <w:r>
        <w:rPr>
          <w:rFonts w:hint="eastAsia" w:ascii="仿宋" w:hAnsi="仿宋"/>
          <w:b w:val="0"/>
          <w:sz w:val="28"/>
          <w:szCs w:val="28"/>
          <w:lang w:val="en-US" w:eastAsia="zh-CN"/>
        </w:rPr>
        <w:t>也将会商</w:t>
      </w:r>
      <w:r>
        <w:rPr>
          <w:rFonts w:hint="eastAsia" w:ascii="仿宋" w:hAnsi="仿宋"/>
          <w:b w:val="0"/>
          <w:sz w:val="28"/>
          <w:szCs w:val="28"/>
        </w:rPr>
        <w:t>政府及其相关部门、第三方专业机构等方式，识别债务企业是否具备挽救价值和再生可能，是否符合产业发展方向，是否具有品牌、市场、资产价值，积极引导适用破产重整程序，模拟计算债权人在重整计划草案提请批准时，依照破产清算程序所能获得的清偿比例，以及重整计划草案中拟定的分配比例。 </w:t>
      </w:r>
    </w:p>
    <w:p>
      <w:pPr>
        <w:spacing w:line="360" w:lineRule="auto"/>
        <w:ind w:firstLine="560" w:firstLineChars="200"/>
        <w:rPr>
          <w:rFonts w:ascii="仿宋" w:hAnsi="仿宋"/>
          <w:b w:val="0"/>
          <w:sz w:val="28"/>
          <w:szCs w:val="28"/>
        </w:rPr>
      </w:pPr>
      <w:r>
        <w:rPr>
          <w:rFonts w:hint="eastAsia" w:ascii="仿宋" w:hAnsi="仿宋"/>
          <w:b w:val="0"/>
          <w:sz w:val="28"/>
          <w:szCs w:val="28"/>
        </w:rPr>
        <w:t>同时，破产法院指导管理人积极与意向投资人进行沟通交流，并告知清算式重整风险、责任和后果，特别引导主要债权人对清算式重整模式应当要有充分认同度，即对破产清算和重整程序有正确认识，充分理解不同程序的作用，对债务人资产情况和债权清偿有较为客观的判断。 </w:t>
      </w:r>
    </w:p>
    <w:p>
      <w:pPr>
        <w:spacing w:line="360" w:lineRule="auto"/>
        <w:ind w:firstLine="562" w:firstLineChars="200"/>
        <w:rPr>
          <w:rFonts w:ascii="仿宋" w:hAnsi="仿宋"/>
          <w:sz w:val="28"/>
          <w:szCs w:val="28"/>
        </w:rPr>
      </w:pPr>
      <w:r>
        <w:rPr>
          <w:rFonts w:hint="eastAsia" w:ascii="仿宋" w:hAnsi="仿宋"/>
          <w:sz w:val="28"/>
          <w:szCs w:val="28"/>
        </w:rPr>
        <w:t>四、招募条件及流程 </w:t>
      </w:r>
    </w:p>
    <w:p>
      <w:pPr>
        <w:spacing w:line="360" w:lineRule="auto"/>
        <w:ind w:firstLine="560" w:firstLineChars="200"/>
        <w:rPr>
          <w:rFonts w:ascii="仿宋" w:hAnsi="仿宋"/>
          <w:b w:val="0"/>
          <w:sz w:val="28"/>
          <w:szCs w:val="28"/>
        </w:rPr>
      </w:pPr>
      <w:r>
        <w:rPr>
          <w:rFonts w:hint="eastAsia" w:ascii="仿宋" w:hAnsi="仿宋"/>
          <w:b w:val="0"/>
          <w:sz w:val="28"/>
          <w:szCs w:val="28"/>
        </w:rPr>
        <w:t>（一）报名资格条件 </w:t>
      </w:r>
    </w:p>
    <w:p>
      <w:pPr>
        <w:spacing w:line="360" w:lineRule="auto"/>
        <w:ind w:firstLine="560" w:firstLineChars="200"/>
        <w:rPr>
          <w:rFonts w:ascii="仿宋" w:hAnsi="仿宋"/>
          <w:b w:val="0"/>
          <w:sz w:val="28"/>
          <w:szCs w:val="28"/>
        </w:rPr>
      </w:pPr>
      <w:r>
        <w:rPr>
          <w:rFonts w:hint="eastAsia" w:ascii="仿宋" w:hAnsi="仿宋"/>
          <w:b w:val="0"/>
          <w:sz w:val="28"/>
          <w:szCs w:val="28"/>
        </w:rPr>
        <w:t>投资人应当具有较高社会责任感和良好的商业信誉，拥有足够的资金实力进行重整投资，并提供相应的资信证明或其他履约能力证明；拥有与广生药业重整相适应的经营管理能力。</w:t>
      </w:r>
    </w:p>
    <w:p>
      <w:pPr>
        <w:spacing w:line="360" w:lineRule="auto"/>
        <w:ind w:firstLine="560" w:firstLineChars="200"/>
        <w:rPr>
          <w:rFonts w:ascii="仿宋" w:hAnsi="仿宋"/>
          <w:b w:val="0"/>
          <w:sz w:val="28"/>
          <w:szCs w:val="28"/>
        </w:rPr>
      </w:pPr>
      <w:r>
        <w:rPr>
          <w:rFonts w:hint="eastAsia" w:ascii="仿宋" w:hAnsi="仿宋"/>
          <w:b w:val="0"/>
          <w:sz w:val="28"/>
          <w:szCs w:val="28"/>
        </w:rPr>
        <w:t>（二）报名需提交的文件 </w:t>
      </w:r>
    </w:p>
    <w:p>
      <w:pPr>
        <w:spacing w:line="360" w:lineRule="auto"/>
        <w:ind w:firstLine="560" w:firstLineChars="200"/>
        <w:rPr>
          <w:rFonts w:ascii="仿宋" w:hAnsi="仿宋"/>
          <w:b w:val="0"/>
          <w:sz w:val="28"/>
          <w:szCs w:val="28"/>
        </w:rPr>
      </w:pPr>
      <w:r>
        <w:rPr>
          <w:rFonts w:hint="eastAsia" w:ascii="仿宋" w:hAnsi="仿宋"/>
          <w:b w:val="0"/>
          <w:sz w:val="28"/>
          <w:szCs w:val="28"/>
        </w:rPr>
        <w:t>1.参与重整投资的报名意向书，内容包括投资人基本情况介绍、资金实力、投资资金来源的计划等；</w:t>
      </w:r>
    </w:p>
    <w:p>
      <w:pPr>
        <w:spacing w:line="360" w:lineRule="auto"/>
        <w:ind w:firstLine="560" w:firstLineChars="200"/>
        <w:rPr>
          <w:rFonts w:ascii="仿宋" w:hAnsi="仿宋"/>
          <w:b w:val="0"/>
          <w:sz w:val="28"/>
          <w:szCs w:val="28"/>
        </w:rPr>
      </w:pPr>
      <w:r>
        <w:rPr>
          <w:rFonts w:hint="eastAsia" w:ascii="仿宋" w:hAnsi="仿宋"/>
          <w:b w:val="0"/>
          <w:sz w:val="28"/>
          <w:szCs w:val="28"/>
        </w:rPr>
        <w:t>2.意向重整投资人简介书（含主体资格、股权结构、主营业务、历史沿革等信息。如为联合投资人的，需要介绍各自充当的角色、分工及职责等情况）； </w:t>
      </w:r>
    </w:p>
    <w:p>
      <w:pPr>
        <w:spacing w:line="360" w:lineRule="auto"/>
        <w:ind w:firstLine="560" w:firstLineChars="200"/>
        <w:rPr>
          <w:rFonts w:ascii="仿宋" w:hAnsi="仿宋"/>
          <w:b w:val="0"/>
          <w:sz w:val="28"/>
          <w:szCs w:val="28"/>
        </w:rPr>
      </w:pPr>
      <w:r>
        <w:rPr>
          <w:rFonts w:hint="eastAsia" w:ascii="仿宋" w:hAnsi="仿宋"/>
          <w:b w:val="0"/>
          <w:sz w:val="28"/>
          <w:szCs w:val="28"/>
        </w:rPr>
        <w:t>3.意向重整投资人营业执照复印件、法定代表人或负责人身份证明文件、授权委托书原件； </w:t>
      </w:r>
    </w:p>
    <w:p>
      <w:pPr>
        <w:spacing w:line="360" w:lineRule="auto"/>
        <w:ind w:firstLine="560" w:firstLineChars="200"/>
        <w:rPr>
          <w:rFonts w:ascii="仿宋" w:hAnsi="仿宋"/>
          <w:b w:val="0"/>
          <w:sz w:val="28"/>
          <w:szCs w:val="28"/>
        </w:rPr>
      </w:pPr>
      <w:r>
        <w:rPr>
          <w:rFonts w:hint="eastAsia" w:ascii="仿宋" w:hAnsi="仿宋"/>
          <w:b w:val="0"/>
          <w:sz w:val="28"/>
          <w:szCs w:val="28"/>
        </w:rPr>
        <w:t>4.同意对知悉的债务人情况予以保密并愿意签署保密协议的承诺函；</w:t>
      </w:r>
    </w:p>
    <w:p>
      <w:pPr>
        <w:spacing w:line="360" w:lineRule="auto"/>
        <w:ind w:firstLine="560" w:firstLineChars="200"/>
        <w:rPr>
          <w:rFonts w:ascii="仿宋" w:hAnsi="仿宋"/>
          <w:b w:val="0"/>
          <w:sz w:val="28"/>
          <w:szCs w:val="28"/>
        </w:rPr>
      </w:pPr>
      <w:r>
        <w:rPr>
          <w:rFonts w:hint="eastAsia" w:ascii="仿宋" w:hAnsi="仿宋"/>
          <w:b w:val="0"/>
          <w:sz w:val="28"/>
          <w:szCs w:val="28"/>
        </w:rPr>
        <w:t>5.两个或两个以上的公司联合参与投资的，各公司均须按以上要求提交材料。 </w:t>
      </w:r>
    </w:p>
    <w:p>
      <w:pPr>
        <w:spacing w:line="360" w:lineRule="auto"/>
        <w:ind w:firstLine="560" w:firstLineChars="200"/>
        <w:rPr>
          <w:rFonts w:ascii="仿宋" w:hAnsi="仿宋"/>
          <w:b w:val="0"/>
          <w:sz w:val="28"/>
          <w:szCs w:val="28"/>
        </w:rPr>
      </w:pPr>
      <w:r>
        <w:rPr>
          <w:rFonts w:hint="eastAsia" w:ascii="仿宋" w:hAnsi="仿宋"/>
          <w:b w:val="0"/>
          <w:sz w:val="28"/>
          <w:szCs w:val="28"/>
        </w:rPr>
        <w:t>对上述报名材料均应加盖意向重整投资人公章并由法定代表人或负责人签名。意向重整投资人未按本公告要求提交完整报名材料的，管理人有权不予接收。 </w:t>
      </w:r>
    </w:p>
    <w:p>
      <w:pPr>
        <w:spacing w:line="360" w:lineRule="auto"/>
        <w:ind w:firstLine="560" w:firstLineChars="200"/>
        <w:rPr>
          <w:rFonts w:ascii="仿宋" w:hAnsi="仿宋"/>
          <w:b w:val="0"/>
          <w:sz w:val="28"/>
          <w:szCs w:val="28"/>
        </w:rPr>
      </w:pPr>
      <w:r>
        <w:rPr>
          <w:rFonts w:hint="eastAsia" w:ascii="仿宋" w:hAnsi="仿宋"/>
          <w:b w:val="0"/>
          <w:sz w:val="28"/>
          <w:szCs w:val="28"/>
        </w:rPr>
        <w:t>（三）报名资格审查</w:t>
      </w:r>
    </w:p>
    <w:p>
      <w:pPr>
        <w:spacing w:line="360" w:lineRule="auto"/>
        <w:ind w:firstLine="560" w:firstLineChars="200"/>
        <w:rPr>
          <w:rFonts w:ascii="仿宋" w:hAnsi="仿宋"/>
          <w:b w:val="0"/>
          <w:sz w:val="28"/>
          <w:szCs w:val="28"/>
        </w:rPr>
      </w:pPr>
      <w:r>
        <w:rPr>
          <w:rFonts w:hint="eastAsia" w:ascii="仿宋" w:hAnsi="仿宋"/>
          <w:b w:val="0"/>
          <w:sz w:val="28"/>
          <w:szCs w:val="28"/>
        </w:rPr>
        <w:t>1.管理人根据本公告确定的报名条件和要求对意向重整投资人提交的报名材料进行审查； </w:t>
      </w:r>
    </w:p>
    <w:p>
      <w:pPr>
        <w:spacing w:line="360" w:lineRule="auto"/>
        <w:ind w:firstLine="560" w:firstLineChars="200"/>
        <w:rPr>
          <w:rFonts w:ascii="仿宋" w:hAnsi="仿宋"/>
          <w:b w:val="0"/>
          <w:sz w:val="28"/>
          <w:szCs w:val="28"/>
        </w:rPr>
      </w:pPr>
      <w:r>
        <w:rPr>
          <w:rFonts w:hint="eastAsia" w:ascii="仿宋" w:hAnsi="仿宋"/>
          <w:b w:val="0"/>
          <w:sz w:val="28"/>
          <w:szCs w:val="28"/>
        </w:rPr>
        <w:t>2.符合报名条件的意向投资人在获得管理人确认之后，可向管理人提出对广生药业开展尽职调查工作的申请。</w:t>
      </w:r>
    </w:p>
    <w:p>
      <w:pPr>
        <w:spacing w:line="360" w:lineRule="auto"/>
        <w:ind w:firstLine="560" w:firstLineChars="200"/>
        <w:rPr>
          <w:rFonts w:ascii="仿宋" w:hAnsi="仿宋"/>
          <w:b w:val="0"/>
          <w:sz w:val="28"/>
          <w:szCs w:val="28"/>
        </w:rPr>
      </w:pPr>
      <w:r>
        <w:rPr>
          <w:rFonts w:hint="eastAsia" w:ascii="仿宋" w:hAnsi="仿宋"/>
          <w:b w:val="0"/>
          <w:sz w:val="28"/>
          <w:szCs w:val="28"/>
        </w:rPr>
        <w:t>（四）开展尽职调查</w:t>
      </w:r>
    </w:p>
    <w:p>
      <w:pPr>
        <w:spacing w:line="360" w:lineRule="auto"/>
        <w:ind w:firstLine="560" w:firstLineChars="200"/>
        <w:rPr>
          <w:rFonts w:ascii="仿宋" w:hAnsi="仿宋"/>
          <w:b w:val="0"/>
          <w:sz w:val="28"/>
          <w:szCs w:val="28"/>
        </w:rPr>
      </w:pPr>
      <w:r>
        <w:rPr>
          <w:rFonts w:hint="eastAsia" w:ascii="仿宋" w:hAnsi="仿宋"/>
          <w:b w:val="0"/>
          <w:sz w:val="28"/>
          <w:szCs w:val="28"/>
        </w:rPr>
        <w:t>报名成功的意向重整投资人在签署《保密承诺书》后，可针对包括但不限于债务人的资产情况、经营情况等开展尽职调查。意向重整投资人开展尽职调查所需的费用由其自行承担。 </w:t>
      </w:r>
    </w:p>
    <w:p>
      <w:pPr>
        <w:spacing w:line="360" w:lineRule="auto"/>
        <w:ind w:firstLine="560" w:firstLineChars="200"/>
        <w:rPr>
          <w:rFonts w:ascii="仿宋" w:hAnsi="仿宋"/>
          <w:b w:val="0"/>
          <w:sz w:val="28"/>
          <w:szCs w:val="28"/>
        </w:rPr>
      </w:pPr>
      <w:r>
        <w:rPr>
          <w:rFonts w:hint="eastAsia" w:ascii="仿宋" w:hAnsi="仿宋"/>
          <w:b w:val="0"/>
          <w:sz w:val="28"/>
          <w:szCs w:val="28"/>
        </w:rPr>
        <w:t>（五）确定重整投资人 </w:t>
      </w:r>
    </w:p>
    <w:p>
      <w:pPr>
        <w:spacing w:line="360" w:lineRule="auto"/>
        <w:ind w:firstLine="560" w:firstLineChars="200"/>
        <w:rPr>
          <w:rFonts w:ascii="仿宋" w:hAnsi="仿宋"/>
          <w:b w:val="0"/>
          <w:sz w:val="28"/>
          <w:szCs w:val="28"/>
        </w:rPr>
      </w:pPr>
      <w:r>
        <w:rPr>
          <w:rFonts w:hint="eastAsia" w:ascii="仿宋" w:hAnsi="仿宋"/>
          <w:b w:val="0"/>
          <w:sz w:val="28"/>
          <w:szCs w:val="28"/>
        </w:rPr>
        <w:t>1.意向投资人完成尽职调查工作后，在管理人规定时间内提交具有可操作性的《重整投资方案》，内容包括但不限于偿债方案、经营方案、职工安置方案、股权调整方案等； </w:t>
      </w:r>
    </w:p>
    <w:p>
      <w:pPr>
        <w:spacing w:line="360" w:lineRule="auto"/>
        <w:ind w:firstLine="560" w:firstLineChars="200"/>
        <w:rPr>
          <w:rFonts w:ascii="仿宋" w:hAnsi="仿宋"/>
          <w:b w:val="0"/>
          <w:sz w:val="28"/>
          <w:szCs w:val="28"/>
        </w:rPr>
      </w:pPr>
      <w:r>
        <w:rPr>
          <w:rFonts w:hint="eastAsia" w:ascii="仿宋" w:hAnsi="仿宋"/>
          <w:b w:val="0"/>
          <w:sz w:val="28"/>
          <w:szCs w:val="28"/>
        </w:rPr>
        <w:t>2.管理人对意向投资人提交的《重整投资方案》进行综合评审，确定重整投资人并将结果报告法院； </w:t>
      </w:r>
    </w:p>
    <w:p>
      <w:pPr>
        <w:spacing w:line="360" w:lineRule="auto"/>
        <w:ind w:firstLine="560" w:firstLineChars="200"/>
        <w:rPr>
          <w:rFonts w:ascii="仿宋" w:hAnsi="仿宋"/>
          <w:b w:val="0"/>
          <w:sz w:val="28"/>
          <w:szCs w:val="28"/>
        </w:rPr>
      </w:pPr>
      <w:r>
        <w:rPr>
          <w:rFonts w:hint="eastAsia" w:ascii="仿宋" w:hAnsi="仿宋"/>
          <w:b w:val="0"/>
          <w:sz w:val="28"/>
          <w:szCs w:val="28"/>
        </w:rPr>
        <w:t>3.最终的重整投资人确定后，重整投资人应按照管理人要求签订附生效条件的《重整投资协议》; </w:t>
      </w:r>
    </w:p>
    <w:p>
      <w:pPr>
        <w:spacing w:line="360" w:lineRule="auto"/>
        <w:ind w:firstLine="560" w:firstLineChars="200"/>
        <w:rPr>
          <w:rFonts w:ascii="仿宋" w:hAnsi="仿宋"/>
          <w:b w:val="0"/>
          <w:sz w:val="28"/>
          <w:szCs w:val="28"/>
        </w:rPr>
      </w:pPr>
      <w:r>
        <w:rPr>
          <w:rFonts w:hint="eastAsia" w:ascii="仿宋" w:hAnsi="仿宋"/>
          <w:b w:val="0"/>
          <w:sz w:val="28"/>
          <w:szCs w:val="28"/>
        </w:rPr>
        <w:t>4.《重整计划草案》经债权人会议表决通过并经法院裁定批准后，重整协议正式生效；如《重整计划草案》未获债权人会议表决通过且未能获得法院强制批准的，管理人将向法院申请宣告债务人破产。 </w:t>
      </w:r>
    </w:p>
    <w:p>
      <w:pPr>
        <w:spacing w:line="360" w:lineRule="auto"/>
        <w:ind w:firstLine="562" w:firstLineChars="200"/>
        <w:rPr>
          <w:rFonts w:ascii="仿宋" w:hAnsi="仿宋"/>
          <w:sz w:val="28"/>
          <w:szCs w:val="28"/>
        </w:rPr>
      </w:pPr>
      <w:r>
        <w:rPr>
          <w:rFonts w:hint="eastAsia" w:ascii="仿宋" w:hAnsi="仿宋"/>
          <w:sz w:val="28"/>
          <w:szCs w:val="28"/>
        </w:rPr>
        <w:t>五、报名时间及管理人联系方式 </w:t>
      </w:r>
    </w:p>
    <w:p>
      <w:pPr>
        <w:spacing w:line="360" w:lineRule="auto"/>
        <w:ind w:firstLine="560" w:firstLineChars="200"/>
        <w:rPr>
          <w:rFonts w:ascii="仿宋" w:hAnsi="仿宋"/>
          <w:b w:val="0"/>
          <w:sz w:val="28"/>
          <w:szCs w:val="28"/>
        </w:rPr>
      </w:pPr>
      <w:r>
        <w:rPr>
          <w:rFonts w:hint="eastAsia" w:ascii="仿宋" w:hAnsi="仿宋"/>
          <w:b w:val="0"/>
          <w:sz w:val="28"/>
          <w:szCs w:val="28"/>
        </w:rPr>
        <w:t>（一）报名时间</w:t>
      </w:r>
    </w:p>
    <w:p>
      <w:pPr>
        <w:spacing w:line="360" w:lineRule="auto"/>
        <w:ind w:firstLine="560" w:firstLineChars="200"/>
        <w:rPr>
          <w:rFonts w:ascii="仿宋" w:hAnsi="仿宋"/>
          <w:b w:val="0"/>
          <w:sz w:val="28"/>
          <w:szCs w:val="28"/>
        </w:rPr>
      </w:pPr>
      <w:r>
        <w:rPr>
          <w:rFonts w:hint="eastAsia" w:ascii="仿宋" w:hAnsi="仿宋"/>
          <w:b w:val="0"/>
          <w:sz w:val="28"/>
          <w:szCs w:val="28"/>
        </w:rPr>
        <w:t>意向重整投资人应在</w:t>
      </w:r>
      <w:r>
        <w:rPr>
          <w:rFonts w:hint="eastAsia" w:ascii="仿宋" w:hAnsi="仿宋"/>
          <w:b w:val="0"/>
          <w:sz w:val="28"/>
          <w:szCs w:val="28"/>
          <w:highlight w:val="yellow"/>
        </w:rPr>
        <w:t>2024年6月20日至7月5日</w:t>
      </w:r>
      <w:r>
        <w:rPr>
          <w:rFonts w:hint="eastAsia" w:ascii="仿宋" w:hAnsi="仿宋"/>
          <w:b w:val="0"/>
          <w:sz w:val="28"/>
          <w:szCs w:val="28"/>
        </w:rPr>
        <w:t>将报名材料纸质版（一式三份）提交至管理人指定地址。 </w:t>
      </w:r>
    </w:p>
    <w:p>
      <w:pPr>
        <w:spacing w:line="360" w:lineRule="auto"/>
        <w:ind w:firstLine="560" w:firstLineChars="200"/>
        <w:rPr>
          <w:rFonts w:ascii="仿宋" w:hAnsi="仿宋"/>
          <w:b w:val="0"/>
          <w:sz w:val="28"/>
          <w:szCs w:val="28"/>
        </w:rPr>
      </w:pPr>
      <w:r>
        <w:rPr>
          <w:rFonts w:hint="eastAsia" w:ascii="仿宋" w:hAnsi="仿宋"/>
          <w:b w:val="0"/>
          <w:sz w:val="28"/>
          <w:szCs w:val="28"/>
        </w:rPr>
        <w:t>若重整计划草案表决通过或者人民法院裁定批准，不排除投资人通过参与网络拍卖方式，竞得广生药业“壳”公司。</w:t>
      </w:r>
    </w:p>
    <w:p>
      <w:pPr>
        <w:spacing w:line="360" w:lineRule="auto"/>
        <w:ind w:firstLine="560" w:firstLineChars="200"/>
        <w:rPr>
          <w:rFonts w:ascii="仿宋" w:hAnsi="仿宋"/>
          <w:b w:val="0"/>
          <w:sz w:val="28"/>
          <w:szCs w:val="28"/>
        </w:rPr>
      </w:pPr>
      <w:r>
        <w:rPr>
          <w:rFonts w:hint="eastAsia" w:ascii="仿宋" w:hAnsi="仿宋"/>
          <w:b w:val="0"/>
          <w:sz w:val="28"/>
          <w:szCs w:val="28"/>
        </w:rPr>
        <w:t>（二）报名地点及联系人</w:t>
      </w:r>
    </w:p>
    <w:p>
      <w:pPr>
        <w:spacing w:line="360" w:lineRule="auto"/>
        <w:ind w:firstLine="560" w:firstLineChars="200"/>
        <w:rPr>
          <w:rFonts w:ascii="仿宋" w:hAnsi="仿宋"/>
          <w:b w:val="0"/>
          <w:sz w:val="28"/>
          <w:szCs w:val="28"/>
        </w:rPr>
      </w:pPr>
      <w:r>
        <w:rPr>
          <w:rFonts w:hint="eastAsia" w:ascii="仿宋" w:hAnsi="仿宋"/>
          <w:b w:val="0"/>
          <w:sz w:val="28"/>
          <w:szCs w:val="28"/>
        </w:rPr>
        <w:t>报名文件提交地址：安徽省界首市人民路财政大楼二楼。 </w:t>
      </w:r>
    </w:p>
    <w:p>
      <w:pPr>
        <w:spacing w:line="360" w:lineRule="auto"/>
        <w:ind w:firstLine="560" w:firstLineChars="200"/>
        <w:rPr>
          <w:rFonts w:ascii="仿宋" w:hAnsi="仿宋"/>
          <w:b w:val="0"/>
          <w:sz w:val="28"/>
          <w:szCs w:val="28"/>
          <w:highlight w:val="yellow"/>
        </w:rPr>
      </w:pPr>
      <w:r>
        <w:rPr>
          <w:rFonts w:hint="eastAsia" w:ascii="仿宋" w:hAnsi="仿宋"/>
          <w:b w:val="0"/>
          <w:sz w:val="28"/>
          <w:szCs w:val="28"/>
          <w:highlight w:val="yellow"/>
        </w:rPr>
        <w:t>联系人：杨杰</w:t>
      </w:r>
    </w:p>
    <w:p>
      <w:pPr>
        <w:spacing w:line="360" w:lineRule="auto"/>
        <w:ind w:firstLine="560" w:firstLineChars="200"/>
        <w:rPr>
          <w:rFonts w:ascii="仿宋" w:hAnsi="仿宋"/>
          <w:b w:val="0"/>
          <w:sz w:val="28"/>
          <w:szCs w:val="28"/>
          <w:highlight w:val="yellow"/>
        </w:rPr>
      </w:pPr>
      <w:r>
        <w:rPr>
          <w:rFonts w:hint="eastAsia" w:ascii="仿宋" w:hAnsi="仿宋"/>
          <w:b w:val="0"/>
          <w:sz w:val="28"/>
          <w:szCs w:val="28"/>
          <w:highlight w:val="yellow"/>
        </w:rPr>
        <w:t>联系电话：18256830826</w:t>
      </w:r>
    </w:p>
    <w:p>
      <w:pPr>
        <w:spacing w:line="360" w:lineRule="auto"/>
        <w:ind w:firstLine="560" w:firstLineChars="200"/>
        <w:rPr>
          <w:rFonts w:ascii="仿宋" w:hAnsi="仿宋"/>
          <w:b w:val="0"/>
          <w:sz w:val="28"/>
          <w:szCs w:val="28"/>
        </w:rPr>
      </w:pPr>
      <w:r>
        <w:rPr>
          <w:rFonts w:hint="eastAsia" w:ascii="仿宋" w:hAnsi="仿宋"/>
          <w:b w:val="0"/>
          <w:sz w:val="28"/>
          <w:szCs w:val="28"/>
        </w:rPr>
        <w:t>意向重整投资人如有疑问，可按上述联系方式与管理人联系并进一步洽谈沟通。</w:t>
      </w:r>
    </w:p>
    <w:p>
      <w:pPr>
        <w:spacing w:line="360" w:lineRule="auto"/>
        <w:ind w:firstLine="560" w:firstLineChars="200"/>
        <w:rPr>
          <w:rFonts w:ascii="仿宋" w:hAnsi="仿宋"/>
          <w:b w:val="0"/>
          <w:sz w:val="28"/>
          <w:szCs w:val="28"/>
        </w:rPr>
      </w:pPr>
      <w:r>
        <w:rPr>
          <w:rFonts w:hint="eastAsia" w:ascii="仿宋" w:hAnsi="仿宋"/>
          <w:b w:val="0"/>
          <w:sz w:val="28"/>
          <w:szCs w:val="28"/>
        </w:rPr>
        <w:t>特此公告。</w:t>
      </w:r>
    </w:p>
    <w:p>
      <w:pPr>
        <w:pStyle w:val="4"/>
        <w:widowControl/>
        <w:spacing w:beforeAutospacing="0" w:after="252" w:afterAutospacing="0" w:line="320" w:lineRule="atLeast"/>
        <w:ind w:left="-100" w:right="-100" w:firstLine="420"/>
        <w:jc w:val="right"/>
        <w:rPr>
          <w:rFonts w:ascii="仿宋" w:hAnsi="仿宋"/>
          <w:b w:val="0"/>
          <w:sz w:val="28"/>
          <w:szCs w:val="28"/>
        </w:rPr>
      </w:pPr>
      <w:r>
        <w:rPr>
          <w:rFonts w:hint="eastAsia" w:ascii="仿宋" w:hAnsi="仿宋" w:cs="宋体"/>
          <w:b w:val="0"/>
          <w:color w:val="3D3D3D"/>
          <w:sz w:val="28"/>
          <w:szCs w:val="28"/>
          <w:shd w:val="clear" w:color="auto" w:fill="FFFFFF"/>
        </w:rPr>
        <w:t>上海华源制药安徽广生药业有限公司破产管理人</w:t>
      </w:r>
    </w:p>
    <w:p>
      <w:pPr>
        <w:pStyle w:val="4"/>
        <w:widowControl/>
        <w:spacing w:beforeAutospacing="0" w:after="252" w:afterAutospacing="0" w:line="320" w:lineRule="atLeast"/>
        <w:ind w:left="-100" w:right="-100" w:firstLine="420"/>
        <w:jc w:val="right"/>
        <w:rPr>
          <w:rFonts w:ascii="仿宋" w:hAnsi="仿宋"/>
          <w:b w:val="0"/>
          <w:sz w:val="28"/>
          <w:szCs w:val="28"/>
        </w:rPr>
      </w:pPr>
      <w:r>
        <w:rPr>
          <w:rFonts w:hint="eastAsia" w:ascii="仿宋" w:hAnsi="仿宋" w:cs="宋体"/>
          <w:b w:val="0"/>
          <w:color w:val="3D3D3D"/>
          <w:sz w:val="28"/>
          <w:szCs w:val="28"/>
          <w:shd w:val="clear" w:color="auto" w:fill="FFFFFF"/>
        </w:rPr>
        <w:t>2024年6月18日</w:t>
      </w:r>
    </w:p>
    <w:p>
      <w:pPr>
        <w:rPr>
          <w:b w:val="0"/>
          <w:sz w:val="72"/>
          <w:szCs w:val="72"/>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
    </w:sdtPr>
    <w:sdtContent>
      <w:p>
        <w:pPr>
          <w:pStyle w:val="2"/>
          <w:jc w:val="center"/>
        </w:pPr>
        <w:r>
          <w:fldChar w:fldCharType="begin"/>
        </w:r>
        <w:r>
          <w:instrText xml:space="preserve">PAGE   \* MERGEFORMAT</w:instrText>
        </w:r>
        <w:r>
          <w:fldChar w:fldCharType="separate"/>
        </w:r>
        <w:r>
          <w:rPr>
            <w:lang w:val="zh-CN"/>
          </w:rPr>
          <w:t>1</w:t>
        </w:r>
        <w:r>
          <w:fldChar w:fldCharType="end"/>
        </w:r>
      </w:p>
    </w:sdtContent>
  </w:sdt>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RmOTdhZWY0MDM2YjMwNzU1ZjA5N2M3NWNmMzcxNmQifQ=="/>
  </w:docVars>
  <w:rsids>
    <w:rsidRoot w:val="00C57EEA"/>
    <w:rsid w:val="0000023B"/>
    <w:rsid w:val="00014325"/>
    <w:rsid w:val="0006461A"/>
    <w:rsid w:val="003168E3"/>
    <w:rsid w:val="00321912"/>
    <w:rsid w:val="0045447E"/>
    <w:rsid w:val="00467C90"/>
    <w:rsid w:val="004A2D50"/>
    <w:rsid w:val="004D2995"/>
    <w:rsid w:val="0056620F"/>
    <w:rsid w:val="00580A39"/>
    <w:rsid w:val="0059402B"/>
    <w:rsid w:val="00611816"/>
    <w:rsid w:val="006147D0"/>
    <w:rsid w:val="007F1933"/>
    <w:rsid w:val="007F5281"/>
    <w:rsid w:val="008550F9"/>
    <w:rsid w:val="008E0681"/>
    <w:rsid w:val="00944FC8"/>
    <w:rsid w:val="00AD633F"/>
    <w:rsid w:val="00C34D0A"/>
    <w:rsid w:val="00C57EEA"/>
    <w:rsid w:val="00CD6146"/>
    <w:rsid w:val="00CF3FE0"/>
    <w:rsid w:val="00E73E84"/>
    <w:rsid w:val="00EB4680"/>
    <w:rsid w:val="00F36507"/>
    <w:rsid w:val="00F751CB"/>
    <w:rsid w:val="00F9221F"/>
    <w:rsid w:val="00F96FA5"/>
    <w:rsid w:val="029675A6"/>
    <w:rsid w:val="16D934E4"/>
    <w:rsid w:val="1F7DCDF3"/>
    <w:rsid w:val="41D7252F"/>
    <w:rsid w:val="47FB3C14"/>
    <w:rsid w:val="78A620B9"/>
    <w:rsid w:val="7B6327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仿宋" w:cs="仿宋" w:asciiTheme="minorHAnsi" w:hAnsiTheme="minorHAnsi"/>
      <w:b/>
      <w:bCs/>
      <w:color w:val="000000" w:themeColor="text1"/>
      <w:kern w:val="2"/>
      <w:sz w:val="52"/>
      <w:szCs w:val="52"/>
      <w:lang w:val="en-US" w:eastAsia="zh-CN" w:bidi="ar-SA"/>
      <w14:textFill>
        <w14:solidFill>
          <w14:schemeClr w14:val="tx1"/>
        </w14:solidFill>
      </w14:textFill>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footer"/>
    <w:basedOn w:val="1"/>
    <w:link w:val="9"/>
    <w:uiPriority w:val="99"/>
    <w:pPr>
      <w:tabs>
        <w:tab w:val="center" w:pos="4153"/>
        <w:tab w:val="right" w:pos="8306"/>
      </w:tabs>
      <w:snapToGrid w:val="0"/>
      <w:jc w:val="left"/>
    </w:pPr>
    <w:rPr>
      <w:sz w:val="18"/>
      <w:szCs w:val="18"/>
    </w:rPr>
  </w:style>
  <w:style w:type="paragraph" w:styleId="3">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uiPriority w:val="0"/>
    <w:pPr>
      <w:spacing w:beforeAutospacing="1" w:afterAutospacing="1"/>
      <w:jc w:val="left"/>
    </w:pPr>
    <w:rPr>
      <w:rFonts w:cs="Times New Roman"/>
      <w:kern w:val="0"/>
      <w:sz w:val="24"/>
    </w:rPr>
  </w:style>
  <w:style w:type="character" w:styleId="7">
    <w:name w:val="Hyperlink"/>
    <w:basedOn w:val="6"/>
    <w:qFormat/>
    <w:uiPriority w:val="0"/>
    <w:rPr>
      <w:color w:val="0000FF"/>
      <w:u w:val="single"/>
    </w:rPr>
  </w:style>
  <w:style w:type="character" w:customStyle="1" w:styleId="8">
    <w:name w:val="页眉 Char"/>
    <w:basedOn w:val="6"/>
    <w:link w:val="3"/>
    <w:qFormat/>
    <w:uiPriority w:val="0"/>
    <w:rPr>
      <w:rFonts w:eastAsia="仿宋" w:cs="仿宋" w:asciiTheme="minorHAnsi" w:hAnsiTheme="minorHAnsi"/>
      <w:b/>
      <w:bCs/>
      <w:color w:val="000000" w:themeColor="text1"/>
      <w:kern w:val="2"/>
      <w:sz w:val="18"/>
      <w:szCs w:val="18"/>
      <w14:textFill>
        <w14:solidFill>
          <w14:schemeClr w14:val="tx1"/>
        </w14:solidFill>
      </w14:textFill>
    </w:rPr>
  </w:style>
  <w:style w:type="character" w:customStyle="1" w:styleId="9">
    <w:name w:val="页脚 Char"/>
    <w:basedOn w:val="6"/>
    <w:link w:val="2"/>
    <w:uiPriority w:val="99"/>
    <w:rPr>
      <w:rFonts w:eastAsia="仿宋" w:cs="仿宋" w:asciiTheme="minorHAnsi" w:hAnsiTheme="minorHAnsi"/>
      <w:b/>
      <w:bCs/>
      <w:color w:val="000000" w:themeColor="text1"/>
      <w:kern w:val="2"/>
      <w:sz w:val="18"/>
      <w:szCs w:val="18"/>
      <w14:textFill>
        <w14:solidFill>
          <w14:schemeClr w14:val="tx1"/>
        </w14:solidFill>
      </w14:textFill>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7</Pages>
  <Words>3055</Words>
  <Characters>3278</Characters>
  <Lines>23</Lines>
  <Paragraphs>6</Paragraphs>
  <TotalTime>137</TotalTime>
  <ScaleCrop>false</ScaleCrop>
  <LinksUpToDate>false</LinksUpToDate>
  <CharactersWithSpaces>3313</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2024-03-20T23:36:00Z</dcterms:created>
  <dc:creator>Bella</dc:creator>
  <cp:lastModifiedBy>晓玉</cp:lastModifiedBy>
  <dcterms:modified xsi:type="dcterms:W3CDTF">2024-06-20T07:18:24Z</dcterms:modified>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28CC02B294F050C3A03B7266B275439E_43</vt:lpwstr>
  </property>
</Properties>
</file>