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36"/>
          <w:szCs w:val="36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6"/>
          <w:szCs w:val="36"/>
          <w:lang w:eastAsia="zh-CN"/>
        </w:rPr>
        <w:t>广安涌泉房地产开发有限公司第一次债权人会议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6"/>
          <w:szCs w:val="36"/>
        </w:rPr>
        <w:t>会议</w:t>
      </w:r>
      <w:r>
        <w:rPr>
          <w:rFonts w:hint="default" w:ascii="Times New Roman" w:hAnsi="Times New Roman" w:eastAsia="方正仿宋_GBK" w:cs="Times New Roman"/>
          <w:b/>
          <w:bCs/>
          <w:sz w:val="36"/>
          <w:szCs w:val="36"/>
          <w:lang w:val="en-US" w:eastAsia="zh-CN"/>
        </w:rPr>
        <w:t>须知及指引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致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广安涌泉房地产开发有限公司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债权人：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66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u w:val="none"/>
          <w:shd w:val="clear" w:color="auto" w:fill="auto"/>
          <w:lang w:val="en-US" w:eastAsia="zh-CN" w:bidi="ar-SA"/>
        </w:rPr>
        <w:t>广安涌泉房地产开发有限公司（以下简称涌泉公司）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atLeast"/>
        <w:ind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重整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第一次债权人会议定于202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日上午9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点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“阿里破产管理平台”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（无需下载）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14:textFill>
            <w14:solidFill>
              <w14:schemeClr w14:val="tx1"/>
            </w14:solidFill>
          </w14:textFill>
        </w:rPr>
        <w:t>召开，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召开形式为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网络直播会议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管理人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已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日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通过全国企业破产信息重整网发布公告、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短信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及微信群聊等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方式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告知各债权人会议时间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、地点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和方式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。为了确保债权人能够顺利参加债权人会议，充分行使权利，特制定本会议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须知及指引，将会议相关事项告知如下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  <w:t>一、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lang w:val="en-US" w:eastAsia="zh-CN"/>
        </w:rPr>
        <w:t>会议时间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0000FF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月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日（星期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四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上午9:00-12:00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  <w:t>二、召开形式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会议采取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网络直播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会议的形式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在“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阿里破产管理平台”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（无需下载）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14:textFill>
            <w14:solidFill>
              <w14:schemeClr w14:val="tx1"/>
            </w14:solidFill>
          </w14:textFill>
        </w:rPr>
        <w:t>召开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</w:rPr>
        <w:t>三、会议议程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（一）合议庭介绍案件基本情况；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0"/>
          <w:sz w:val="33"/>
          <w:szCs w:val="33"/>
          <w:shd w:val="clear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（二）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指定债权人会议主席；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0"/>
          <w:sz w:val="33"/>
          <w:szCs w:val="33"/>
          <w:shd w:val="clear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（三）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选举债权人委员会委员候选人；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0"/>
          <w:sz w:val="33"/>
          <w:szCs w:val="33"/>
          <w:shd w:val="clear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（四）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管理人作阶段性工作报告；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0"/>
          <w:sz w:val="33"/>
          <w:szCs w:val="33"/>
          <w:shd w:val="clear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（五）</w:t>
      </w:r>
      <w:r>
        <w:rPr>
          <w:rFonts w:hint="eastAsia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审议并表决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债务人财产管理方案；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0"/>
          <w:sz w:val="33"/>
          <w:szCs w:val="33"/>
          <w:shd w:val="clear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（六）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提请债权人会议核查债权；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（七）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审议并表决债权人会议召开形式议案；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"/>
        </w:rPr>
        <w:t>（八）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"/>
        </w:rPr>
        <w:t>审议并表决重整计划（草案）。</w:t>
      </w:r>
    </w:p>
    <w:p>
      <w:pPr>
        <w:widowControl w:val="0"/>
        <w:snapToGrid/>
        <w:spacing w:beforeAutospacing="0" w:after="0" w:afterAutospacing="0"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特别说明：</w:t>
      </w:r>
    </w:p>
    <w:p>
      <w:pPr>
        <w:widowControl w:val="0"/>
        <w:numPr>
          <w:ilvl w:val="-1"/>
          <w:numId w:val="0"/>
        </w:numPr>
        <w:snapToGrid/>
        <w:spacing w:beforeAutospacing="0" w:after="0" w:afterAutospacing="0" w:line="590" w:lineRule="exact"/>
        <w:ind w:firstLine="660" w:firstLineChars="200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1.为节约会议成本，管理人将在会议召开前将会议资料上传至广安天下</w:t>
      </w: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－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重整债权人</w:t>
      </w:r>
      <w:r>
        <w:rPr>
          <w:rFonts w:hint="default" w:ascii="Times New Roman" w:hAnsi="Times New Roman" w:eastAsia="方正仿宋_GBK" w:cs="Times New Roman"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微信群聊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，债权人可自行下载查看；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after="0"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2.本次债权人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会议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需对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eastAsia="zh-CN"/>
        </w:rPr>
        <w:t>《关于债权人委员会成员候选人及推荐》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《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债务人财产管理方案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》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u w:val="none"/>
          <w:lang w:val="en-US" w:eastAsia="zh-CN" w:bidi="ar-SA"/>
        </w:rPr>
        <w:t>《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u w:val="none"/>
          <w:lang w:bidi="ar-SA"/>
        </w:rPr>
        <w:t>关于债权人会议召开形式的议案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u w:val="none"/>
          <w:lang w:eastAsia="zh-CN" w:bidi="ar-SA"/>
        </w:rPr>
        <w:t>》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《重整计划》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草案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进行表决。同时，由于本次表决事项中的《重整计划》（草案）系依据预重整期间形成的《重组协议》制定的，相较于《重组协议》未发生实质性改变，因此已经表决同意《重组协议》的债权人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不再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表决。</w:t>
      </w:r>
    </w:p>
    <w:p>
      <w:pPr>
        <w:ind w:firstLine="663" w:firstLineChars="200"/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但权益受到调整或者影响或</w:t>
      </w:r>
      <w:r>
        <w:rPr>
          <w:rFonts w:hint="eastAsia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预重整期间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表决反对《重组协议》的债权人，可以对本次《重整计划》（草案）进行表决。</w:t>
      </w:r>
    </w:p>
    <w:p>
      <w:pPr>
        <w:ind w:firstLine="663" w:firstLineChars="200"/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  <w:t>注：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  <w:t>如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  <w:t>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  <w:t>进入投票界面后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eastAsia="zh-CN"/>
        </w:rPr>
        <w:t>没有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  <w:t>《重整计划》（草案）的表决事项，证明您已在预重整期间表决同意《重组协议》本次不再对《重整计划》（草案）表决；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  <w:t>如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  <w:t>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  <w:t>进入投票界面后显示无权投票，请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  <w:lang w:val="en-US" w:eastAsia="zh-CN"/>
        </w:rPr>
        <w:t>向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shd w:val="clear" w:color="auto" w:fill="auto"/>
        </w:rPr>
        <w:t>管理人确认是否开放了投票通道以及自己是否享有表决权。</w:t>
      </w:r>
    </w:p>
    <w:p>
      <w:pPr>
        <w:widowControl w:val="0"/>
        <w:numPr>
          <w:ilvl w:val="0"/>
          <w:numId w:val="0"/>
        </w:numPr>
        <w:snapToGrid/>
        <w:spacing w:beforeAutospacing="0" w:after="0" w:afterAutospacing="0"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u w:val="none"/>
          <w:shd w:val="clear" w:color="auto" w:fill="auto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.表决应在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u w:val="none"/>
          <w:lang w:val="en-US" w:eastAsia="zh-CN"/>
          <w14:textFill>
            <w14:solidFill>
              <w14:schemeClr w14:val="tx1"/>
            </w14:solidFill>
          </w14:textFill>
        </w:rPr>
        <w:t>“阿里破产管理平台”上进行，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3"/>
          <w:szCs w:val="33"/>
          <w:highlight w:val="none"/>
          <w:u w:val="none"/>
          <w:shd w:val="clear" w:color="auto" w:fill="auto"/>
        </w:rPr>
        <w:t>投票结果一旦提交无法修改和撤回，请谨慎提交。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u w:val="none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</w:rPr>
        <w:t>债权人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  <w:lang w:val="en-US" w:eastAsia="zh-CN"/>
        </w:rPr>
        <w:t>务必</w:t>
      </w: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u w:val="none"/>
        </w:rPr>
        <w:t>在</w:t>
      </w:r>
      <w:r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</w:rPr>
        <w:t>202</w:t>
      </w:r>
      <w:r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 w:cs="Times New Roman"/>
          <w:b/>
          <w:bCs/>
          <w:color w:val="FF0000"/>
          <w:sz w:val="33"/>
          <w:szCs w:val="33"/>
          <w:u w:val="none"/>
          <w:lang w:val="en-US" w:eastAsia="zh-CN"/>
        </w:rPr>
        <w:t>6月17日</w:t>
      </w:r>
      <w:r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</w:rPr>
        <w:t>18时前</w:t>
      </w:r>
      <w:r>
        <w:rPr>
          <w:rFonts w:hint="default" w:ascii="Times New Roman" w:hAnsi="Times New Roman" w:eastAsia="方正仿宋_GBK" w:cs="Times New Roman"/>
          <w:b/>
          <w:bCs/>
          <w:color w:val="FF0000"/>
          <w:sz w:val="33"/>
          <w:szCs w:val="33"/>
          <w:u w:val="none"/>
          <w:lang w:val="en-US" w:eastAsia="zh-CN"/>
        </w:rPr>
        <w:t>表决完毕。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3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3"/>
          <w:szCs w:val="33"/>
          <w:lang w:val="en-US" w:eastAsia="zh-CN"/>
        </w:rPr>
        <w:t>四、异议表达</w:t>
      </w:r>
    </w:p>
    <w:p>
      <w:pPr>
        <w:pStyle w:val="12"/>
        <w:widowControl/>
        <w:numPr>
          <w:ilvl w:val="0"/>
          <w:numId w:val="1"/>
        </w:numPr>
        <w:snapToGrid w:val="0"/>
        <w:spacing w:beforeAutospacing="0" w:after="0" w:afterAutospacing="0"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债权异议的表达</w:t>
      </w:r>
      <w:bookmarkStart w:id="0" w:name="_GoBack"/>
      <w:bookmarkEnd w:id="0"/>
    </w:p>
    <w:p>
      <w:pPr>
        <w:pStyle w:val="12"/>
        <w:widowControl/>
        <w:numPr>
          <w:ilvl w:val="-1"/>
          <w:numId w:val="0"/>
        </w:numPr>
        <w:snapToGrid w:val="0"/>
        <w:spacing w:beforeAutospacing="0" w:after="0" w:afterAutospacing="0" w:line="590" w:lineRule="exact"/>
        <w:ind w:leftChars="0" w:firstLine="660" w:firstLineChars="200"/>
        <w:rPr>
          <w:rFonts w:hint="default" w:ascii="Times New Roman" w:hAnsi="Times New Roman" w:eastAsia="方正仿宋_GBK" w:cs="Times New Roman"/>
          <w:kern w:val="2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bidi="ar-SA"/>
        </w:rPr>
        <w:t>根据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eastAsia="zh-CN" w:bidi="ar-SA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bidi="ar-SA"/>
        </w:rPr>
        <w:t>最高人民法院关于适用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eastAsia="zh-CN" w:bidi="ar-SA"/>
        </w:rPr>
        <w:t>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bidi="ar-SA"/>
        </w:rPr>
        <w:t>中华人民共和国企业破产法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eastAsia="zh-CN" w:bidi="ar-SA"/>
        </w:rPr>
        <w:t>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bidi="ar-SA"/>
        </w:rPr>
        <w:t>若干问题的规定（三）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kern w:val="2"/>
          <w:sz w:val="33"/>
          <w:szCs w:val="33"/>
          <w:shd w:val="clear"/>
          <w:lang w:eastAsia="zh-CN" w:bidi="ar-SA"/>
        </w:rPr>
        <w:t>》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bidi="ar-SA"/>
        </w:rPr>
        <w:t>第八条之规定，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val="en-US" w:eastAsia="zh-CN" w:bidi="ar-SA"/>
        </w:rPr>
        <w:t>债务人、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bidi="ar-SA"/>
        </w:rPr>
        <w:t>债权人对本次公示的债权表记载的债权（包括债权人自己的债权，也包括其他所有债权人的债权）有异议的，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2"/>
          <w:sz w:val="33"/>
          <w:szCs w:val="33"/>
          <w:shd w:val="clear"/>
          <w:lang w:bidi="ar-SA"/>
        </w:rPr>
        <w:t>应当说明理由和法律依据。经管理人解释或调整后，异议人仍然不服的，或者管理人不予解释或调整的，异议人应当在债权人会议核查结束后十五日内向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2"/>
          <w:sz w:val="33"/>
          <w:szCs w:val="33"/>
          <w:shd w:val="clear"/>
          <w:lang w:val="en-US" w:eastAsia="zh-CN" w:bidi="ar-SA"/>
        </w:rPr>
        <w:t>广安市中级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spacing w:val="0"/>
          <w:kern w:val="2"/>
          <w:sz w:val="33"/>
          <w:szCs w:val="33"/>
          <w:shd w:val="clear"/>
          <w:lang w:bidi="ar-SA"/>
        </w:rPr>
        <w:t>人民法院提起债权确认的诉讼</w:t>
      </w:r>
      <w:r>
        <w:rPr>
          <w:rFonts w:hint="default" w:ascii="Times New Roman" w:hAnsi="Times New Roman" w:eastAsia="方正仿宋_GBK" w:cs="Times New Roman"/>
          <w:kern w:val="2"/>
          <w:sz w:val="33"/>
          <w:szCs w:val="33"/>
          <w:lang w:bidi="ar-SA"/>
        </w:rPr>
        <w:t>。</w:t>
      </w:r>
    </w:p>
    <w:p>
      <w:pPr>
        <w:numPr>
          <w:ilvl w:val="0"/>
          <w:numId w:val="1"/>
        </w:numPr>
        <w:spacing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其他异议表达</w:t>
      </w:r>
    </w:p>
    <w:p>
      <w:pPr>
        <w:numPr>
          <w:ilvl w:val="-1"/>
          <w:numId w:val="0"/>
        </w:numPr>
        <w:spacing w:line="590" w:lineRule="exact"/>
        <w:ind w:firstLine="663" w:firstLineChars="200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若您对本次会议程序、债权审查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重整计划草案等会议资料载明的内容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有疑问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Hans"/>
        </w:rPr>
        <w:t>或异议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的，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可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Hans"/>
        </w:rPr>
        <w:t>以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书面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Hans"/>
        </w:rPr>
        <w:t>形式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向管理人提出，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管理人将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Hans"/>
        </w:rPr>
        <w:t>及时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回复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。书面异议提交方式有以下两种：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1.书面邮寄给管理人，管理人收件地址为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</w:rPr>
        <w:t>四川省广安市广安区广宁北路172号四川瀛络律师事务所三楼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收件人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张先兰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</w:rPr>
        <w:t>；联系电话：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15700307475；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2.前往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</w:rPr>
        <w:t>四川省广安市广安区广宁北路172号四川瀛络律师事务所三楼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现场提交，联系人：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张先兰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，联系电话：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15700307475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；联系人：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丰霞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</w:rPr>
        <w:t>；联系电话：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17340334363。</w:t>
      </w:r>
    </w:p>
    <w:p>
      <w:pP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br w:type="page"/>
      </w:r>
    </w:p>
    <w:p>
      <w:pPr>
        <w:pStyle w:val="6"/>
        <w:numPr>
          <w:ilvl w:val="0"/>
          <w:numId w:val="2"/>
        </w:numPr>
        <w:spacing w:before="120" w:after="120" w:line="377" w:lineRule="auto"/>
        <w:ind w:left="0" w:firstLine="663" w:firstLineChars="200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会议操作指引</w:t>
      </w:r>
    </w:p>
    <w:p>
      <w:pPr>
        <w:pStyle w:val="6"/>
        <w:widowControl/>
        <w:numPr>
          <w:ilvl w:val="0"/>
          <w:numId w:val="0"/>
        </w:numPr>
        <w:spacing w:before="120" w:after="120" w:line="377" w:lineRule="auto"/>
        <w:ind w:firstLine="663" w:firstLineChars="200"/>
        <w:jc w:val="both"/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3"/>
          <w:szCs w:val="33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会议当天收看会议直播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  <w:t>会议当天您将收到一条短信，点击短信收到的会议链接进入登录界面，用之前确认参加债权人会议的电话号码及短信验证码进行登录。进入后先点击会议签到，待会议开始后点击下方进入直播。</w:t>
      </w:r>
    </w:p>
    <w:p>
      <w:pPr>
        <w:pStyle w:val="13"/>
        <w:ind w:left="0" w:leftChars="0" w:firstLine="0" w:firstLineChars="0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position w:val="-211"/>
        </w:rPr>
        <w:drawing>
          <wp:inline distT="0" distB="0" distL="114300" distR="114300">
            <wp:extent cx="5261610" cy="2978785"/>
            <wp:effectExtent l="0" t="0" r="15240" b="12065"/>
            <wp:docPr id="3" name="图片 3" descr="43627d87f2b76814786ff11e788a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627d87f2b76814786ff11e788af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default" w:ascii="Times New Roman" w:hAnsi="Times New Roman" w:eastAsia="方正仿宋_GBK" w:cs="Times New Roman"/>
          <w:b/>
          <w:color w:val="FF0000"/>
          <w:kern w:val="0"/>
          <w:sz w:val="28"/>
          <w:szCs w:val="28"/>
          <w:lang w:val="en-US" w:eastAsia="zh-CN" w:bidi="ar"/>
        </w:rPr>
        <w:t>注意！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  <w:t>无论您是现场参会或者网络参会，本次债权人会议的</w:t>
      </w:r>
      <w:r>
        <w:rPr>
          <w:rFonts w:hint="default" w:ascii="Times New Roman" w:hAnsi="Times New Roman" w:eastAsia="方正仿宋_GBK" w:cs="Times New Roman"/>
          <w:b/>
          <w:color w:val="FF0000"/>
          <w:kern w:val="0"/>
          <w:sz w:val="28"/>
          <w:szCs w:val="28"/>
          <w:lang w:val="en-US" w:eastAsia="zh-CN" w:bidi="ar"/>
        </w:rPr>
        <w:t>签到、表决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  <w:t>等环节，均可点击微信群或短信内的</w:t>
      </w:r>
      <w:r>
        <w:rPr>
          <w:rFonts w:hint="default" w:ascii="Times New Roman" w:hAnsi="Times New Roman" w:eastAsia="方正仿宋_GBK" w:cs="Times New Roman"/>
          <w:b/>
          <w:color w:val="FF0000"/>
          <w:kern w:val="0"/>
          <w:sz w:val="28"/>
          <w:szCs w:val="28"/>
          <w:lang w:val="en-US" w:eastAsia="zh-CN" w:bidi="ar"/>
        </w:rPr>
        <w:t>操作链接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 w:bidi="ar"/>
        </w:rPr>
        <w:t xml:space="preserve">完成。 </w:t>
      </w:r>
    </w:p>
    <w:p>
      <w:pPr>
        <w:widowControl/>
        <w:jc w:val="left"/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br w:type="page"/>
      </w:r>
    </w:p>
    <w:p>
      <w:pPr>
        <w:widowControl/>
        <w:ind w:firstLine="562" w:firstLineChars="200"/>
        <w:jc w:val="both"/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加入会议</w:t>
      </w:r>
    </w:p>
    <w:p>
      <w:pPr>
        <w:keepNext w:val="0"/>
        <w:keepLines w:val="0"/>
        <w:widowControl/>
        <w:suppressLineNumbers w:val="0"/>
        <w:ind w:firstLine="0" w:firstLineChars="0"/>
        <w:jc w:val="both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position w:val="-208"/>
        </w:rPr>
        <w:drawing>
          <wp:inline distT="0" distB="0" distL="114300" distR="114300">
            <wp:extent cx="5262245" cy="2921635"/>
            <wp:effectExtent l="0" t="0" r="14605" b="12065"/>
            <wp:docPr id="4" name="图片 4" descr="5d652aa49867949806493903762d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d652aa49867949806493903762d5d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0" w:firstLineChars="0"/>
        <w:jc w:val="left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position w:val="-189"/>
        </w:rPr>
        <w:drawing>
          <wp:inline distT="0" distB="0" distL="114300" distR="114300">
            <wp:extent cx="5266690" cy="2663825"/>
            <wp:effectExtent l="0" t="0" r="10160" b="3175"/>
            <wp:docPr id="2" name="图片 2" descr="985791922bb88531a0bf25606ebe3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85791922bb88531a0bf25606ebe38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0"/>
        <w:jc w:val="center"/>
        <w:rPr>
          <w:rFonts w:hint="default" w:ascii="Times New Roman" w:hAnsi="Times New Roman" w:eastAsia="方正仿宋_GBK" w:cs="Times New Roman"/>
        </w:rPr>
      </w:pPr>
    </w:p>
    <w:p>
      <w:pPr>
        <w:spacing w:line="320" w:lineRule="exact"/>
        <w:rPr>
          <w:rFonts w:hint="default" w:ascii="Times New Roman" w:hAnsi="Times New Roman" w:eastAsia="方正仿宋_GBK" w:cs="Times New Roman"/>
          <w:color w:val="C00000"/>
          <w:sz w:val="24"/>
          <w:szCs w:val="28"/>
        </w:rPr>
      </w:pPr>
    </w:p>
    <w:p>
      <w:pPr>
        <w:pStyle w:val="6"/>
        <w:numPr>
          <w:ilvl w:val="0"/>
          <w:numId w:val="0"/>
        </w:numPr>
        <w:spacing w:before="0" w:after="0" w:line="590" w:lineRule="exact"/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（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三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）特别说明</w:t>
      </w:r>
    </w:p>
    <w:p>
      <w:pPr>
        <w:pStyle w:val="21"/>
        <w:numPr>
          <w:ilvl w:val="-1"/>
          <w:numId w:val="0"/>
        </w:numPr>
        <w:snapToGrid w:val="0"/>
        <w:spacing w:line="590" w:lineRule="exact"/>
        <w:ind w:left="0" w:firstLine="66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如果加入会议失败，请尝试后台关闭进程重新加入会议；</w:t>
      </w:r>
    </w:p>
    <w:p>
      <w:pPr>
        <w:pStyle w:val="21"/>
        <w:spacing w:line="59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2.如果直播持续有卡顿，可以尝试切换网络或重新进入会议；</w:t>
      </w:r>
    </w:p>
    <w:p>
      <w:pPr>
        <w:pStyle w:val="21"/>
        <w:spacing w:line="59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3.本次债权人会议直播在2024年6月13日上午9:00正式开始，直播结束时间预计为6月13日上午12:00，投票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截止时间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为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6月17日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下午18:00。为了保障债权人能顺利参加会议，管理人会在2024年6月13日上午8:30打开直播间，届时，债权人可提前进入直播测试。</w:t>
      </w:r>
    </w:p>
    <w:p>
      <w:pPr>
        <w:pStyle w:val="5"/>
        <w:numPr>
          <w:ilvl w:val="-1"/>
          <w:numId w:val="0"/>
        </w:numPr>
        <w:snapToGrid/>
        <w:spacing w:before="0" w:after="0" w:line="590" w:lineRule="exact"/>
        <w:ind w:left="0" w:firstLine="66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4.从2024年6月13日直播会议议程中的表决开始之时，至2024年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6月17日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下午18:00时，此期间的任何时候均可登录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color w:val="000000" w:themeColor="text1"/>
          <w:sz w:val="33"/>
          <w:szCs w:val="33"/>
          <w:lang w:val="en-US" w:eastAsia="zh-CN"/>
          <w14:textFill>
            <w14:solidFill>
              <w14:schemeClr w14:val="tx1"/>
            </w14:solidFill>
          </w14:textFill>
        </w:rPr>
        <w:t>阿里破产管理平台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“投票”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进行投票表决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。</w:t>
      </w:r>
    </w:p>
    <w:p>
      <w:pPr>
        <w:pStyle w:val="5"/>
        <w:numPr>
          <w:ilvl w:val="0"/>
          <w:numId w:val="0"/>
        </w:numPr>
        <w:snapToGrid w:val="0"/>
        <w:spacing w:before="0" w:after="0" w:line="590" w:lineRule="exact"/>
        <w:ind w:left="0" w:firstLine="660" w:firstLineChars="200"/>
        <w:jc w:val="left"/>
        <w:rPr>
          <w:rFonts w:hint="default" w:ascii="Times New Roman" w:hAnsi="Times New Roman" w:eastAsia="方正仿宋_GBK" w:cs="Times New Roman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5.截至2024年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6月17日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下午18:00时，未投票的债权人按未参加本次债权人会议进行表决结果统计，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但在债权人会议召开前已经表决同意《重组协议》的，将计入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重整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第一次债权人会议对《重整计划》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（草案）</w:t>
      </w:r>
      <w:r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  <w:t>表决的人数和金额。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特此通知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0" w:firstLineChars="0"/>
        <w:jc w:val="left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 xml:space="preserve">               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广安涌泉房地产开发有限公司管理人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3960" w:firstLineChars="1200"/>
        <w:jc w:val="left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二〇二四年六月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七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  <w:t>日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0" w:firstLineChars="0"/>
        <w:jc w:val="left"/>
        <w:rPr>
          <w:rFonts w:hint="default" w:ascii="Times New Roman" w:hAnsi="Times New Roman" w:eastAsia="方正仿宋_GBK" w:cs="Times New Roman"/>
          <w:b/>
          <w:bCs/>
          <w:kern w:val="2"/>
          <w:sz w:val="33"/>
          <w:szCs w:val="33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03C63C9-25CE-43DD-8045-E53151E2F81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B962B8"/>
    <w:multiLevelType w:val="singleLevel"/>
    <w:tmpl w:val="6DB962B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AB229D3"/>
    <w:multiLevelType w:val="singleLevel"/>
    <w:tmpl w:val="7AB229D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4Nzc3OWU4MWU3ZjM0Y2I1MDA1NzU1MGQzZGE4N2MifQ=="/>
    <w:docVar w:name="KSO_WPS_MARK_KEY" w:val="a019f744-7f3a-469d-b196-45a9959cd06c"/>
  </w:docVars>
  <w:rsids>
    <w:rsidRoot w:val="0FC65C6F"/>
    <w:rsid w:val="025A4180"/>
    <w:rsid w:val="078579E0"/>
    <w:rsid w:val="090B6155"/>
    <w:rsid w:val="0A6F2DE4"/>
    <w:rsid w:val="0C9B7759"/>
    <w:rsid w:val="0E6B5251"/>
    <w:rsid w:val="0F2A234F"/>
    <w:rsid w:val="0F501F02"/>
    <w:rsid w:val="0FC65C6F"/>
    <w:rsid w:val="10A65B52"/>
    <w:rsid w:val="14E33DC5"/>
    <w:rsid w:val="15FE58E2"/>
    <w:rsid w:val="192A37C4"/>
    <w:rsid w:val="19AC6FCD"/>
    <w:rsid w:val="1C9545E4"/>
    <w:rsid w:val="210E5863"/>
    <w:rsid w:val="22D14585"/>
    <w:rsid w:val="22D92798"/>
    <w:rsid w:val="23801627"/>
    <w:rsid w:val="2393640A"/>
    <w:rsid w:val="261840F0"/>
    <w:rsid w:val="26742399"/>
    <w:rsid w:val="2772243C"/>
    <w:rsid w:val="2BC25ADE"/>
    <w:rsid w:val="2D592BAC"/>
    <w:rsid w:val="2F77594D"/>
    <w:rsid w:val="33E10E86"/>
    <w:rsid w:val="3448050F"/>
    <w:rsid w:val="3CEA6C43"/>
    <w:rsid w:val="3F087CFF"/>
    <w:rsid w:val="3FE866D8"/>
    <w:rsid w:val="417B0A96"/>
    <w:rsid w:val="451959F3"/>
    <w:rsid w:val="46E75AC1"/>
    <w:rsid w:val="488D2CD5"/>
    <w:rsid w:val="4DFA16D8"/>
    <w:rsid w:val="4FB82BD0"/>
    <w:rsid w:val="51E914C2"/>
    <w:rsid w:val="56C40CF5"/>
    <w:rsid w:val="57B84E72"/>
    <w:rsid w:val="59D62B04"/>
    <w:rsid w:val="59DA2CC0"/>
    <w:rsid w:val="65574524"/>
    <w:rsid w:val="670E2A4E"/>
    <w:rsid w:val="673D0830"/>
    <w:rsid w:val="68351F46"/>
    <w:rsid w:val="69D837FB"/>
    <w:rsid w:val="77030187"/>
    <w:rsid w:val="77D34336"/>
    <w:rsid w:val="7C8E5E60"/>
    <w:rsid w:val="7D4B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spacing w:before="340" w:after="330" w:line="590" w:lineRule="exact"/>
      <w:outlineLvl w:val="0"/>
    </w:pPr>
    <w:rPr>
      <w:rFonts w:asciiTheme="minorAscii" w:hAnsiTheme="minorAscii"/>
      <w:b/>
      <w:bCs/>
      <w:kern w:val="44"/>
      <w:sz w:val="33"/>
      <w:szCs w:val="44"/>
    </w:rPr>
  </w:style>
  <w:style w:type="paragraph" w:styleId="4">
    <w:name w:val="heading 2"/>
    <w:basedOn w:val="1"/>
    <w:next w:val="1"/>
    <w:link w:val="19"/>
    <w:semiHidden/>
    <w:unhideWhenUsed/>
    <w:qFormat/>
    <w:uiPriority w:val="0"/>
    <w:pPr>
      <w:keepNext/>
      <w:keepLines/>
      <w:spacing w:before="260" w:after="260" w:line="590" w:lineRule="exact"/>
      <w:outlineLvl w:val="1"/>
    </w:pPr>
    <w:rPr>
      <w:rFonts w:eastAsia="方正大黑体_GBK" w:asciiTheme="majorAscii" w:hAnsiTheme="majorAscii" w:cstheme="majorBidi"/>
      <w:b/>
      <w:bCs/>
      <w:sz w:val="33"/>
      <w:szCs w:val="32"/>
    </w:rPr>
  </w:style>
  <w:style w:type="paragraph" w:styleId="5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590" w:lineRule="exact"/>
      <w:ind w:firstLine="880" w:firstLineChars="200"/>
      <w:outlineLvl w:val="2"/>
    </w:pPr>
    <w:rPr>
      <w:rFonts w:eastAsia="方正楷体_GBK" w:asciiTheme="minorAscii" w:hAnsiTheme="minorAscii"/>
      <w:b/>
      <w:bCs/>
      <w:sz w:val="33"/>
      <w:szCs w:val="32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7">
    <w:name w:val="annotation text"/>
    <w:basedOn w:val="1"/>
    <w:semiHidden/>
    <w:unhideWhenUsed/>
    <w:qFormat/>
    <w:uiPriority w:val="99"/>
    <w:pPr>
      <w:jc w:val="left"/>
    </w:pPr>
  </w:style>
  <w:style w:type="paragraph" w:styleId="8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9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10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 2"/>
    <w:basedOn w:val="9"/>
    <w:unhideWhenUsed/>
    <w:qFormat/>
    <w:uiPriority w:val="99"/>
    <w:pPr>
      <w:ind w:firstLine="420" w:firstLine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0"/>
    <w:rPr>
      <w:color w:val="0000FF"/>
      <w:u w:val="single"/>
    </w:rPr>
  </w:style>
  <w:style w:type="character" w:customStyle="1" w:styleId="18">
    <w:name w:val="标题 1 Char"/>
    <w:basedOn w:val="16"/>
    <w:link w:val="3"/>
    <w:qFormat/>
    <w:uiPriority w:val="9"/>
    <w:rPr>
      <w:rFonts w:asciiTheme="minorAscii" w:hAnsiTheme="minorAscii" w:eastAsiaTheme="minorEastAsia"/>
      <w:b/>
      <w:bCs/>
      <w:kern w:val="44"/>
      <w:sz w:val="33"/>
      <w:szCs w:val="44"/>
    </w:rPr>
  </w:style>
  <w:style w:type="character" w:customStyle="1" w:styleId="19">
    <w:name w:val="标题 2 Char"/>
    <w:basedOn w:val="16"/>
    <w:link w:val="4"/>
    <w:qFormat/>
    <w:uiPriority w:val="9"/>
    <w:rPr>
      <w:rFonts w:eastAsia="方正大黑体_GBK" w:asciiTheme="majorAscii" w:hAnsiTheme="majorAscii" w:cstheme="majorBidi"/>
      <w:b/>
      <w:bCs/>
      <w:sz w:val="33"/>
      <w:szCs w:val="32"/>
    </w:rPr>
  </w:style>
  <w:style w:type="character" w:customStyle="1" w:styleId="20">
    <w:name w:val="标题 3 Char"/>
    <w:basedOn w:val="16"/>
    <w:link w:val="5"/>
    <w:qFormat/>
    <w:uiPriority w:val="9"/>
    <w:rPr>
      <w:rFonts w:eastAsia="方正楷体_GBK" w:asciiTheme="minorAscii" w:hAnsiTheme="minorAscii"/>
      <w:b/>
      <w:bCs/>
      <w:sz w:val="33"/>
      <w:szCs w:val="32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1803</Words>
  <Characters>1917</Characters>
  <Lines>0</Lines>
  <Paragraphs>0</Paragraphs>
  <TotalTime>23</TotalTime>
  <ScaleCrop>false</ScaleCrop>
  <LinksUpToDate>false</LinksUpToDate>
  <CharactersWithSpaces>1937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2022-03-16T06:24:00Z</dcterms:created>
  <dc:creator>Тαттоо</dc:creator>
  <cp:lastModifiedBy>非诉部</cp:lastModifiedBy>
  <cp:lastPrinted>2023-03-01T01:27:00Z</cp:lastPrinted>
  <dcterms:modified xsi:type="dcterms:W3CDTF">2024-06-07T09:28:13Z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41F5540FE2C64D7EB5609933C36ECA22_13</vt:lpwstr>
  </property>
</Properties>
</file>