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146" w:right="1587" w:hanging="1541"/>
        <w:spacing w:before="136" w:line="251" w:lineRule="auto"/>
        <w:outlineLvl w:val="0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40"/>
          <w:szCs w:val="40"/>
          <w:b/>
          <w:bCs/>
          <w:spacing w:val="33"/>
        </w:rPr>
        <w:t>福建省漳州市龙海区人民法院</w:t>
      </w:r>
      <w:r>
        <w:rPr>
          <w:rFonts w:ascii="SimSun" w:hAnsi="SimSun" w:eastAsia="SimSun" w:cs="SimSun"/>
          <w:sz w:val="40"/>
          <w:szCs w:val="40"/>
          <w:spacing w:val="7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8"/>
        </w:rPr>
        <w:t>民事裁定书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ind w:left="5610"/>
        <w:spacing w:before="104"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32"/>
        </w:rPr>
        <w:t>(2024)闽0681破4号</w:t>
      </w:r>
    </w:p>
    <w:p>
      <w:pPr>
        <w:spacing w:line="364" w:lineRule="auto"/>
        <w:rPr>
          <w:rFonts w:ascii="Arial"/>
          <w:sz w:val="21"/>
        </w:rPr>
      </w:pPr>
      <w:r/>
    </w:p>
    <w:p>
      <w:pPr>
        <w:pStyle w:val="BodyText"/>
        <w:ind w:left="629"/>
        <w:spacing w:before="104" w:line="434" w:lineRule="exact"/>
        <w:rPr/>
      </w:pPr>
      <w:r>
        <w:rPr>
          <w:spacing w:val="-6"/>
          <w:position w:val="7"/>
        </w:rPr>
        <w:t>申请人：漳州道道兴物流有限公司管理人。</w:t>
      </w:r>
    </w:p>
    <w:p>
      <w:pPr>
        <w:pStyle w:val="BodyText"/>
        <w:ind w:left="629"/>
        <w:spacing w:line="222" w:lineRule="auto"/>
        <w:rPr/>
      </w:pPr>
      <w:r>
        <w:rPr>
          <w:spacing w:val="-4"/>
        </w:rPr>
        <w:t>代表人：章慧星，管理人团队负责人。</w:t>
      </w:r>
    </w:p>
    <w:p>
      <w:pPr>
        <w:pStyle w:val="BodyText"/>
        <w:ind w:right="62" w:firstLine="629"/>
        <w:spacing w:before="19" w:line="239" w:lineRule="auto"/>
        <w:jc w:val="both"/>
        <w:rPr/>
      </w:pPr>
      <w:r>
        <w:rPr>
          <w:spacing w:val="12"/>
        </w:rPr>
        <w:t>2024年4月10日，漳州市中级人民法院根据龙海市鸿源石</w:t>
      </w:r>
      <w:r>
        <w:rPr>
          <w:spacing w:val="9"/>
        </w:rPr>
        <w:t xml:space="preserve"> </w:t>
      </w:r>
      <w:r>
        <w:rPr>
          <w:spacing w:val="-5"/>
        </w:rPr>
        <w:t>油制品有限公司内丁加油站的申请，裁定受理漳州道道兴物流有</w:t>
      </w:r>
      <w:r>
        <w:rPr>
          <w:spacing w:val="1"/>
        </w:rPr>
        <w:t xml:space="preserve"> </w:t>
      </w:r>
      <w:r>
        <w:rPr>
          <w:spacing w:val="10"/>
        </w:rPr>
        <w:t>限公司破产清算一案并指定本院审理。本院于2</w:t>
      </w:r>
      <w:r>
        <w:rPr>
          <w:spacing w:val="9"/>
        </w:rPr>
        <w:t>024年4月22日</w:t>
      </w:r>
      <w:r>
        <w:rPr/>
        <w:t xml:space="preserve"> </w:t>
      </w:r>
      <w:r>
        <w:rPr>
          <w:spacing w:val="-6"/>
        </w:rPr>
        <w:t>立案，并指定福建方圆人律师事务所为漳州道道兴物流有限公司</w:t>
      </w:r>
      <w:r>
        <w:rPr/>
        <w:t xml:space="preserve"> </w:t>
      </w:r>
      <w:r>
        <w:rPr>
          <w:spacing w:val="11"/>
        </w:rPr>
        <w:t>管理人。2024年6月11日，申请人请求本院裁定确认漳州道道</w:t>
      </w:r>
      <w:r>
        <w:rPr>
          <w:spacing w:val="1"/>
        </w:rPr>
        <w:t xml:space="preserve"> </w:t>
      </w:r>
      <w:r>
        <w:rPr>
          <w:spacing w:val="-5"/>
        </w:rPr>
        <w:t>兴物流有限公司债权表记载的债权。</w:t>
      </w:r>
    </w:p>
    <w:p>
      <w:pPr>
        <w:pStyle w:val="BodyText"/>
        <w:ind w:right="73" w:firstLine="629"/>
        <w:spacing w:before="36" w:line="235" w:lineRule="auto"/>
        <w:jc w:val="both"/>
        <w:rPr/>
      </w:pPr>
      <w:r>
        <w:rPr>
          <w:spacing w:val="18"/>
        </w:rPr>
        <w:t>本院查明，截至2024年6月10日，管理人共收到</w:t>
      </w:r>
      <w:r>
        <w:rPr>
          <w:spacing w:val="17"/>
        </w:rPr>
        <w:t>1户债权</w:t>
      </w:r>
      <w:r>
        <w:rPr/>
        <w:t xml:space="preserve"> </w:t>
      </w:r>
      <w:r>
        <w:rPr>
          <w:spacing w:val="10"/>
        </w:rPr>
        <w:t>人申报债权，经审查核定该1户债权人申报的债权额为292307</w:t>
      </w:r>
      <w:r>
        <w:rPr>
          <w:spacing w:val="9"/>
        </w:rPr>
        <w:t xml:space="preserve"> </w:t>
      </w:r>
      <w:r>
        <w:rPr>
          <w:spacing w:val="-3"/>
        </w:rPr>
        <w:t>元。经法定程序，管理人报请确认的债权均已无异议。</w:t>
      </w:r>
    </w:p>
    <w:p>
      <w:pPr>
        <w:pStyle w:val="BodyText"/>
        <w:ind w:right="22" w:firstLine="629"/>
        <w:spacing w:before="47" w:line="238" w:lineRule="auto"/>
        <w:jc w:val="both"/>
        <w:rPr/>
      </w:pPr>
      <w:r>
        <w:rPr>
          <w:spacing w:val="-6"/>
        </w:rPr>
        <w:t>本院认为，经债权人会议核查，未有债务人、债权人对债权</w:t>
      </w:r>
      <w:r>
        <w:rPr>
          <w:spacing w:val="15"/>
        </w:rPr>
        <w:t xml:space="preserve"> </w:t>
      </w:r>
      <w:r>
        <w:rPr>
          <w:spacing w:val="-6"/>
        </w:rPr>
        <w:t>表记载的债权提出异议。漳州道道兴物流有限公司管理人申请本</w:t>
      </w:r>
      <w:r>
        <w:rPr>
          <w:spacing w:val="16"/>
        </w:rPr>
        <w:t xml:space="preserve"> </w:t>
      </w:r>
      <w:r>
        <w:rPr>
          <w:spacing w:val="-5"/>
        </w:rPr>
        <w:t>院对该债权表记载的债权进行确认，符合法律规</w:t>
      </w:r>
      <w:r>
        <w:rPr>
          <w:spacing w:val="-6"/>
        </w:rPr>
        <w:t>定。依照《中华</w:t>
      </w:r>
      <w:r>
        <w:rPr/>
        <w:t xml:space="preserve"> </w:t>
      </w:r>
      <w:r>
        <w:rPr>
          <w:spacing w:val="-4"/>
        </w:rPr>
        <w:t>人民共和国企业破产法》第五十八条第二款的规定，裁定如下：</w:t>
      </w:r>
    </w:p>
    <w:p>
      <w:pPr>
        <w:pStyle w:val="BodyText"/>
        <w:ind w:left="629"/>
        <w:spacing w:before="52" w:line="233" w:lineRule="auto"/>
        <w:rPr/>
      </w:pPr>
      <w:r>
        <w:rPr>
          <w:spacing w:val="-3"/>
        </w:rPr>
        <w:t>确认漳州道道兴物流有限公司债权人的债权(详见债权表)。</w:t>
      </w:r>
      <w:r>
        <w:rPr>
          <w:spacing w:val="15"/>
        </w:rPr>
        <w:t xml:space="preserve"> </w:t>
      </w:r>
      <w:r>
        <w:rPr>
          <w:spacing w:val="-6"/>
        </w:rPr>
        <w:t>本裁定自即日起生效。</w:t>
      </w:r>
    </w:p>
    <w:p>
      <w:pPr>
        <w:spacing w:line="203" w:lineRule="exact"/>
        <w:rPr/>
      </w:pPr>
      <w:r/>
    </w:p>
    <w:p>
      <w:pPr>
        <w:spacing w:line="203" w:lineRule="exact"/>
        <w:sectPr>
          <w:pgSz w:w="11900" w:h="16830"/>
          <w:pgMar w:top="1430" w:right="1425" w:bottom="0" w:left="1589" w:header="0" w:footer="0" w:gutter="0"/>
          <w:cols w:equalWidth="0" w:num="1">
            <w:col w:w="8886" w:space="0"/>
          </w:cols>
        </w:sectPr>
        <w:rPr/>
      </w:pP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124"/>
        <w:spacing w:before="105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color w:val="0055B7"/>
          <w:spacing w:val="-5"/>
        </w:rPr>
        <w:t>本件与原本核对无异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39"/>
        <w:spacing w:before="158" w:line="201" w:lineRule="auto"/>
        <w:rPr>
          <w:sz w:val="40"/>
          <w:szCs w:val="4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50651</wp:posOffset>
            </wp:positionV>
            <wp:extent cx="1689104" cy="1669958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9104" cy="1669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  <w:szCs w:val="40"/>
          <w:spacing w:val="14"/>
        </w:rPr>
        <w:t>审</w:t>
      </w:r>
      <w:r>
        <w:rPr>
          <w:sz w:val="40"/>
          <w:szCs w:val="40"/>
          <w:spacing w:val="14"/>
        </w:rPr>
        <w:t xml:space="preserve"> </w:t>
      </w:r>
      <w:r>
        <w:rPr>
          <w:sz w:val="40"/>
          <w:szCs w:val="40"/>
          <w:spacing w:val="14"/>
        </w:rPr>
        <w:t>判</w:t>
      </w:r>
      <w:r>
        <w:rPr>
          <w:sz w:val="40"/>
          <w:szCs w:val="40"/>
          <w:spacing w:val="140"/>
        </w:rPr>
        <w:t xml:space="preserve"> </w:t>
      </w:r>
      <w:r>
        <w:rPr>
          <w:sz w:val="40"/>
          <w:szCs w:val="40"/>
          <w:spacing w:val="14"/>
        </w:rPr>
        <w:t>长郑曦旸</w:t>
      </w:r>
    </w:p>
    <w:p>
      <w:pPr>
        <w:pStyle w:val="BodyText"/>
        <w:ind w:left="139"/>
        <w:spacing w:before="1" w:line="198" w:lineRule="auto"/>
        <w:rPr>
          <w:sz w:val="40"/>
          <w:szCs w:val="40"/>
        </w:rPr>
      </w:pPr>
      <w:r>
        <w:rPr>
          <w:sz w:val="40"/>
          <w:szCs w:val="40"/>
          <w:spacing w:val="-36"/>
        </w:rPr>
        <w:t>审</w:t>
      </w:r>
      <w:r>
        <w:rPr>
          <w:sz w:val="40"/>
          <w:szCs w:val="40"/>
          <w:spacing w:val="81"/>
        </w:rPr>
        <w:t xml:space="preserve"> </w:t>
      </w:r>
      <w:r>
        <w:rPr>
          <w:sz w:val="40"/>
          <w:szCs w:val="40"/>
          <w:spacing w:val="-36"/>
        </w:rPr>
        <w:t>判</w:t>
      </w:r>
      <w:r>
        <w:rPr>
          <w:sz w:val="40"/>
          <w:szCs w:val="40"/>
          <w:spacing w:val="-30"/>
        </w:rPr>
        <w:t xml:space="preserve"> </w:t>
      </w:r>
      <w:r>
        <w:rPr>
          <w:sz w:val="40"/>
          <w:szCs w:val="40"/>
          <w:spacing w:val="-36"/>
        </w:rPr>
        <w:t>员</w:t>
      </w:r>
      <w:r>
        <w:rPr>
          <w:sz w:val="40"/>
          <w:szCs w:val="40"/>
          <w:spacing w:val="-58"/>
        </w:rPr>
        <w:t xml:space="preserve"> </w:t>
      </w:r>
      <w:r>
        <w:rPr>
          <w:sz w:val="40"/>
          <w:szCs w:val="40"/>
          <w:spacing w:val="-36"/>
        </w:rPr>
        <w:t>严</w:t>
      </w:r>
      <w:r>
        <w:rPr>
          <w:sz w:val="40"/>
          <w:szCs w:val="40"/>
          <w:spacing w:val="-56"/>
        </w:rPr>
        <w:t xml:space="preserve"> </w:t>
      </w:r>
      <w:r>
        <w:rPr>
          <w:sz w:val="40"/>
          <w:szCs w:val="40"/>
          <w:spacing w:val="-36"/>
        </w:rPr>
        <w:t>美</w:t>
      </w:r>
      <w:r>
        <w:rPr>
          <w:sz w:val="40"/>
          <w:szCs w:val="40"/>
          <w:spacing w:val="-61"/>
        </w:rPr>
        <w:t xml:space="preserve"> </w:t>
      </w:r>
      <w:r>
        <w:rPr>
          <w:sz w:val="40"/>
          <w:szCs w:val="40"/>
          <w:spacing w:val="-36"/>
        </w:rPr>
        <w:t>玲</w:t>
      </w:r>
    </w:p>
    <w:p>
      <w:pPr>
        <w:pStyle w:val="BodyText"/>
        <w:ind w:left="139"/>
        <w:spacing w:before="1" w:line="222" w:lineRule="auto"/>
        <w:rPr>
          <w:sz w:val="40"/>
          <w:szCs w:val="40"/>
        </w:rPr>
      </w:pPr>
      <w:r>
        <w:rPr>
          <w:sz w:val="40"/>
          <w:szCs w:val="40"/>
          <w:spacing w:val="-31"/>
        </w:rPr>
        <w:t>审</w:t>
      </w:r>
      <w:r>
        <w:rPr>
          <w:sz w:val="40"/>
          <w:szCs w:val="40"/>
          <w:spacing w:val="-26"/>
        </w:rPr>
        <w:t xml:space="preserve"> </w:t>
      </w:r>
      <w:r>
        <w:rPr>
          <w:sz w:val="40"/>
          <w:szCs w:val="40"/>
          <w:spacing w:val="-31"/>
        </w:rPr>
        <w:t>判</w:t>
      </w:r>
      <w:r>
        <w:rPr>
          <w:sz w:val="40"/>
          <w:szCs w:val="40"/>
          <w:spacing w:val="-31"/>
        </w:rPr>
        <w:t xml:space="preserve"> </w:t>
      </w:r>
      <w:r>
        <w:rPr>
          <w:sz w:val="40"/>
          <w:szCs w:val="40"/>
          <w:spacing w:val="-31"/>
        </w:rPr>
        <w:t>员</w:t>
      </w:r>
      <w:r>
        <w:rPr>
          <w:sz w:val="40"/>
          <w:szCs w:val="40"/>
          <w:spacing w:val="-31"/>
        </w:rPr>
        <w:t xml:space="preserve"> </w:t>
      </w:r>
      <w:r>
        <w:rPr>
          <w:sz w:val="40"/>
          <w:szCs w:val="40"/>
          <w:spacing w:val="-31"/>
        </w:rPr>
        <w:t>丁</w:t>
      </w:r>
      <w:r>
        <w:rPr>
          <w:sz w:val="40"/>
          <w:szCs w:val="40"/>
          <w:spacing w:val="-31"/>
        </w:rPr>
        <w:t xml:space="preserve"> </w:t>
      </w:r>
      <w:r>
        <w:rPr>
          <w:sz w:val="40"/>
          <w:szCs w:val="40"/>
          <w:spacing w:val="-31"/>
        </w:rPr>
        <w:t>桂</w:t>
      </w:r>
      <w:r>
        <w:rPr>
          <w:sz w:val="40"/>
          <w:szCs w:val="40"/>
          <w:spacing w:val="-35"/>
        </w:rPr>
        <w:t xml:space="preserve"> </w:t>
      </w:r>
      <w:r>
        <w:rPr>
          <w:sz w:val="40"/>
          <w:szCs w:val="40"/>
          <w:spacing w:val="-31"/>
        </w:rPr>
        <w:t>玲</w:t>
      </w:r>
    </w:p>
    <w:p>
      <w:pPr>
        <w:spacing w:line="320" w:lineRule="auto"/>
        <w:rPr>
          <w:rFonts w:ascii="Arial"/>
          <w:sz w:val="21"/>
        </w:rPr>
      </w:pPr>
      <w:r/>
    </w:p>
    <w:p>
      <w:pPr>
        <w:pStyle w:val="BodyText"/>
        <w:spacing w:before="104" w:line="222" w:lineRule="auto"/>
        <w:rPr/>
      </w:pPr>
      <w:r>
        <w:rPr>
          <w:spacing w:val="-3"/>
        </w:rPr>
        <w:t>二○二四年六月十三日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pStyle w:val="BodyText"/>
        <w:ind w:left="139"/>
        <w:spacing w:before="105" w:line="223" w:lineRule="auto"/>
        <w:rPr/>
      </w:pPr>
      <w:r>
        <w:rPr>
          <w:spacing w:val="-15"/>
        </w:rPr>
        <w:t>法</w:t>
      </w:r>
      <w:r>
        <w:rPr>
          <w:spacing w:val="-15"/>
        </w:rPr>
        <w:t xml:space="preserve"> </w:t>
      </w:r>
      <w:r>
        <w:rPr>
          <w:spacing w:val="-15"/>
        </w:rPr>
        <w:t>官</w:t>
      </w:r>
      <w:r>
        <w:rPr>
          <w:spacing w:val="-15"/>
        </w:rPr>
        <w:t xml:space="preserve"> </w:t>
      </w:r>
      <w:r>
        <w:rPr>
          <w:spacing w:val="-15"/>
        </w:rPr>
        <w:t>助</w:t>
      </w:r>
      <w:r>
        <w:rPr>
          <w:spacing w:val="-15"/>
        </w:rPr>
        <w:t xml:space="preserve"> </w:t>
      </w:r>
      <w:r>
        <w:rPr>
          <w:spacing w:val="-15"/>
        </w:rPr>
        <w:t>理</w:t>
      </w:r>
      <w:r>
        <w:rPr>
          <w:spacing w:val="69"/>
        </w:rPr>
        <w:t xml:space="preserve">  </w:t>
      </w:r>
      <w:r>
        <w:rPr>
          <w:spacing w:val="-15"/>
        </w:rPr>
        <w:t>陈宇敏</w:t>
      </w:r>
    </w:p>
    <w:p>
      <w:pPr>
        <w:pStyle w:val="BodyText"/>
        <w:ind w:left="139"/>
        <w:spacing w:before="23" w:line="189" w:lineRule="auto"/>
        <w:rPr/>
      </w:pPr>
      <w:r>
        <w:rPr>
          <w:spacing w:val="-12"/>
        </w:rPr>
        <w:t>书</w:t>
      </w:r>
      <w:r>
        <w:rPr>
          <w:spacing w:val="148"/>
        </w:rPr>
        <w:t xml:space="preserve"> </w:t>
      </w:r>
      <w:r>
        <w:rPr>
          <w:spacing w:val="-12"/>
        </w:rPr>
        <w:t>记</w:t>
      </w:r>
      <w:r>
        <w:rPr>
          <w:spacing w:val="18"/>
        </w:rPr>
        <w:t xml:space="preserve">  </w:t>
      </w:r>
      <w:r>
        <w:rPr>
          <w:spacing w:val="-12"/>
        </w:rPr>
        <w:t>员</w:t>
      </w:r>
      <w:r>
        <w:rPr>
          <w:spacing w:val="9"/>
        </w:rPr>
        <w:t xml:space="preserve">   </w:t>
      </w:r>
      <w:r>
        <w:rPr>
          <w:spacing w:val="-12"/>
        </w:rPr>
        <w:t>李威增</w:t>
      </w:r>
    </w:p>
    <w:p>
      <w:pPr>
        <w:spacing w:line="189" w:lineRule="auto"/>
        <w:sectPr>
          <w:type w:val="continuous"/>
          <w:pgSz w:w="11900" w:h="16830"/>
          <w:pgMar w:top="1430" w:right="1425" w:bottom="0" w:left="1589" w:header="0" w:footer="0" w:gutter="0"/>
          <w:cols w:equalWidth="0" w:num="2">
            <w:col w:w="4471" w:space="100"/>
            <w:col w:w="4315" w:space="0"/>
          </w:cols>
        </w:sectPr>
        <w:rPr/>
      </w:pPr>
    </w:p>
    <w:p>
      <w:pPr>
        <w:pStyle w:val="BodyText"/>
        <w:ind w:left="135"/>
        <w:spacing w:before="176" w:line="220" w:lineRule="auto"/>
        <w:rPr/>
      </w:pPr>
      <w:r>
        <w:rPr>
          <w:spacing w:val="-2"/>
        </w:rPr>
        <w:t>附：漳州道道兴物流有限公司无异议债权表</w:t>
      </w:r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tbl>
      <w:tblPr>
        <w:tblStyle w:val="TableNormal"/>
        <w:tblW w:w="83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44"/>
        <w:gridCol w:w="2137"/>
        <w:gridCol w:w="1388"/>
        <w:gridCol w:w="1928"/>
        <w:gridCol w:w="2072"/>
      </w:tblGrid>
      <w:tr>
        <w:trPr>
          <w:trHeight w:val="1340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115"/>
              <w:spacing w:before="137" w:line="479" w:lineRule="exact"/>
              <w:rPr/>
            </w:pPr>
            <w:r>
              <w:rPr>
                <w:spacing w:val="5"/>
                <w:position w:val="13"/>
              </w:rPr>
              <w:t>债权</w:t>
            </w:r>
          </w:p>
          <w:p>
            <w:pPr>
              <w:pStyle w:val="TableText"/>
              <w:ind w:left="115"/>
              <w:spacing w:line="219" w:lineRule="auto"/>
              <w:rPr/>
            </w:pPr>
            <w:r>
              <w:rPr>
                <w:spacing w:val="9"/>
              </w:rPr>
              <w:t>编号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ind w:left="231"/>
              <w:spacing w:before="137" w:line="473" w:lineRule="exact"/>
              <w:rPr/>
            </w:pPr>
            <w:r>
              <w:rPr>
                <w:spacing w:val="4"/>
                <w:position w:val="12"/>
              </w:rPr>
              <w:t>债权人</w:t>
            </w:r>
          </w:p>
          <w:p>
            <w:pPr>
              <w:pStyle w:val="TableText"/>
              <w:ind w:left="231"/>
              <w:spacing w:line="221" w:lineRule="auto"/>
              <w:rPr/>
            </w:pPr>
            <w:r>
              <w:rPr>
                <w:spacing w:val="7"/>
              </w:rPr>
              <w:t>名称</w:t>
            </w:r>
          </w:p>
        </w:tc>
        <w:tc>
          <w:tcPr>
            <w:tcW w:w="1388" w:type="dxa"/>
            <w:vAlign w:val="top"/>
          </w:tcPr>
          <w:p>
            <w:pPr>
              <w:pStyle w:val="TableText"/>
              <w:ind w:left="93"/>
              <w:spacing w:before="137" w:line="469" w:lineRule="exact"/>
              <w:rPr/>
            </w:pPr>
            <w:r>
              <w:rPr>
                <w:spacing w:val="5"/>
                <w:position w:val="12"/>
              </w:rPr>
              <w:t>债权</w:t>
            </w:r>
          </w:p>
          <w:p>
            <w:pPr>
              <w:pStyle w:val="TableText"/>
              <w:ind w:left="93"/>
              <w:spacing w:line="219" w:lineRule="auto"/>
              <w:rPr/>
            </w:pPr>
            <w:r>
              <w:rPr>
                <w:spacing w:val="9"/>
              </w:rPr>
              <w:t>类型</w:t>
            </w:r>
          </w:p>
        </w:tc>
        <w:tc>
          <w:tcPr>
            <w:tcW w:w="1928" w:type="dxa"/>
            <w:vAlign w:val="top"/>
          </w:tcPr>
          <w:p>
            <w:pPr>
              <w:pStyle w:val="TableText"/>
              <w:ind w:left="135"/>
              <w:spacing w:before="137" w:line="219" w:lineRule="auto"/>
              <w:rPr/>
            </w:pPr>
            <w:r>
              <w:rPr>
                <w:spacing w:val="7"/>
              </w:rPr>
              <w:t>申报</w:t>
            </w:r>
          </w:p>
          <w:p>
            <w:pPr>
              <w:pStyle w:val="TableText"/>
              <w:ind w:left="135"/>
              <w:spacing w:before="154" w:line="219" w:lineRule="auto"/>
              <w:rPr/>
            </w:pPr>
            <w:r>
              <w:rPr>
                <w:spacing w:val="13"/>
              </w:rPr>
              <w:t>金额(元)</w:t>
            </w:r>
          </w:p>
        </w:tc>
        <w:tc>
          <w:tcPr>
            <w:tcW w:w="2072" w:type="dxa"/>
            <w:vAlign w:val="top"/>
          </w:tcPr>
          <w:p>
            <w:pPr>
              <w:pStyle w:val="TableText"/>
              <w:ind w:left="108"/>
              <w:spacing w:before="128" w:line="220" w:lineRule="auto"/>
              <w:rPr/>
            </w:pPr>
            <w:r>
              <w:rPr>
                <w:spacing w:val="9"/>
              </w:rPr>
              <w:t>确定</w:t>
            </w:r>
          </w:p>
          <w:p>
            <w:pPr>
              <w:pStyle w:val="TableText"/>
              <w:ind w:left="108"/>
              <w:spacing w:before="151" w:line="219" w:lineRule="auto"/>
              <w:rPr/>
            </w:pPr>
            <w:r>
              <w:rPr>
                <w:spacing w:val="13"/>
              </w:rPr>
              <w:t>金额(元)</w:t>
            </w:r>
          </w:p>
        </w:tc>
      </w:tr>
      <w:tr>
        <w:trPr>
          <w:trHeight w:val="1440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94"/>
              <w:spacing w:before="263" w:line="184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ind w:left="129" w:right="178" w:hanging="9"/>
              <w:spacing w:before="145" w:line="302" w:lineRule="auto"/>
              <w:jc w:val="both"/>
              <w:rPr/>
            </w:pPr>
            <w:r>
              <w:rPr>
                <w:spacing w:val="2"/>
              </w:rPr>
              <w:t>龙海市鸿源石 </w:t>
            </w:r>
            <w:r>
              <w:rPr>
                <w:spacing w:val="2"/>
              </w:rPr>
              <w:t>油制品有限公</w:t>
            </w:r>
          </w:p>
          <w:p>
            <w:pPr>
              <w:pStyle w:val="TableText"/>
              <w:ind w:left="231"/>
              <w:spacing w:line="186" w:lineRule="auto"/>
              <w:rPr/>
            </w:pPr>
            <w:r>
              <w:rPr>
                <w:spacing w:val="2"/>
              </w:rPr>
              <w:t>司内丁加油站</w:t>
            </w:r>
          </w:p>
        </w:tc>
        <w:tc>
          <w:tcPr>
            <w:tcW w:w="1388" w:type="dxa"/>
            <w:vAlign w:val="top"/>
          </w:tcPr>
          <w:p>
            <w:pPr>
              <w:pStyle w:val="TableText"/>
              <w:ind w:left="93"/>
              <w:spacing w:before="157" w:line="219" w:lineRule="auto"/>
              <w:rPr/>
            </w:pPr>
            <w:r>
              <w:rPr>
                <w:spacing w:val="2"/>
              </w:rPr>
              <w:t>普通债权</w:t>
            </w:r>
          </w:p>
        </w:tc>
        <w:tc>
          <w:tcPr>
            <w:tcW w:w="1928" w:type="dxa"/>
            <w:vAlign w:val="top"/>
          </w:tcPr>
          <w:p>
            <w:pPr>
              <w:pStyle w:val="TableText"/>
              <w:ind w:left="135"/>
              <w:spacing w:before="224" w:line="183" w:lineRule="auto"/>
              <w:rPr/>
            </w:pPr>
            <w:r>
              <w:rPr>
                <w:spacing w:val="-3"/>
              </w:rPr>
              <w:t>292307</w:t>
            </w:r>
          </w:p>
        </w:tc>
        <w:tc>
          <w:tcPr>
            <w:tcW w:w="2072" w:type="dxa"/>
            <w:vAlign w:val="top"/>
          </w:tcPr>
          <w:p>
            <w:pPr>
              <w:pStyle w:val="TableText"/>
              <w:ind w:left="108"/>
              <w:spacing w:before="224" w:line="183" w:lineRule="auto"/>
              <w:rPr/>
            </w:pPr>
            <w:r>
              <w:rPr>
                <w:spacing w:val="-3"/>
              </w:rPr>
              <w:t>292307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30"/>
          <w:pgMar w:top="1430" w:right="1785" w:bottom="0" w:left="152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1351"/>
        <w:spacing w:before="289" w:line="882" w:lineRule="exact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-16"/>
          <w:position w:val="32"/>
        </w:rPr>
        <w:t>福建省漳州市龙海区人民法院</w:t>
      </w:r>
    </w:p>
    <w:p>
      <w:pPr>
        <w:ind w:left="2942"/>
        <w:spacing w:before="1" w:line="218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-14"/>
        </w:rPr>
        <w:t>民事裁定书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pStyle w:val="BodyText"/>
        <w:ind w:right="37"/>
        <w:spacing w:before="104" w:line="224" w:lineRule="auto"/>
        <w:jc w:val="right"/>
        <w:rPr/>
      </w:pPr>
      <w:r>
        <w:rPr>
          <w:spacing w:val="32"/>
        </w:rPr>
        <w:t>(2024)闽0681破4号之一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pStyle w:val="BodyText"/>
        <w:ind w:left="714"/>
        <w:spacing w:before="104" w:line="494" w:lineRule="exact"/>
        <w:rPr/>
      </w:pPr>
      <w:r>
        <w:rPr>
          <w:spacing w:val="-6"/>
          <w:position w:val="12"/>
        </w:rPr>
        <w:t>申请人：漳州道道兴物流有限公司管理人。</w:t>
      </w:r>
    </w:p>
    <w:p>
      <w:pPr>
        <w:pStyle w:val="BodyText"/>
        <w:ind w:left="654"/>
        <w:spacing w:line="222" w:lineRule="auto"/>
        <w:rPr/>
      </w:pPr>
      <w:r>
        <w:rPr>
          <w:spacing w:val="-4"/>
        </w:rPr>
        <w:t>代表人：章慧星，管理人团队负责人。</w:t>
      </w:r>
    </w:p>
    <w:p>
      <w:pPr>
        <w:pStyle w:val="BodyText"/>
        <w:ind w:left="24" w:right="82" w:firstLine="629"/>
        <w:spacing w:before="99" w:line="264" w:lineRule="auto"/>
        <w:rPr/>
      </w:pPr>
      <w:r>
        <w:rPr>
          <w:spacing w:val="18"/>
        </w:rPr>
        <w:t>2024年4月10日，漳州市中级人民法院根据龙海市鸿</w:t>
      </w:r>
      <w:r>
        <w:rPr>
          <w:spacing w:val="8"/>
        </w:rPr>
        <w:t xml:space="preserve"> </w:t>
      </w:r>
      <w:r>
        <w:rPr>
          <w:spacing w:val="-1"/>
        </w:rPr>
        <w:t>源石油制品有限公司内丁加油站的申请，裁定受理漳</w:t>
      </w:r>
      <w:r>
        <w:rPr>
          <w:spacing w:val="-2"/>
        </w:rPr>
        <w:t>州道道</w:t>
      </w:r>
      <w:r>
        <w:rPr/>
        <w:t xml:space="preserve"> </w:t>
      </w:r>
      <w:r>
        <w:rPr>
          <w:spacing w:val="-1"/>
        </w:rPr>
        <w:t>兴物流有限公司破产清算一案并指定本院审理。本院于20</w:t>
      </w:r>
      <w:r>
        <w:rPr>
          <w:spacing w:val="-2"/>
        </w:rPr>
        <w:t>24</w:t>
      </w:r>
      <w:r>
        <w:rPr/>
        <w:t xml:space="preserve"> </w:t>
      </w:r>
      <w:r>
        <w:rPr>
          <w:spacing w:val="28"/>
        </w:rPr>
        <w:t>年4月22日立案。</w:t>
      </w:r>
    </w:p>
    <w:p>
      <w:pPr>
        <w:pStyle w:val="BodyText"/>
        <w:ind w:left="24" w:firstLine="629"/>
        <w:spacing w:before="68" w:line="270" w:lineRule="auto"/>
        <w:rPr/>
      </w:pPr>
      <w:r>
        <w:rPr>
          <w:spacing w:val="19"/>
        </w:rPr>
        <w:t>本院查明，漳州道道兴物流有限公司成立于</w:t>
      </w:r>
      <w:r>
        <w:rPr>
          <w:spacing w:val="18"/>
        </w:rPr>
        <w:t>2019年7</w:t>
      </w:r>
      <w:r>
        <w:rPr/>
        <w:t xml:space="preserve"> </w:t>
      </w:r>
      <w:r>
        <w:rPr>
          <w:spacing w:val="16"/>
        </w:rPr>
        <w:t>月26日，企业类型为有限责任公司(自然人独资),股东为</w:t>
      </w:r>
      <w:r>
        <w:rPr>
          <w:spacing w:val="4"/>
        </w:rPr>
        <w:t xml:space="preserve"> </w:t>
      </w:r>
      <w:r>
        <w:rPr>
          <w:spacing w:val="-1"/>
        </w:rPr>
        <w:t>洪哲经，法定代表人为洪哲经。经营范围为普通货物道路运</w:t>
      </w:r>
      <w:r>
        <w:rPr/>
        <w:t xml:space="preserve"> </w:t>
      </w:r>
      <w:r>
        <w:rPr>
          <w:spacing w:val="-3"/>
        </w:rPr>
        <w:t>输；其他道路货物运输；供应链管理服务；物流代理服务；</w:t>
      </w:r>
      <w:r>
        <w:rPr>
          <w:spacing w:val="3"/>
        </w:rPr>
        <w:t xml:space="preserve">  </w:t>
      </w:r>
      <w:r>
        <w:rPr>
          <w:spacing w:val="-9"/>
        </w:rPr>
        <w:t>仓储代理服务；其他未列明的仓储服务；国</w:t>
      </w:r>
      <w:r>
        <w:rPr>
          <w:spacing w:val="-10"/>
        </w:rPr>
        <w:t>内贸易代理服务；</w:t>
      </w:r>
      <w:r>
        <w:rPr/>
        <w:t xml:space="preserve"> </w:t>
      </w:r>
      <w:r>
        <w:rPr>
          <w:spacing w:val="3"/>
        </w:rPr>
        <w:t>网上贸易代理；对外贸易；货物或技术进出口(国家禁止或</w:t>
      </w:r>
      <w:r>
        <w:rPr>
          <w:spacing w:val="3"/>
        </w:rPr>
        <w:t xml:space="preserve"> </w:t>
      </w:r>
      <w:r>
        <w:rPr>
          <w:spacing w:val="6"/>
        </w:rPr>
        <w:t>涉及行政审批的货物和技术进出口除外)。漳</w:t>
      </w:r>
      <w:r>
        <w:rPr>
          <w:spacing w:val="5"/>
        </w:rPr>
        <w:t>州台商投资区</w:t>
      </w:r>
      <w:r>
        <w:rPr/>
        <w:t xml:space="preserve"> </w:t>
      </w:r>
      <w:r>
        <w:rPr>
          <w:spacing w:val="5"/>
        </w:rPr>
        <w:t>市场监督管理局登记显示该公司注册资本100万元，目前处</w:t>
      </w:r>
      <w:r>
        <w:rPr>
          <w:spacing w:val="6"/>
        </w:rPr>
        <w:t xml:space="preserve"> </w:t>
      </w:r>
      <w:r>
        <w:rPr>
          <w:spacing w:val="-10"/>
        </w:rPr>
        <w:t>于存续状态。</w:t>
      </w:r>
    </w:p>
    <w:p>
      <w:pPr>
        <w:pStyle w:val="BodyText"/>
        <w:ind w:left="24" w:firstLine="629"/>
        <w:spacing w:before="126" w:line="269" w:lineRule="auto"/>
        <w:rPr/>
      </w:pPr>
      <w:r>
        <w:rPr>
          <w:spacing w:val="20"/>
        </w:rPr>
        <w:t>2024年4月22日，本院作出(2024)闽0681破4号《决</w:t>
      </w:r>
      <w:r>
        <w:rPr>
          <w:spacing w:val="10"/>
        </w:rPr>
        <w:t xml:space="preserve"> </w:t>
      </w:r>
      <w:r>
        <w:rPr/>
        <w:t>定书》指定福建方圆人律师事务所为漳州道道兴物流有限公</w:t>
      </w:r>
      <w:r>
        <w:rPr>
          <w:spacing w:val="1"/>
        </w:rPr>
        <w:t xml:space="preserve"> </w:t>
      </w:r>
      <w:r>
        <w:rPr>
          <w:spacing w:val="2"/>
        </w:rPr>
        <w:t>司管理人。本次申报债权总额为292307元，经管理人审核，</w:t>
      </w:r>
      <w:r>
        <w:rPr>
          <w:spacing w:val="10"/>
        </w:rPr>
        <w:t xml:space="preserve"> </w:t>
      </w:r>
      <w:r>
        <w:rPr>
          <w:spacing w:val="10"/>
        </w:rPr>
        <w:t>确认债权总金额为292307元。管理人未能接管公司的账务</w:t>
      </w:r>
      <w:r>
        <w:rPr>
          <w:spacing w:val="18"/>
        </w:rPr>
        <w:t xml:space="preserve"> </w:t>
      </w:r>
      <w:r>
        <w:rPr>
          <w:spacing w:val="-1"/>
        </w:rPr>
        <w:t>账簿，无法对漳州道道兴物流有限公司的资产进行审计。管</w:t>
      </w:r>
      <w:r>
        <w:rPr>
          <w:spacing w:val="7"/>
        </w:rPr>
        <w:t xml:space="preserve"> </w:t>
      </w:r>
      <w:r>
        <w:rPr>
          <w:spacing w:val="-1"/>
        </w:rPr>
        <w:t>理人认为漳州道道兴物流有限公司已严重资不抵债，经管理</w:t>
      </w:r>
      <w:r>
        <w:rPr>
          <w:spacing w:val="1"/>
        </w:rPr>
        <w:t xml:space="preserve"> </w:t>
      </w:r>
      <w:r>
        <w:rPr>
          <w:spacing w:val="-1"/>
        </w:rPr>
        <w:t>人查明无任何财产可供分配，且已停止经营，无法清偿破产</w:t>
      </w:r>
    </w:p>
    <w:p>
      <w:pPr>
        <w:spacing w:line="269" w:lineRule="auto"/>
        <w:sectPr>
          <w:pgSz w:w="11900" w:h="16830"/>
          <w:pgMar w:top="1430" w:right="1700" w:bottom="0" w:left="1785" w:header="0" w:footer="0" w:gutter="0"/>
        </w:sectPr>
        <w:rPr/>
      </w:pPr>
    </w:p>
    <w:p>
      <w:pPr>
        <w:pStyle w:val="BodyText"/>
        <w:ind w:left="54"/>
        <w:spacing w:before="266" w:line="258" w:lineRule="auto"/>
        <w:jc w:val="both"/>
        <w:rPr/>
      </w:pPr>
      <w:r>
        <w:rPr>
          <w:spacing w:val="-4"/>
        </w:rPr>
        <w:t>费用，不存在重整或和解的可能，因债务人及其相关人员未</w:t>
      </w:r>
      <w:r>
        <w:rPr>
          <w:spacing w:val="2"/>
        </w:rPr>
        <w:t xml:space="preserve">  </w:t>
      </w:r>
      <w:r>
        <w:rPr>
          <w:spacing w:val="-4"/>
        </w:rPr>
        <w:t>向管理人移交债务人的印章、账册、合同等重要资料，导致</w:t>
      </w:r>
      <w:r>
        <w:rPr/>
        <w:t xml:space="preserve">   </w:t>
      </w:r>
      <w:r>
        <w:rPr>
          <w:spacing w:val="-5"/>
        </w:rPr>
        <w:t>管理人无法对债务人进行清算，故向本院提请终结破产程序。</w:t>
      </w:r>
    </w:p>
    <w:p>
      <w:pPr>
        <w:pStyle w:val="BodyText"/>
        <w:ind w:left="54" w:right="159" w:firstLine="639"/>
        <w:spacing w:before="122" w:line="265" w:lineRule="auto"/>
        <w:rPr/>
      </w:pPr>
      <w:r>
        <w:rPr>
          <w:spacing w:val="-2"/>
        </w:rPr>
        <w:t>本院认为，债务人漳州道道兴物流有限公司及其法定代</w:t>
      </w:r>
      <w:r>
        <w:rPr/>
        <w:t xml:space="preserve"> </w:t>
      </w:r>
      <w:r>
        <w:rPr>
          <w:spacing w:val="-2"/>
        </w:rPr>
        <w:t>表人、股东等未向管理人移交公司财产、印章、账册、文书</w:t>
      </w:r>
      <w:r>
        <w:rPr>
          <w:spacing w:val="2"/>
        </w:rPr>
        <w:t xml:space="preserve"> </w:t>
      </w:r>
      <w:r>
        <w:rPr>
          <w:spacing w:val="-11"/>
        </w:rPr>
        <w:t>等资料，导致清算不能，债务人名下查无任何财产可供分配，</w:t>
      </w:r>
      <w:r>
        <w:rPr>
          <w:spacing w:val="16"/>
        </w:rPr>
        <w:t xml:space="preserve"> </w:t>
      </w:r>
      <w:r>
        <w:rPr>
          <w:spacing w:val="-4"/>
        </w:rPr>
        <w:t>无法清偿到期债务，无法支付破产费用，且呈现连续状态，</w:t>
      </w:r>
      <w:r>
        <w:rPr>
          <w:spacing w:val="-4"/>
        </w:rPr>
        <w:t xml:space="preserve"> </w:t>
      </w:r>
      <w:r>
        <w:rPr>
          <w:spacing w:val="-2"/>
        </w:rPr>
        <w:t>亦未能与债权人达成和解协议或重整方案。据此，依照《中</w:t>
      </w:r>
      <w:r>
        <w:rPr>
          <w:spacing w:val="2"/>
        </w:rPr>
        <w:t xml:space="preserve"> </w:t>
      </w:r>
      <w:r>
        <w:rPr>
          <w:spacing w:val="-3"/>
        </w:rPr>
        <w:t>华人民共和国企业破产法》第四十三条、第一百零七条、第</w:t>
      </w:r>
      <w:r>
        <w:rPr>
          <w:spacing w:val="10"/>
        </w:rPr>
        <w:t xml:space="preserve"> </w:t>
      </w:r>
      <w:r>
        <w:rPr>
          <w:spacing w:val="-9"/>
        </w:rPr>
        <w:t>一百二十条，《最高人民法院关于适用&lt;中</w:t>
      </w:r>
      <w:r>
        <w:rPr>
          <w:spacing w:val="-10"/>
        </w:rPr>
        <w:t>华人民共和国企业</w:t>
      </w:r>
      <w:r>
        <w:rPr>
          <w:spacing w:val="-10"/>
        </w:rPr>
        <w:t xml:space="preserve"> </w:t>
      </w:r>
      <w:r>
        <w:rPr>
          <w:spacing w:val="2"/>
        </w:rPr>
        <w:t>破产法&gt;若干问题的规定(一)》第一条的规定，裁</w:t>
      </w:r>
      <w:r>
        <w:rPr>
          <w:spacing w:val="1"/>
        </w:rPr>
        <w:t>定如下：</w:t>
      </w:r>
    </w:p>
    <w:p>
      <w:pPr>
        <w:pStyle w:val="BodyText"/>
        <w:ind w:left="694"/>
        <w:spacing w:before="161" w:line="220" w:lineRule="auto"/>
        <w:rPr/>
      </w:pPr>
      <w:r>
        <w:rPr>
          <w:spacing w:val="-6"/>
        </w:rPr>
        <w:t>一、宣告漳州道道兴物流有限公司破产。</w:t>
      </w:r>
    </w:p>
    <w:p>
      <w:pPr>
        <w:pStyle w:val="BodyText"/>
        <w:ind w:left="694"/>
        <w:spacing w:before="98" w:line="494" w:lineRule="exact"/>
        <w:rPr/>
      </w:pPr>
      <w:r>
        <w:rPr>
          <w:spacing w:val="-6"/>
          <w:position w:val="12"/>
        </w:rPr>
        <w:t>二、终结漳州道道兴物流有限公司破产程序。</w:t>
      </w:r>
    </w:p>
    <w:p>
      <w:pPr>
        <w:pStyle w:val="BodyText"/>
        <w:ind w:left="694"/>
        <w:spacing w:line="222" w:lineRule="auto"/>
        <w:rPr/>
      </w:pPr>
      <w:r>
        <w:rPr>
          <w:spacing w:val="-6"/>
        </w:rPr>
        <w:t>本裁定自即日起生效。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pStyle w:val="BodyText"/>
        <w:ind w:left="4204" w:right="1346"/>
        <w:spacing w:before="104" w:line="243" w:lineRule="auto"/>
        <w:jc w:val="both"/>
        <w:rPr>
          <w:sz w:val="38"/>
          <w:szCs w:val="38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2708081</wp:posOffset>
            </wp:positionH>
            <wp:positionV relativeFrom="paragraph">
              <wp:posOffset>538305</wp:posOffset>
            </wp:positionV>
            <wp:extent cx="1657534" cy="1638557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7534" cy="16385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审</w:t>
      </w:r>
      <w:r>
        <w:rPr>
          <w:spacing w:val="-10"/>
        </w:rPr>
        <w:t xml:space="preserve">  </w:t>
      </w:r>
      <w:r>
        <w:rPr>
          <w:spacing w:val="-10"/>
        </w:rPr>
        <w:t>判</w:t>
      </w:r>
      <w:r>
        <w:rPr>
          <w:spacing w:val="10"/>
        </w:rPr>
        <w:t xml:space="preserve">  </w:t>
      </w:r>
      <w:r>
        <w:rPr>
          <w:spacing w:val="-10"/>
        </w:rPr>
        <w:t>长</w:t>
      </w:r>
      <w:r>
        <w:rPr>
          <w:spacing w:val="14"/>
        </w:rPr>
        <w:t xml:space="preserve">   </w:t>
      </w:r>
      <w:r>
        <w:rPr>
          <w:spacing w:val="-10"/>
        </w:rPr>
        <w:t>郑曦旸</w:t>
      </w:r>
      <w:r>
        <w:rPr/>
        <w:t xml:space="preserve"> </w:t>
      </w:r>
      <w:r>
        <w:rPr>
          <w:spacing w:val="-8"/>
        </w:rPr>
        <w:t>审</w:t>
      </w:r>
      <w:r>
        <w:rPr>
          <w:spacing w:val="-8"/>
        </w:rPr>
        <w:t xml:space="preserve">  </w:t>
      </w:r>
      <w:r>
        <w:rPr>
          <w:spacing w:val="-8"/>
        </w:rPr>
        <w:t>判</w:t>
      </w:r>
      <w:r>
        <w:rPr>
          <w:spacing w:val="62"/>
        </w:rPr>
        <w:t xml:space="preserve">  </w:t>
      </w:r>
      <w:r>
        <w:rPr>
          <w:spacing w:val="-8"/>
        </w:rPr>
        <w:t>员</w:t>
      </w:r>
      <w:r>
        <w:rPr>
          <w:spacing w:val="39"/>
        </w:rPr>
        <w:t xml:space="preserve">  </w:t>
      </w:r>
      <w:r>
        <w:rPr>
          <w:spacing w:val="-8"/>
        </w:rPr>
        <w:t>严美玲</w:t>
      </w:r>
      <w:r>
        <w:rPr/>
        <w:t xml:space="preserve"> </w:t>
      </w:r>
      <w:r>
        <w:rPr>
          <w:sz w:val="38"/>
          <w:szCs w:val="38"/>
          <w:spacing w:val="-32"/>
        </w:rPr>
        <w:t>审</w:t>
      </w:r>
      <w:r>
        <w:rPr>
          <w:sz w:val="38"/>
          <w:szCs w:val="38"/>
          <w:spacing w:val="115"/>
        </w:rPr>
        <w:t xml:space="preserve"> </w:t>
      </w:r>
      <w:r>
        <w:rPr>
          <w:sz w:val="38"/>
          <w:szCs w:val="38"/>
          <w:spacing w:val="-32"/>
        </w:rPr>
        <w:t>判</w:t>
      </w:r>
      <w:r>
        <w:rPr>
          <w:sz w:val="38"/>
          <w:szCs w:val="38"/>
          <w:spacing w:val="-32"/>
        </w:rPr>
        <w:t xml:space="preserve"> </w:t>
      </w:r>
      <w:r>
        <w:rPr>
          <w:sz w:val="38"/>
          <w:szCs w:val="38"/>
          <w:spacing w:val="-32"/>
        </w:rPr>
        <w:t>员</w:t>
      </w:r>
      <w:r>
        <w:rPr>
          <w:sz w:val="38"/>
          <w:szCs w:val="38"/>
          <w:spacing w:val="-32"/>
        </w:rPr>
        <w:t xml:space="preserve"> </w:t>
      </w:r>
      <w:r>
        <w:rPr>
          <w:sz w:val="38"/>
          <w:szCs w:val="38"/>
          <w:spacing w:val="-32"/>
        </w:rPr>
        <w:t>丁</w:t>
      </w:r>
      <w:r>
        <w:rPr>
          <w:sz w:val="38"/>
          <w:szCs w:val="38"/>
          <w:spacing w:val="-32"/>
        </w:rPr>
        <w:t xml:space="preserve"> </w:t>
      </w:r>
      <w:r>
        <w:rPr>
          <w:sz w:val="38"/>
          <w:szCs w:val="38"/>
          <w:spacing w:val="-32"/>
        </w:rPr>
        <w:t>桂</w:t>
      </w:r>
      <w:r>
        <w:rPr>
          <w:sz w:val="38"/>
          <w:szCs w:val="38"/>
          <w:spacing w:val="-34"/>
        </w:rPr>
        <w:t xml:space="preserve"> </w:t>
      </w:r>
      <w:r>
        <w:rPr>
          <w:sz w:val="38"/>
          <w:szCs w:val="38"/>
          <w:spacing w:val="-32"/>
        </w:rPr>
        <w:t>玲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pStyle w:val="BodyText"/>
        <w:ind w:left="4035"/>
        <w:spacing w:before="104" w:line="222" w:lineRule="auto"/>
        <w:rPr/>
      </w:pPr>
      <w:r>
        <w:rPr>
          <w:spacing w:val="-3"/>
        </w:rPr>
        <w:t>二O</w:t>
      </w:r>
      <w:r>
        <w:rPr>
          <w:spacing w:val="-3"/>
        </w:rPr>
        <w:t xml:space="preserve"> </w:t>
      </w:r>
      <w:r>
        <w:rPr>
          <w:spacing w:val="-3"/>
        </w:rPr>
        <w:t>二四年六月十三日</w:t>
      </w:r>
    </w:p>
    <w:p>
      <w:pPr>
        <w:spacing w:line="394" w:lineRule="auto"/>
        <w:rPr>
          <w:rFonts w:ascii="Arial"/>
          <w:sz w:val="21"/>
        </w:rPr>
      </w:pPr>
      <w:r/>
    </w:p>
    <w:p>
      <w:pPr>
        <w:ind w:left="169"/>
        <w:spacing w:before="105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color w:val="0055B8"/>
          <w:spacing w:val="-8"/>
        </w:rPr>
        <w:t>本件与原本核对无异</w:t>
      </w:r>
    </w:p>
    <w:p>
      <w:pPr>
        <w:pStyle w:val="BodyText"/>
        <w:ind w:left="4035"/>
        <w:spacing w:before="125" w:line="223" w:lineRule="auto"/>
        <w:rPr/>
      </w:pPr>
      <w:r>
        <w:rPr>
          <w:spacing w:val="-13"/>
        </w:rPr>
        <w:t>法</w:t>
      </w:r>
      <w:r>
        <w:rPr>
          <w:spacing w:val="54"/>
        </w:rPr>
        <w:t xml:space="preserve"> </w:t>
      </w:r>
      <w:r>
        <w:rPr>
          <w:spacing w:val="-13"/>
        </w:rPr>
        <w:t>官</w:t>
      </w:r>
      <w:r>
        <w:rPr>
          <w:spacing w:val="30"/>
        </w:rPr>
        <w:t xml:space="preserve"> </w:t>
      </w:r>
      <w:r>
        <w:rPr>
          <w:spacing w:val="-13"/>
        </w:rPr>
        <w:t>助</w:t>
      </w:r>
      <w:r>
        <w:rPr>
          <w:spacing w:val="34"/>
        </w:rPr>
        <w:t xml:space="preserve"> </w:t>
      </w:r>
      <w:r>
        <w:rPr>
          <w:spacing w:val="-13"/>
        </w:rPr>
        <w:t>理</w:t>
      </w:r>
      <w:r>
        <w:rPr>
          <w:spacing w:val="-13"/>
        </w:rPr>
        <w:t xml:space="preserve">   </w:t>
      </w:r>
      <w:r>
        <w:rPr>
          <w:spacing w:val="-13"/>
        </w:rPr>
        <w:t>陈宇敏</w:t>
      </w:r>
    </w:p>
    <w:p>
      <w:pPr>
        <w:pStyle w:val="BodyText"/>
        <w:ind w:left="4035"/>
        <w:spacing w:before="64" w:line="223" w:lineRule="auto"/>
        <w:rPr/>
      </w:pPr>
      <w:r>
        <w:rPr>
          <w:spacing w:val="-14"/>
        </w:rPr>
        <w:t>书</w:t>
      </w:r>
      <w:r>
        <w:rPr>
          <w:spacing w:val="-14"/>
        </w:rPr>
        <w:t xml:space="preserve">   </w:t>
      </w:r>
      <w:r>
        <w:rPr>
          <w:spacing w:val="-14"/>
        </w:rPr>
        <w:t>记</w:t>
      </w:r>
      <w:r>
        <w:rPr>
          <w:spacing w:val="24"/>
        </w:rPr>
        <w:t xml:space="preserve">  </w:t>
      </w:r>
      <w:r>
        <w:rPr>
          <w:spacing w:val="-14"/>
        </w:rPr>
        <w:t>员</w:t>
      </w:r>
      <w:r>
        <w:rPr>
          <w:spacing w:val="26"/>
        </w:rPr>
        <w:t xml:space="preserve">   </w:t>
      </w:r>
      <w:r>
        <w:rPr>
          <w:spacing w:val="-14"/>
        </w:rPr>
        <w:t>李威增</w:t>
      </w:r>
    </w:p>
    <w:sectPr>
      <w:pgSz w:w="11900" w:h="16830"/>
      <w:pgMar w:top="1430" w:right="1540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2"/>
      <w:szCs w:val="32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2024-06-21T11:50:24Z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2024-06-21T11:50:25</vt:filetime>
  </property>
  <property fmtid="{D5CDD505-2E9C-101B-9397-08002B2CF9AE}" pid="4" name="UsrData">
    <vt:lpwstr>6674f87dc42caf001f48692bwl</vt:lpwstr>
  </property>
</Properties>
</file>