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color w:val="FF0000"/>
          <w:w w:val="80"/>
          <w:sz w:val="52"/>
          <w:szCs w:val="52"/>
        </w:rPr>
      </w:pPr>
      <w:r>
        <w:rPr>
          <w:rFonts w:hint="eastAsia" w:ascii="宋体" w:hAnsi="宋体" w:cs="宋体"/>
          <w:b/>
          <w:color w:val="FF0000"/>
          <w:w w:val="80"/>
          <w:sz w:val="52"/>
          <w:szCs w:val="52"/>
          <w:lang w:eastAsia="zh-CN"/>
        </w:rPr>
        <w:t>河北安铭梁新能源发电有限公司</w:t>
      </w:r>
      <w:r>
        <w:rPr>
          <w:rFonts w:hint="eastAsia" w:ascii="宋体" w:hAnsi="宋体" w:cs="宋体"/>
          <w:b/>
          <w:color w:val="FF0000"/>
          <w:w w:val="80"/>
          <w:sz w:val="52"/>
          <w:szCs w:val="52"/>
          <w:lang w:val="en-US" w:eastAsia="zh-CN"/>
        </w:rPr>
        <w:t>临时</w:t>
      </w:r>
      <w:r>
        <w:rPr>
          <w:rFonts w:hint="eastAsia" w:ascii="宋体" w:hAnsi="宋体" w:cs="宋体"/>
          <w:b/>
          <w:color w:val="FF0000"/>
          <w:w w:val="80"/>
          <w:sz w:val="52"/>
          <w:szCs w:val="52"/>
        </w:rPr>
        <w:t>管理人</w:t>
      </w:r>
    </w:p>
    <w:p>
      <w:pPr>
        <w:widowControl/>
        <w:spacing w:line="240" w:lineRule="exact"/>
        <w:ind w:firstLine="201"/>
        <w:rPr>
          <w:color w:val="000000"/>
          <w:u w:val="single"/>
        </w:rPr>
      </w:pPr>
      <w:r>
        <w:rPr>
          <w:rFonts w:hint="eastAsia" w:ascii="楷体" w:hAnsi="楷体" w:eastAsia="楷体"/>
          <w:b/>
          <w:color w:val="FF0000"/>
          <w:position w:val="6"/>
          <w:sz w:val="10"/>
          <w:szCs w:val="10"/>
          <w:u w:val="thick"/>
        </w:rPr>
        <w:t xml:space="preserve">                                                                                                                                                                        </w:t>
      </w:r>
      <w:r>
        <w:rPr>
          <w:rFonts w:hint="eastAsia" w:ascii="楷体" w:hAnsi="楷体" w:eastAsia="楷体"/>
          <w:b/>
          <w:color w:val="FF0000"/>
          <w:sz w:val="10"/>
          <w:szCs w:val="10"/>
          <w:u w:val="thick"/>
        </w:rPr>
        <w:t xml:space="preserve">  </w:t>
      </w:r>
    </w:p>
    <w:p>
      <w:pPr>
        <w:spacing w:line="560" w:lineRule="exact"/>
        <w:ind w:firstLine="720"/>
        <w:jc w:val="center"/>
        <w:rPr>
          <w:rFonts w:ascii="宋体" w:hAnsi="宋体" w:cs="宋体"/>
          <w:b/>
          <w:color w:val="000000"/>
          <w:sz w:val="36"/>
          <w:szCs w:val="36"/>
        </w:rPr>
      </w:pPr>
    </w:p>
    <w:p>
      <w:pPr>
        <w:spacing w:line="560" w:lineRule="exact"/>
        <w:ind w:firstLine="723"/>
        <w:jc w:val="center"/>
        <w:rPr>
          <w:rFonts w:ascii="宋体" w:hAnsi="宋体" w:cs="宋体"/>
          <w:b/>
          <w:color w:val="000000"/>
          <w:sz w:val="36"/>
          <w:szCs w:val="36"/>
        </w:rPr>
      </w:pPr>
      <w:r>
        <w:rPr>
          <w:rFonts w:hint="eastAsia" w:ascii="宋体" w:hAnsi="宋体" w:cs="宋体"/>
          <w:b/>
          <w:color w:val="000000"/>
          <w:sz w:val="36"/>
          <w:szCs w:val="36"/>
          <w:lang w:eastAsia="zh-CN"/>
        </w:rPr>
        <w:t>河北安铭梁新能源发电有限公司</w:t>
      </w:r>
      <w:r>
        <w:rPr>
          <w:rFonts w:hint="eastAsia" w:ascii="宋体" w:hAnsi="宋体" w:cs="宋体"/>
          <w:b/>
          <w:color w:val="000000"/>
          <w:sz w:val="36"/>
          <w:szCs w:val="36"/>
        </w:rPr>
        <w:t>破产</w:t>
      </w:r>
      <w:r>
        <w:rPr>
          <w:rFonts w:hint="eastAsia" w:ascii="宋体" w:hAnsi="宋体" w:cs="宋体"/>
          <w:b/>
          <w:color w:val="000000"/>
          <w:sz w:val="36"/>
          <w:szCs w:val="36"/>
          <w:lang w:val="en-US" w:eastAsia="zh-CN"/>
        </w:rPr>
        <w:t>预重整</w:t>
      </w:r>
      <w:r>
        <w:rPr>
          <w:rFonts w:hint="eastAsia" w:ascii="宋体" w:hAnsi="宋体" w:cs="宋体"/>
          <w:b/>
          <w:color w:val="000000"/>
          <w:sz w:val="36"/>
          <w:szCs w:val="36"/>
        </w:rPr>
        <w:t>案</w:t>
      </w:r>
    </w:p>
    <w:p>
      <w:pPr>
        <w:spacing w:line="560" w:lineRule="exact"/>
        <w:ind w:firstLine="723"/>
        <w:jc w:val="center"/>
        <w:rPr>
          <w:rFonts w:ascii="宋体" w:hAnsi="宋体" w:cs="宋体"/>
          <w:b/>
          <w:color w:val="000000"/>
          <w:sz w:val="36"/>
          <w:szCs w:val="36"/>
        </w:rPr>
      </w:pPr>
      <w:r>
        <w:rPr>
          <w:rFonts w:hint="eastAsia" w:ascii="宋体" w:hAnsi="宋体" w:cs="宋体"/>
          <w:b/>
          <w:color w:val="000000"/>
          <w:sz w:val="36"/>
          <w:szCs w:val="36"/>
        </w:rPr>
        <w:t>债权申报须知</w:t>
      </w:r>
    </w:p>
    <w:p>
      <w:pPr>
        <w:keepNext w:val="0"/>
        <w:keepLines w:val="0"/>
        <w:pageBreakBefore w:val="0"/>
        <w:widowControl/>
        <w:kinsoku/>
        <w:overflowPunct/>
        <w:topLinePunct w:val="0"/>
        <w:autoSpaceDE/>
        <w:autoSpaceDN/>
        <w:bidi w:val="0"/>
        <w:spacing w:line="520" w:lineRule="exact"/>
        <w:rPr>
          <w:rFonts w:ascii="仿宋" w:hAnsi="仿宋" w:eastAsia="仿宋" w:cs="仿宋"/>
          <w:color w:val="000000"/>
          <w:sz w:val="32"/>
          <w:szCs w:val="32"/>
          <w:lang w:bidi="ar"/>
        </w:rPr>
      </w:pPr>
      <w:r>
        <w:rPr>
          <w:rFonts w:hint="eastAsia" w:ascii="仿宋" w:hAnsi="仿宋" w:eastAsia="仿宋" w:cs="仿宋"/>
          <w:color w:val="000000"/>
          <w:sz w:val="32"/>
          <w:szCs w:val="32"/>
          <w:lang w:bidi="ar"/>
        </w:rPr>
        <w:t>各位债权人：</w:t>
      </w:r>
    </w:p>
    <w:p>
      <w:pPr>
        <w:keepNext w:val="0"/>
        <w:keepLines w:val="0"/>
        <w:pageBreakBefore w:val="0"/>
        <w:kinsoku/>
        <w:overflowPunct/>
        <w:topLinePunct w:val="0"/>
        <w:autoSpaceDE/>
        <w:autoSpaceDN/>
        <w:bidi w:val="0"/>
        <w:adjustRightInd w:val="0"/>
        <w:snapToGrid w:val="0"/>
        <w:spacing w:line="520" w:lineRule="exact"/>
        <w:ind w:firstLine="643"/>
        <w:rPr>
          <w:rFonts w:ascii="仿宋" w:hAnsi="仿宋" w:eastAsia="仿宋" w:cs="仿宋"/>
          <w:color w:val="000000"/>
          <w:sz w:val="32"/>
          <w:szCs w:val="32"/>
        </w:rPr>
      </w:pPr>
      <w:r>
        <w:rPr>
          <w:rFonts w:hint="eastAsia" w:ascii="仿宋" w:hAnsi="仿宋" w:eastAsia="仿宋" w:cs="仿宋"/>
          <w:color w:val="000000"/>
          <w:sz w:val="32"/>
          <w:szCs w:val="32"/>
        </w:rPr>
        <w:t>2024年</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月2</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大名县</w:t>
      </w:r>
      <w:r>
        <w:rPr>
          <w:rFonts w:hint="eastAsia" w:ascii="仿宋" w:hAnsi="仿宋" w:eastAsia="仿宋" w:cs="仿宋"/>
          <w:color w:val="000000"/>
          <w:sz w:val="32"/>
          <w:szCs w:val="32"/>
        </w:rPr>
        <w:t>人民法院裁定受理</w:t>
      </w:r>
      <w:r>
        <w:rPr>
          <w:rFonts w:hint="eastAsia" w:ascii="仿宋" w:hAnsi="仿宋" w:eastAsia="仿宋" w:cs="仿宋"/>
          <w:color w:val="000000"/>
          <w:sz w:val="32"/>
          <w:szCs w:val="32"/>
          <w:lang w:val="en-US" w:eastAsia="zh-CN"/>
        </w:rPr>
        <w:t>河北安铭梁新能源发电有限公司</w:t>
      </w:r>
      <w:r>
        <w:rPr>
          <w:rFonts w:hint="eastAsia" w:ascii="仿宋" w:hAnsi="仿宋" w:eastAsia="仿宋" w:cs="仿宋"/>
          <w:color w:val="000000"/>
          <w:sz w:val="32"/>
          <w:szCs w:val="32"/>
        </w:rPr>
        <w:t>提出的破产</w:t>
      </w:r>
      <w:r>
        <w:rPr>
          <w:rFonts w:hint="eastAsia" w:ascii="仿宋" w:hAnsi="仿宋" w:eastAsia="仿宋" w:cs="仿宋"/>
          <w:color w:val="000000"/>
          <w:sz w:val="32"/>
          <w:szCs w:val="32"/>
          <w:lang w:val="en-US" w:eastAsia="zh-CN"/>
        </w:rPr>
        <w:t>预重整</w:t>
      </w:r>
      <w:r>
        <w:rPr>
          <w:rFonts w:hint="eastAsia" w:ascii="仿宋" w:hAnsi="仿宋" w:eastAsia="仿宋" w:cs="仿宋"/>
          <w:color w:val="000000"/>
          <w:sz w:val="32"/>
          <w:szCs w:val="32"/>
        </w:rPr>
        <w:t>申请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同日，大名县</w:t>
      </w:r>
      <w:r>
        <w:rPr>
          <w:rFonts w:hint="eastAsia" w:ascii="仿宋" w:hAnsi="仿宋" w:eastAsia="仿宋" w:cs="仿宋"/>
          <w:color w:val="000000"/>
          <w:sz w:val="32"/>
          <w:szCs w:val="32"/>
        </w:rPr>
        <w:t>人民法院经</w:t>
      </w:r>
      <w:r>
        <w:rPr>
          <w:rFonts w:hint="eastAsia" w:ascii="仿宋" w:hAnsi="仿宋" w:eastAsia="仿宋" w:cs="仿宋"/>
          <w:color w:val="000000"/>
          <w:sz w:val="32"/>
          <w:szCs w:val="32"/>
          <w:lang w:val="en-US" w:eastAsia="zh-CN"/>
        </w:rPr>
        <w:t>申请人推荐</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指定河北世纪方舟律师事务所</w:t>
      </w:r>
      <w:r>
        <w:rPr>
          <w:rFonts w:hint="eastAsia" w:ascii="仿宋" w:hAnsi="仿宋" w:eastAsia="仿宋" w:cs="仿宋"/>
          <w:color w:val="000000"/>
          <w:sz w:val="32"/>
          <w:szCs w:val="32"/>
          <w:lang w:val="en-US" w:eastAsia="zh-CN"/>
        </w:rPr>
        <w:t>担任河北安铭梁新能源发电有限公司临时</w:t>
      </w:r>
      <w:r>
        <w:rPr>
          <w:rFonts w:hint="eastAsia" w:ascii="仿宋" w:hAnsi="仿宋" w:eastAsia="仿宋" w:cs="仿宋"/>
          <w:color w:val="000000"/>
          <w:sz w:val="32"/>
          <w:szCs w:val="32"/>
        </w:rPr>
        <w:t>管理人。为</w:t>
      </w:r>
      <w:r>
        <w:rPr>
          <w:rFonts w:hint="eastAsia" w:ascii="仿宋" w:hAnsi="仿宋" w:eastAsia="仿宋" w:cs="仿宋"/>
          <w:color w:val="000000"/>
          <w:sz w:val="32"/>
          <w:szCs w:val="32"/>
          <w:lang w:eastAsia="zh-CN"/>
        </w:rPr>
        <w:t>确保</w:t>
      </w:r>
      <w:r>
        <w:rPr>
          <w:rFonts w:hint="eastAsia" w:ascii="仿宋" w:hAnsi="仿宋" w:eastAsia="仿宋" w:cs="仿宋"/>
          <w:color w:val="000000"/>
          <w:sz w:val="32"/>
          <w:szCs w:val="32"/>
          <w:lang w:val="en-US" w:eastAsia="zh-CN"/>
        </w:rPr>
        <w:t>破产预重整程序</w:t>
      </w:r>
      <w:r>
        <w:rPr>
          <w:rFonts w:hint="eastAsia" w:ascii="仿宋" w:hAnsi="仿宋" w:eastAsia="仿宋" w:cs="仿宋"/>
          <w:color w:val="000000"/>
          <w:sz w:val="32"/>
          <w:szCs w:val="32"/>
        </w:rPr>
        <w:t>的顺利进行，维护债权人的合法权益，现就</w:t>
      </w:r>
      <w:r>
        <w:rPr>
          <w:rFonts w:hint="eastAsia" w:ascii="仿宋" w:hAnsi="仿宋" w:eastAsia="仿宋" w:cs="仿宋"/>
          <w:color w:val="000000"/>
          <w:sz w:val="32"/>
          <w:szCs w:val="32"/>
          <w:lang w:val="en-US" w:eastAsia="zh-CN"/>
        </w:rPr>
        <w:t>债权</w:t>
      </w:r>
      <w:r>
        <w:rPr>
          <w:rFonts w:hint="eastAsia" w:ascii="仿宋" w:hAnsi="仿宋" w:eastAsia="仿宋" w:cs="仿宋"/>
          <w:color w:val="000000"/>
          <w:sz w:val="32"/>
          <w:szCs w:val="32"/>
        </w:rPr>
        <w:t>申报的相关事宜通知如下：</w:t>
      </w:r>
    </w:p>
    <w:p>
      <w:pPr>
        <w:keepNext w:val="0"/>
        <w:keepLines w:val="0"/>
        <w:pageBreakBefore w:val="0"/>
        <w:kinsoku/>
        <w:overflowPunct/>
        <w:topLinePunct w:val="0"/>
        <w:autoSpaceDE/>
        <w:autoSpaceDN/>
        <w:bidi w:val="0"/>
        <w:adjustRightInd w:val="0"/>
        <w:snapToGrid w:val="0"/>
        <w:spacing w:line="520" w:lineRule="exact"/>
        <w:ind w:firstLine="640"/>
        <w:rPr>
          <w:rFonts w:ascii="仿宋" w:hAnsi="仿宋" w:eastAsia="仿宋" w:cs="仿宋"/>
          <w:b/>
          <w:bCs/>
          <w:color w:val="000000"/>
          <w:sz w:val="32"/>
          <w:szCs w:val="32"/>
        </w:rPr>
      </w:pPr>
      <w:r>
        <w:rPr>
          <w:rFonts w:hint="eastAsia" w:ascii="仿宋" w:hAnsi="仿宋" w:eastAsia="仿宋" w:cs="仿宋"/>
          <w:b/>
          <w:bCs/>
          <w:color w:val="000000"/>
          <w:sz w:val="32"/>
          <w:szCs w:val="32"/>
        </w:rPr>
        <w:t>一、债权申报主体</w:t>
      </w:r>
    </w:p>
    <w:p>
      <w:pPr>
        <w:keepNext w:val="0"/>
        <w:keepLines w:val="0"/>
        <w:pageBreakBefore w:val="0"/>
        <w:kinsoku/>
        <w:overflowPunct/>
        <w:topLinePunct w:val="0"/>
        <w:autoSpaceDE/>
        <w:autoSpaceDN/>
        <w:bidi w:val="0"/>
        <w:adjustRightInd w:val="0"/>
        <w:snapToGrid w:val="0"/>
        <w:spacing w:line="520" w:lineRule="exact"/>
        <w:ind w:firstLine="643"/>
        <w:rPr>
          <w:rFonts w:ascii="仿宋" w:hAnsi="仿宋" w:eastAsia="仿宋" w:cs="仿宋"/>
          <w:color w:val="000000"/>
          <w:sz w:val="32"/>
          <w:szCs w:val="32"/>
        </w:rPr>
      </w:pPr>
      <w:r>
        <w:rPr>
          <w:rFonts w:hint="eastAsia" w:ascii="仿宋" w:hAnsi="仿宋" w:eastAsia="仿宋" w:cs="仿宋"/>
          <w:color w:val="000000"/>
          <w:sz w:val="32"/>
          <w:szCs w:val="32"/>
        </w:rPr>
        <w:t>截至</w:t>
      </w:r>
      <w:r>
        <w:rPr>
          <w:rFonts w:hint="eastAsia" w:ascii="仿宋" w:hAnsi="仿宋" w:eastAsia="仿宋" w:cs="仿宋"/>
          <w:color w:val="000000"/>
          <w:sz w:val="32"/>
          <w:szCs w:val="32"/>
          <w:lang w:val="en-US" w:eastAsia="zh-CN"/>
        </w:rPr>
        <w:t>大名县</w:t>
      </w:r>
      <w:r>
        <w:rPr>
          <w:rFonts w:hint="eastAsia" w:ascii="仿宋" w:hAnsi="仿宋" w:eastAsia="仿宋" w:cs="仿宋"/>
          <w:color w:val="000000"/>
          <w:sz w:val="32"/>
          <w:szCs w:val="32"/>
        </w:rPr>
        <w:t>人民法院裁定受理</w:t>
      </w:r>
      <w:r>
        <w:rPr>
          <w:rFonts w:hint="eastAsia" w:ascii="仿宋" w:hAnsi="仿宋" w:eastAsia="仿宋" w:cs="仿宋"/>
          <w:color w:val="000000"/>
          <w:sz w:val="32"/>
          <w:szCs w:val="32"/>
          <w:lang w:eastAsia="zh-CN"/>
        </w:rPr>
        <w:t>河北安铭梁新能源发电有限公司破产预重整</w:t>
      </w:r>
      <w:r>
        <w:rPr>
          <w:rFonts w:hint="eastAsia" w:ascii="仿宋" w:hAnsi="仿宋" w:eastAsia="仿宋" w:cs="仿宋"/>
          <w:color w:val="000000"/>
          <w:sz w:val="32"/>
          <w:szCs w:val="32"/>
        </w:rPr>
        <w:t>之日，即2024年</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月2</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日，对</w:t>
      </w:r>
      <w:r>
        <w:rPr>
          <w:rFonts w:hint="eastAsia" w:ascii="仿宋" w:hAnsi="仿宋" w:eastAsia="仿宋" w:cs="仿宋"/>
          <w:color w:val="000000"/>
          <w:sz w:val="32"/>
          <w:szCs w:val="32"/>
          <w:lang w:eastAsia="zh-CN"/>
        </w:rPr>
        <w:t>河北安铭梁新能源发电有限公司</w:t>
      </w:r>
      <w:r>
        <w:rPr>
          <w:rFonts w:hint="eastAsia" w:ascii="仿宋" w:hAnsi="仿宋" w:eastAsia="仿宋" w:cs="仿宋"/>
          <w:color w:val="000000"/>
          <w:sz w:val="32"/>
          <w:szCs w:val="32"/>
        </w:rPr>
        <w:t>享有债权的自然人、法人或其他组织，均可向</w:t>
      </w:r>
      <w:r>
        <w:rPr>
          <w:rFonts w:hint="eastAsia" w:ascii="仿宋" w:hAnsi="仿宋" w:eastAsia="仿宋" w:cs="仿宋"/>
          <w:color w:val="000000"/>
          <w:sz w:val="32"/>
          <w:szCs w:val="32"/>
          <w:lang w:eastAsia="zh-CN"/>
        </w:rPr>
        <w:t>管理人</w:t>
      </w:r>
      <w:r>
        <w:rPr>
          <w:rFonts w:hint="eastAsia" w:ascii="仿宋" w:hAnsi="仿宋" w:eastAsia="仿宋" w:cs="仿宋"/>
          <w:color w:val="000000"/>
          <w:sz w:val="32"/>
          <w:szCs w:val="32"/>
        </w:rPr>
        <w:t>申报债权。未到期的债权，在破产申请受理时视为到期；附条件、附期限的债权和诉讼、仲裁未决的债权，债权人可以申报。</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二、申报期限</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河北安铭梁新能源发电有限公司</w:t>
      </w:r>
      <w:r>
        <w:rPr>
          <w:rFonts w:hint="eastAsia" w:ascii="仿宋" w:hAnsi="仿宋" w:eastAsia="仿宋" w:cs="仿宋"/>
          <w:color w:val="000000"/>
          <w:sz w:val="32"/>
          <w:szCs w:val="32"/>
          <w:lang w:bidi="ar"/>
        </w:rPr>
        <w:t>的债权人应当在2024年</w:t>
      </w:r>
      <w:r>
        <w:rPr>
          <w:rFonts w:hint="eastAsia" w:ascii="仿宋" w:hAnsi="仿宋" w:eastAsia="仿宋" w:cs="仿宋"/>
          <w:color w:val="000000"/>
          <w:sz w:val="32"/>
          <w:szCs w:val="32"/>
          <w:lang w:val="en-US" w:eastAsia="zh-CN" w:bidi="ar"/>
        </w:rPr>
        <w:t>8</w:t>
      </w:r>
      <w:r>
        <w:rPr>
          <w:rFonts w:hint="eastAsia" w:ascii="仿宋" w:hAnsi="仿宋" w:eastAsia="仿宋" w:cs="仿宋"/>
          <w:color w:val="000000"/>
          <w:sz w:val="32"/>
          <w:szCs w:val="32"/>
          <w:lang w:bidi="ar"/>
        </w:rPr>
        <w:t>月</w:t>
      </w:r>
      <w:r>
        <w:rPr>
          <w:rFonts w:hint="eastAsia" w:ascii="仿宋" w:hAnsi="仿宋" w:eastAsia="仿宋" w:cs="仿宋"/>
          <w:color w:val="000000"/>
          <w:sz w:val="32"/>
          <w:szCs w:val="32"/>
          <w:lang w:val="en-US" w:eastAsia="zh-CN" w:bidi="ar"/>
        </w:rPr>
        <w:t>2</w:t>
      </w:r>
      <w:r>
        <w:rPr>
          <w:rFonts w:hint="eastAsia" w:ascii="仿宋" w:hAnsi="仿宋" w:eastAsia="仿宋" w:cs="仿宋"/>
          <w:color w:val="000000"/>
          <w:sz w:val="32"/>
          <w:szCs w:val="32"/>
          <w:lang w:bidi="ar"/>
        </w:rPr>
        <w:t>日</w:t>
      </w:r>
      <w:r>
        <w:rPr>
          <w:rFonts w:hint="eastAsia" w:ascii="仿宋" w:hAnsi="仿宋" w:eastAsia="仿宋" w:cs="仿宋"/>
          <w:color w:val="000000"/>
          <w:sz w:val="32"/>
          <w:szCs w:val="32"/>
          <w:lang w:val="en-US" w:eastAsia="zh-CN" w:bidi="ar"/>
        </w:rPr>
        <w:t>17时00分</w:t>
      </w:r>
      <w:r>
        <w:rPr>
          <w:rFonts w:hint="eastAsia" w:ascii="仿宋" w:hAnsi="仿宋" w:eastAsia="仿宋" w:cs="仿宋"/>
          <w:color w:val="000000"/>
          <w:sz w:val="32"/>
          <w:szCs w:val="32"/>
          <w:lang w:bidi="ar"/>
        </w:rPr>
        <w:t>前向</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申报债权。为维护债权人的利益，</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建议债权人尽快申报</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以便</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 xml:space="preserve">核查债权。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color w:val="000000"/>
          <w:sz w:val="32"/>
          <w:szCs w:val="32"/>
          <w:lang w:bidi="ar"/>
        </w:rPr>
      </w:pPr>
      <w:r>
        <w:rPr>
          <w:rFonts w:hint="eastAsia" w:ascii="仿宋" w:hAnsi="仿宋" w:eastAsia="仿宋" w:cs="仿宋"/>
          <w:b/>
          <w:bCs/>
          <w:color w:val="000000"/>
          <w:sz w:val="32"/>
          <w:szCs w:val="32"/>
          <w:lang w:bidi="ar"/>
        </w:rPr>
        <w:t>三、申报方式</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为便于各债权人申报债权，本次债权申报不设现场申报。各债权人可通过“线上下载+电子邮箱+邮寄”方式进行申报，具体操作方式如下：</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各债权人自行将本指引附件中的债权申报材料进行下载，按照本债权申报指引要求完成填写并附相应材料，填写完成后将申报材料扫描为pdf版发送至</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电子邮箱（邮箱号：</w:t>
      </w:r>
      <w:r>
        <w:rPr>
          <w:rFonts w:hint="eastAsia" w:ascii="仿宋" w:hAnsi="仿宋" w:eastAsia="仿宋" w:cs="仿宋"/>
          <w:color w:val="000000"/>
          <w:sz w:val="32"/>
          <w:szCs w:val="32"/>
          <w:lang w:val="en-US" w:eastAsia="zh-CN" w:bidi="ar"/>
        </w:rPr>
        <w:t>18633818018</w:t>
      </w:r>
      <w:r>
        <w:rPr>
          <w:rFonts w:hint="eastAsia" w:ascii="仿宋" w:hAnsi="仿宋" w:eastAsia="仿宋" w:cs="仿宋"/>
          <w:color w:val="000000"/>
          <w:sz w:val="32"/>
          <w:szCs w:val="32"/>
          <w:lang w:bidi="ar"/>
        </w:rPr>
        <w:t>@163.com），并将纸质版债权申报材料邮寄给</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邮寄地址：石家庄市桥西区新石中路375号金石大厦B座9层937室</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邮政编码：050000</w:t>
      </w:r>
    </w:p>
    <w:p>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eastAsia="zh-CN" w:bidi="ar"/>
        </w:rPr>
      </w:pPr>
      <w:r>
        <w:rPr>
          <w:rFonts w:hint="eastAsia" w:ascii="仿宋" w:hAnsi="仿宋" w:eastAsia="仿宋" w:cs="仿宋"/>
          <w:color w:val="000000"/>
          <w:sz w:val="32"/>
          <w:szCs w:val="32"/>
          <w:lang w:bidi="ar"/>
        </w:rPr>
        <w:t>收件人：</w:t>
      </w:r>
      <w:r>
        <w:rPr>
          <w:rFonts w:hint="eastAsia" w:ascii="仿宋" w:hAnsi="仿宋" w:eastAsia="仿宋" w:cs="仿宋"/>
          <w:color w:val="000000"/>
          <w:sz w:val="32"/>
          <w:szCs w:val="32"/>
          <w:lang w:val="en-US" w:eastAsia="zh-CN" w:bidi="ar"/>
        </w:rPr>
        <w:t>尤爱霞</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联系方式：</w:t>
      </w:r>
      <w:r>
        <w:rPr>
          <w:rFonts w:hint="eastAsia" w:ascii="仿宋" w:hAnsi="仿宋" w:eastAsia="仿宋" w:cs="仿宋"/>
          <w:sz w:val="32"/>
          <w:szCs w:val="32"/>
        </w:rPr>
        <w:t>18533342349</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如有疑问，债权人可以通过电话咨询有关事项，</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将安排专人在工作时间接听债权人来电。（工作时间：工作日上午9:30——11:30、下午2:30-5:30）</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四、债权申报应当提交的材料</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themeColor="text1"/>
          <w:sz w:val="32"/>
          <w:szCs w:val="32"/>
          <w:lang w:bidi="ar"/>
          <w14:textFill>
            <w14:solidFill>
              <w14:schemeClr w14:val="tx1"/>
            </w14:solidFill>
          </w14:textFill>
        </w:rPr>
      </w:pPr>
      <w:r>
        <w:rPr>
          <w:rFonts w:hint="eastAsia" w:ascii="仿宋" w:hAnsi="仿宋" w:eastAsia="仿宋" w:cs="仿宋"/>
          <w:b/>
          <w:bCs/>
          <w:color w:val="000000" w:themeColor="text1"/>
          <w:sz w:val="32"/>
          <w:szCs w:val="32"/>
          <w:lang w:bidi="ar"/>
          <w14:textFill>
            <w14:solidFill>
              <w14:schemeClr w14:val="tx1"/>
            </w14:solidFill>
          </w14:textFill>
        </w:rPr>
        <w:t>1.填妥后的《债权申报文件清单》</w:t>
      </w:r>
      <w:r>
        <w:rPr>
          <w:rFonts w:hint="eastAsia" w:ascii="仿宋" w:hAnsi="仿宋" w:eastAsia="仿宋" w:cs="仿宋"/>
          <w:b/>
          <w:bCs/>
          <w:color w:val="000000" w:themeColor="text1"/>
          <w:sz w:val="32"/>
          <w:szCs w:val="32"/>
          <w:lang w:eastAsia="zh-CN" w:bidi="ar"/>
          <w14:textFill>
            <w14:solidFill>
              <w14:schemeClr w14:val="tx1"/>
            </w14:solidFill>
          </w14:textFill>
        </w:rPr>
        <w:t>（</w:t>
      </w:r>
      <w:r>
        <w:rPr>
          <w:rFonts w:hint="eastAsia" w:ascii="仿宋" w:hAnsi="仿宋" w:eastAsia="仿宋" w:cs="仿宋"/>
          <w:b/>
          <w:bCs/>
          <w:color w:val="000000" w:themeColor="text1"/>
          <w:sz w:val="32"/>
          <w:szCs w:val="32"/>
          <w:lang w:bidi="ar"/>
          <w14:textFill>
            <w14:solidFill>
              <w14:schemeClr w14:val="tx1"/>
            </w14:solidFill>
          </w14:textFill>
        </w:rPr>
        <w:t>附件1-1</w:t>
      </w:r>
      <w:r>
        <w:rPr>
          <w:rFonts w:hint="eastAsia" w:ascii="仿宋" w:hAnsi="仿宋" w:eastAsia="仿宋" w:cs="仿宋"/>
          <w:b/>
          <w:bCs/>
          <w:color w:val="000000" w:themeColor="text1"/>
          <w:sz w:val="32"/>
          <w:szCs w:val="32"/>
          <w:lang w:eastAsia="zh-CN" w:bidi="ar"/>
          <w14:textFill>
            <w14:solidFill>
              <w14:schemeClr w14:val="tx1"/>
            </w14:solidFill>
          </w14:textFill>
        </w:rPr>
        <w:t>）</w:t>
      </w:r>
    </w:p>
    <w:p>
      <w:pPr>
        <w:keepNext w:val="0"/>
        <w:keepLines w:val="0"/>
        <w:pageBreakBefore w:val="0"/>
        <w:widowControl/>
        <w:kinsoku/>
        <w:overflowPunct/>
        <w:topLinePunct w:val="0"/>
        <w:autoSpaceDE/>
        <w:autoSpaceDN/>
        <w:bidi w:val="0"/>
        <w:spacing w:line="520" w:lineRule="exact"/>
        <w:ind w:right="283"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将所提交的全部材料名称填写入债权申报文件清单。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2.填妥后的《债权申报表》</w:t>
      </w:r>
      <w:r>
        <w:rPr>
          <w:rFonts w:hint="eastAsia" w:ascii="仿宋" w:hAnsi="仿宋" w:eastAsia="仿宋" w:cs="仿宋"/>
          <w:b/>
          <w:bCs/>
          <w:color w:val="000000"/>
          <w:sz w:val="32"/>
          <w:szCs w:val="32"/>
          <w:lang w:eastAsia="zh-CN" w:bidi="ar"/>
        </w:rPr>
        <w:t>（</w:t>
      </w:r>
      <w:r>
        <w:rPr>
          <w:rFonts w:hint="eastAsia" w:ascii="仿宋" w:hAnsi="仿宋" w:eastAsia="仿宋" w:cs="仿宋"/>
          <w:b/>
          <w:bCs/>
          <w:color w:val="000000"/>
          <w:sz w:val="32"/>
          <w:szCs w:val="32"/>
          <w:lang w:bidi="ar"/>
        </w:rPr>
        <w:t>自然人见附件2-1、机构见附件2-2</w:t>
      </w:r>
      <w:r>
        <w:rPr>
          <w:rFonts w:hint="eastAsia" w:ascii="仿宋" w:hAnsi="仿宋" w:eastAsia="仿宋" w:cs="仿宋"/>
          <w:b/>
          <w:bCs/>
          <w:color w:val="000000"/>
          <w:sz w:val="32"/>
          <w:szCs w:val="32"/>
          <w:lang w:eastAsia="zh-CN" w:bidi="ar"/>
        </w:rPr>
        <w:t>）</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color w:val="000000"/>
          <w:sz w:val="32"/>
          <w:szCs w:val="32"/>
          <w:lang w:bidi="ar"/>
        </w:rPr>
        <w:t>如实填写债权申报表，申报的债权一笔一表。</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bidi="ar"/>
        </w:rPr>
        <w:t>3.填妥债权人《送达地址及银行账户确认书》</w:t>
      </w:r>
      <w:r>
        <w:rPr>
          <w:rFonts w:hint="eastAsia" w:ascii="仿宋" w:hAnsi="仿宋" w:eastAsia="仿宋" w:cs="仿宋"/>
          <w:b/>
          <w:bCs/>
          <w:color w:val="000000"/>
          <w:sz w:val="32"/>
          <w:szCs w:val="32"/>
          <w:lang w:eastAsia="zh-CN" w:bidi="ar"/>
        </w:rPr>
        <w:t>（</w:t>
      </w:r>
      <w:r>
        <w:rPr>
          <w:rFonts w:hint="eastAsia" w:ascii="仿宋" w:hAnsi="仿宋" w:eastAsia="仿宋" w:cs="仿宋"/>
          <w:b/>
          <w:bCs/>
          <w:color w:val="000000"/>
          <w:sz w:val="32"/>
          <w:szCs w:val="32"/>
          <w:lang w:bidi="ar"/>
        </w:rPr>
        <w:t>附件3</w:t>
      </w:r>
      <w:r>
        <w:rPr>
          <w:rFonts w:hint="eastAsia" w:ascii="仿宋" w:hAnsi="仿宋" w:eastAsia="仿宋" w:cs="仿宋"/>
          <w:b/>
          <w:bCs/>
          <w:color w:val="000000"/>
          <w:sz w:val="32"/>
          <w:szCs w:val="32"/>
          <w:lang w:eastAsia="zh-CN" w:bidi="ar"/>
        </w:rPr>
        <w:t>）</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债权人应准确填写债权人送达地址及银行账户确认书，债权人填报的地址、接收短信的手机、银行开户行及账号将作为法院及</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送达法律文书和相关材料的方式和地址。该信息和地址如有变更须及时书面通知</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4.主体资格材料</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1</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自然人债权人，提交身份证复印件</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身份证正反面须复印在同一张复印纸上</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并在复印件上签名捺印；</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2</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机构债权人，提交统一社会信用证</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营业执照副本、事业和社团法人登记证书</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复印件并加盖公章、法定代表人</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负责人</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身份证明</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附件4</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、法定代表人</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负责人</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 xml:space="preserve">身份证复印件并加盖公章。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5.授权委托书 </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bidi="ar"/>
        </w:rPr>
        <w:t>委托代理人申报债权的，提交授权委托书</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参考附件5-1、附件5-2</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及受托人的身份证复印件并签名捺印。其中受托人为律师的，还需提交律师事务所指派函、执业证复印件。债权人为自然人的，自然人委托非律师代理人申报的，应提交经公证的授权委托书及公证书原件。</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6.债权申报风险告知书及承诺书</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债权人应认真阅读债权申报风险告知书及承诺书（附件6），知晓有关法律风险并自愿承担法律责任，在承诺人/债权人处签章/捺印。</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b/>
          <w:bCs/>
          <w:color w:val="000000"/>
          <w:sz w:val="32"/>
          <w:szCs w:val="32"/>
          <w:lang w:bidi="ar"/>
        </w:rPr>
        <w:t>以上1-6的相关材料，债权人为机构的，在签字处由法定代表人签名并加盖机构公章，单份文件含多页的须加盖骑缝章；债权人为自然人的，在签字处签名并捺印，单份文件含多页的须捺骑缝手印。</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7.关于债权形成及金额的证据材料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1</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 xml:space="preserve">合同或协议、票据、对账单、转账单等与申报债权有关的材料凭证；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2</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 xml:space="preserve">如有担保的，还需提交担保合同或协议及与担保有关的他项权利证书；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3</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所申报债权如已进入诉讼、仲裁及执行程序的，还需提交相关诉讼、仲裁及执行的文件</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包括但不限于起诉状、仲裁申请书、受理案件通知书、财产保全裁定书、判决书、裁决书、调解书、法院执行立案通知书及执行裁定等，生效的判决书、裁定书、调解书、仲裁裁决书、仲裁调解书应提交生效文书制作机关出具的生效证明原件</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4</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 xml:space="preserve">证明债权未超过诉讼及执行时效的相应材料；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5</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 xml:space="preserve">所申报债权系受让取得的，需提交受让债权的相应材料；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6</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主张利息或逾期付款违约金的</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若有</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 xml:space="preserve">，应说明计算方式；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依据《企业破产法》第四十六条规定及相关司法解释规定，</w:t>
      </w:r>
      <w:r>
        <w:rPr>
          <w:rFonts w:hint="eastAsia" w:ascii="仿宋" w:hAnsi="仿宋" w:eastAsia="仿宋" w:cs="仿宋"/>
          <w:b/>
          <w:bCs/>
          <w:color w:val="000000"/>
          <w:sz w:val="32"/>
          <w:szCs w:val="32"/>
          <w:lang w:bidi="ar"/>
        </w:rPr>
        <w:t>利息、违约金</w:t>
      </w:r>
      <w:r>
        <w:rPr>
          <w:rFonts w:hint="eastAsia" w:ascii="仿宋" w:hAnsi="仿宋" w:eastAsia="仿宋" w:cs="仿宋"/>
          <w:b/>
          <w:bCs/>
          <w:color w:val="000000"/>
          <w:sz w:val="32"/>
          <w:szCs w:val="32"/>
          <w:lang w:eastAsia="zh-CN" w:bidi="ar"/>
        </w:rPr>
        <w:t>（</w:t>
      </w:r>
      <w:r>
        <w:rPr>
          <w:rFonts w:hint="eastAsia" w:ascii="仿宋" w:hAnsi="仿宋" w:eastAsia="仿宋" w:cs="仿宋"/>
          <w:b/>
          <w:bCs/>
          <w:color w:val="000000"/>
          <w:sz w:val="32"/>
          <w:szCs w:val="32"/>
          <w:lang w:bidi="ar"/>
        </w:rPr>
        <w:t>包括利息、复利、罚息、违约金、迟延履行利息、滞纳金、损失赔偿等派生债权</w:t>
      </w:r>
      <w:r>
        <w:rPr>
          <w:rFonts w:hint="eastAsia" w:ascii="仿宋" w:hAnsi="仿宋" w:eastAsia="仿宋" w:cs="仿宋"/>
          <w:b/>
          <w:bCs/>
          <w:color w:val="000000"/>
          <w:sz w:val="32"/>
          <w:szCs w:val="32"/>
          <w:lang w:eastAsia="zh-CN" w:bidi="ar"/>
        </w:rPr>
        <w:t>）</w:t>
      </w:r>
      <w:r>
        <w:rPr>
          <w:rFonts w:hint="eastAsia" w:ascii="仿宋" w:hAnsi="仿宋" w:eastAsia="仿宋" w:cs="仿宋"/>
          <w:b/>
          <w:bCs/>
          <w:color w:val="000000"/>
          <w:sz w:val="32"/>
          <w:szCs w:val="32"/>
          <w:lang w:bidi="ar"/>
        </w:rPr>
        <w:t>计算截止至2024年</w:t>
      </w:r>
      <w:r>
        <w:rPr>
          <w:rFonts w:hint="eastAsia" w:ascii="仿宋" w:hAnsi="仿宋" w:eastAsia="仿宋" w:cs="仿宋"/>
          <w:b/>
          <w:bCs/>
          <w:color w:val="000000"/>
          <w:sz w:val="32"/>
          <w:szCs w:val="32"/>
          <w:lang w:val="en-US" w:eastAsia="zh-CN" w:bidi="ar"/>
        </w:rPr>
        <w:t>6</w:t>
      </w:r>
      <w:r>
        <w:rPr>
          <w:rFonts w:hint="eastAsia" w:ascii="仿宋" w:hAnsi="仿宋" w:eastAsia="仿宋" w:cs="仿宋"/>
          <w:b/>
          <w:bCs/>
          <w:color w:val="000000"/>
          <w:sz w:val="32"/>
          <w:szCs w:val="32"/>
          <w:lang w:bidi="ar"/>
        </w:rPr>
        <w:t>月2</w:t>
      </w:r>
      <w:r>
        <w:rPr>
          <w:rFonts w:hint="eastAsia" w:ascii="仿宋" w:hAnsi="仿宋" w:eastAsia="仿宋" w:cs="仿宋"/>
          <w:b/>
          <w:bCs/>
          <w:color w:val="000000"/>
          <w:sz w:val="32"/>
          <w:szCs w:val="32"/>
          <w:lang w:val="en-US" w:eastAsia="zh-CN" w:bidi="ar"/>
        </w:rPr>
        <w:t>7</w:t>
      </w:r>
      <w:r>
        <w:rPr>
          <w:rFonts w:hint="eastAsia" w:ascii="仿宋" w:hAnsi="仿宋" w:eastAsia="仿宋" w:cs="仿宋"/>
          <w:b/>
          <w:bCs/>
          <w:color w:val="000000"/>
          <w:sz w:val="32"/>
          <w:szCs w:val="32"/>
          <w:lang w:bidi="ar"/>
        </w:rPr>
        <w:t>日</w:t>
      </w:r>
      <w:r>
        <w:rPr>
          <w:rFonts w:hint="eastAsia" w:ascii="仿宋" w:hAnsi="仿宋" w:eastAsia="仿宋" w:cs="仿宋"/>
          <w:b/>
          <w:bCs/>
          <w:color w:val="000000"/>
          <w:sz w:val="32"/>
          <w:szCs w:val="32"/>
          <w:lang w:eastAsia="zh-CN" w:bidi="ar"/>
        </w:rPr>
        <w:t>（</w:t>
      </w:r>
      <w:r>
        <w:rPr>
          <w:rFonts w:hint="eastAsia" w:ascii="仿宋" w:hAnsi="仿宋" w:eastAsia="仿宋" w:cs="仿宋"/>
          <w:b/>
          <w:bCs/>
          <w:color w:val="000000"/>
          <w:sz w:val="32"/>
          <w:szCs w:val="32"/>
          <w:lang w:bidi="ar"/>
        </w:rPr>
        <w:t>含本日，即破产申请受理裁定前一日</w:t>
      </w:r>
      <w:r>
        <w:rPr>
          <w:rFonts w:hint="eastAsia" w:ascii="仿宋" w:hAnsi="仿宋" w:eastAsia="仿宋" w:cs="仿宋"/>
          <w:b/>
          <w:bCs/>
          <w:color w:val="000000"/>
          <w:sz w:val="32"/>
          <w:szCs w:val="32"/>
          <w:lang w:eastAsia="zh-CN" w:bidi="ar"/>
        </w:rPr>
        <w:t>）</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7</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申报债权人或</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 xml:space="preserve">认为需要提交的其他材料。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对关于债权形成及金额的证据材料，应当列出证据清单</w:t>
      </w:r>
      <w:r>
        <w:rPr>
          <w:rFonts w:hint="eastAsia" w:ascii="仿宋" w:hAnsi="仿宋" w:eastAsia="仿宋" w:cs="仿宋"/>
          <w:b/>
          <w:bCs/>
          <w:color w:val="000000"/>
          <w:sz w:val="32"/>
          <w:szCs w:val="32"/>
          <w:lang w:eastAsia="zh-CN" w:bidi="ar"/>
        </w:rPr>
        <w:t>；</w:t>
      </w:r>
      <w:r>
        <w:rPr>
          <w:rFonts w:hint="eastAsia" w:ascii="仿宋" w:hAnsi="仿宋" w:eastAsia="仿宋" w:cs="仿宋"/>
          <w:b/>
          <w:bCs/>
          <w:color w:val="000000"/>
          <w:sz w:val="32"/>
          <w:szCs w:val="32"/>
          <w:lang w:bidi="ar"/>
        </w:rPr>
        <w:t xml:space="preserve">申报的债权还有其他债务人的，应当说明其他债务人的履行情况。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申报资料装订顺序要求</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请按照《债权申报须知》《债权申报文件清单》《债权申报表》《送达地址及银行账户确认书》《债权申报风险告知书及承诺书》《主体资格材料》《授权委托书》《债权形成及金额的证据材料》《其他材料》的顺序依次装订成册。</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五、补充申报</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债权人未按期申报，可以在人民法院裁定认可最终分配方案前补充申报，但对此前已经进行的分配无权要求补充分配，同时要承担为审查和确认补充申报债权所产生的费用。补充申报的费用以申报债权额为基数按《诉讼费用交纳办法》</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国务院令第四百八十一号</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第十三条第一款第</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一</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项的标准在补充申报时向</w:t>
      </w:r>
      <w:r>
        <w:rPr>
          <w:rFonts w:hint="eastAsia" w:ascii="仿宋" w:hAnsi="仿宋" w:eastAsia="仿宋" w:cs="仿宋"/>
          <w:color w:val="000000"/>
          <w:sz w:val="32"/>
          <w:szCs w:val="32"/>
          <w:lang w:eastAsia="zh-CN" w:bidi="ar"/>
        </w:rPr>
        <w:t>管理人</w:t>
      </w:r>
      <w:r>
        <w:rPr>
          <w:rFonts w:hint="eastAsia" w:ascii="仿宋" w:hAnsi="仿宋" w:eastAsia="仿宋" w:cs="仿宋"/>
          <w:color w:val="000000"/>
          <w:sz w:val="32"/>
          <w:szCs w:val="32"/>
          <w:lang w:bidi="ar"/>
        </w:rPr>
        <w:t>交纳。</w:t>
      </w:r>
    </w:p>
    <w:p>
      <w:pPr>
        <w:pStyle w:val="5"/>
        <w:keepNext w:val="0"/>
        <w:keepLines w:val="0"/>
        <w:pageBreakBefore w:val="0"/>
        <w:widowControl/>
        <w:kinsoku/>
        <w:overflowPunct/>
        <w:topLinePunct w:val="0"/>
        <w:autoSpaceDE/>
        <w:autoSpaceDN/>
        <w:bidi w:val="0"/>
        <w:spacing w:line="520" w:lineRule="exact"/>
        <w:ind w:firstLine="643" w:firstLineChars="200"/>
        <w:textAlignment w:val="baseline"/>
        <w:rPr>
          <w:rFonts w:ascii="仿宋" w:hAnsi="仿宋" w:eastAsia="仿宋" w:cs="仿宋"/>
          <w:b/>
          <w:bCs/>
          <w:color w:val="000000"/>
          <w:sz w:val="32"/>
          <w:szCs w:val="32"/>
          <w:lang w:bidi="ar"/>
        </w:rPr>
      </w:pPr>
      <w:r>
        <w:rPr>
          <w:rFonts w:hint="eastAsia" w:ascii="仿宋" w:hAnsi="仿宋" w:eastAsia="仿宋" w:cs="仿宋"/>
          <w:b/>
          <w:bCs/>
          <w:color w:val="000000"/>
          <w:sz w:val="32"/>
          <w:szCs w:val="32"/>
          <w:lang w:val="en-US" w:eastAsia="zh-CN" w:bidi="ar"/>
        </w:rPr>
        <w:t>六</w:t>
      </w:r>
      <w:r>
        <w:rPr>
          <w:rFonts w:hint="eastAsia" w:ascii="仿宋" w:hAnsi="仿宋" w:eastAsia="仿宋" w:cs="仿宋"/>
          <w:b/>
          <w:bCs/>
          <w:color w:val="000000"/>
          <w:sz w:val="32"/>
          <w:szCs w:val="32"/>
          <w:lang w:bidi="ar"/>
        </w:rPr>
        <w:t>、其他说明</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1.管理人在收到债权申报材料时进行形式审查并登记后，将对债权人申报债权进行全面审查；申报债权人在申报债权时，务必向管理人全面提供证据材料。</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2.债权申报通知书及相关材料的送达不构成管理人对无效债权的重新确认，也不导致债权诉讼时效中止、中断或延长等法律后果。</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3.本须知及其他资料内容与</w:t>
      </w:r>
      <w:r>
        <w:rPr>
          <w:rFonts w:hint="eastAsia" w:ascii="仿宋" w:hAnsi="仿宋" w:eastAsia="仿宋" w:cs="仿宋"/>
          <w:color w:val="000000"/>
          <w:sz w:val="32"/>
          <w:szCs w:val="32"/>
          <w:lang w:eastAsia="zh-CN" w:bidi="ar"/>
        </w:rPr>
        <w:t>法律法规</w:t>
      </w:r>
      <w:r>
        <w:rPr>
          <w:rFonts w:hint="eastAsia" w:ascii="仿宋" w:hAnsi="仿宋" w:eastAsia="仿宋" w:cs="仿宋"/>
          <w:color w:val="000000"/>
          <w:sz w:val="32"/>
          <w:szCs w:val="32"/>
          <w:lang w:bidi="ar"/>
        </w:rPr>
        <w:t>、司法解释等相关规定不一致的，以</w:t>
      </w:r>
      <w:r>
        <w:rPr>
          <w:rFonts w:hint="eastAsia" w:ascii="仿宋" w:hAnsi="仿宋" w:eastAsia="仿宋" w:cs="仿宋"/>
          <w:color w:val="000000"/>
          <w:sz w:val="32"/>
          <w:szCs w:val="32"/>
          <w:lang w:eastAsia="zh-CN" w:bidi="ar"/>
        </w:rPr>
        <w:t>法律法规</w:t>
      </w:r>
      <w:r>
        <w:rPr>
          <w:rFonts w:hint="eastAsia" w:ascii="仿宋" w:hAnsi="仿宋" w:eastAsia="仿宋" w:cs="仿宋"/>
          <w:color w:val="000000"/>
          <w:sz w:val="32"/>
          <w:szCs w:val="32"/>
          <w:lang w:bidi="ar"/>
        </w:rPr>
        <w:t xml:space="preserve">、司法解释等相关规定为准。 </w:t>
      </w:r>
    </w:p>
    <w:p>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4.债权人如有相关疑问，请及时与管理人联系。 </w:t>
      </w:r>
    </w:p>
    <w:p>
      <w:pPr>
        <w:keepNext w:val="0"/>
        <w:keepLines w:val="0"/>
        <w:pageBreakBefore w:val="0"/>
        <w:widowControl/>
        <w:kinsoku/>
        <w:overflowPunct/>
        <w:topLinePunct w:val="0"/>
        <w:autoSpaceDE/>
        <w:autoSpaceDN/>
        <w:bidi w:val="0"/>
        <w:spacing w:line="52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特此公告</w:t>
      </w:r>
    </w:p>
    <w:p>
      <w:pPr>
        <w:keepNext w:val="0"/>
        <w:keepLines w:val="0"/>
        <w:pageBreakBefore w:val="0"/>
        <w:widowControl/>
        <w:kinsoku/>
        <w:overflowPunct/>
        <w:topLinePunct w:val="0"/>
        <w:autoSpaceDE/>
        <w:autoSpaceDN/>
        <w:bidi w:val="0"/>
        <w:spacing w:line="520" w:lineRule="exact"/>
        <w:ind w:firstLine="5120" w:firstLineChars="1600"/>
        <w:rPr>
          <w:rFonts w:ascii="仿宋" w:hAnsi="仿宋" w:eastAsia="仿宋" w:cs="仿宋"/>
          <w:color w:val="000000"/>
          <w:sz w:val="32"/>
          <w:szCs w:val="32"/>
          <w:lang w:bidi="ar"/>
        </w:rPr>
      </w:pPr>
    </w:p>
    <w:p>
      <w:pPr>
        <w:keepNext w:val="0"/>
        <w:keepLines w:val="0"/>
        <w:pageBreakBefore w:val="0"/>
        <w:widowControl/>
        <w:kinsoku/>
        <w:overflowPunct/>
        <w:topLinePunct w:val="0"/>
        <w:autoSpaceDE/>
        <w:autoSpaceDN/>
        <w:bidi w:val="0"/>
        <w:spacing w:line="520" w:lineRule="exact"/>
        <w:ind w:right="320"/>
        <w:jc w:val="right"/>
        <w:rPr>
          <w:rFonts w:ascii="仿宋" w:hAnsi="仿宋" w:eastAsia="仿宋" w:cs="仿宋"/>
          <w:color w:val="000000"/>
          <w:sz w:val="32"/>
          <w:szCs w:val="32"/>
          <w:lang w:bidi="ar"/>
        </w:rPr>
      </w:pPr>
    </w:p>
    <w:p>
      <w:pPr>
        <w:keepNext w:val="0"/>
        <w:keepLines w:val="0"/>
        <w:pageBreakBefore w:val="0"/>
        <w:widowControl/>
        <w:kinsoku/>
        <w:overflowPunct/>
        <w:topLinePunct w:val="0"/>
        <w:autoSpaceDE/>
        <w:autoSpaceDN/>
        <w:bidi w:val="0"/>
        <w:spacing w:line="520" w:lineRule="exact"/>
        <w:jc w:val="right"/>
        <w:rPr>
          <w:rFonts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 </w:t>
      </w:r>
      <w:r>
        <w:rPr>
          <w:rFonts w:hint="eastAsia" w:ascii="仿宋" w:hAnsi="仿宋" w:eastAsia="仿宋" w:cs="仿宋"/>
          <w:color w:val="000000"/>
          <w:sz w:val="32"/>
          <w:szCs w:val="32"/>
          <w:lang w:eastAsia="zh-CN" w:bidi="ar"/>
        </w:rPr>
        <w:t>河北安铭梁新能源发电有限公司</w:t>
      </w:r>
      <w:r>
        <w:rPr>
          <w:rFonts w:hint="eastAsia" w:ascii="仿宋" w:hAnsi="仿宋" w:eastAsia="仿宋" w:cs="仿宋"/>
          <w:color w:val="000000"/>
          <w:sz w:val="32"/>
          <w:szCs w:val="32"/>
          <w:lang w:val="en-US" w:eastAsia="zh-CN" w:bidi="ar"/>
        </w:rPr>
        <w:t>临时</w:t>
      </w:r>
      <w:r>
        <w:rPr>
          <w:rFonts w:hint="eastAsia" w:ascii="仿宋" w:hAnsi="仿宋" w:eastAsia="仿宋" w:cs="仿宋"/>
          <w:color w:val="000000"/>
          <w:sz w:val="32"/>
          <w:szCs w:val="32"/>
          <w:lang w:bidi="ar"/>
        </w:rPr>
        <w:t>管理人</w:t>
      </w:r>
    </w:p>
    <w:p>
      <w:pPr>
        <w:keepNext w:val="0"/>
        <w:keepLines w:val="0"/>
        <w:pageBreakBefore w:val="0"/>
        <w:widowControl/>
        <w:kinsoku/>
        <w:overflowPunct/>
        <w:topLinePunct w:val="0"/>
        <w:autoSpaceDE/>
        <w:autoSpaceDN/>
        <w:bidi w:val="0"/>
        <w:spacing w:line="520" w:lineRule="exact"/>
        <w:ind w:firstLine="5120" w:firstLineChars="1600"/>
        <w:rPr>
          <w:rFonts w:hint="eastAsia" w:ascii="仿宋" w:hAnsi="仿宋" w:eastAsia="仿宋" w:cs="仿宋"/>
          <w:color w:val="000000"/>
          <w:sz w:val="32"/>
          <w:szCs w:val="32"/>
          <w:lang w:eastAsia="zh-CN" w:bidi="ar"/>
        </w:rPr>
      </w:pPr>
    </w:p>
    <w:p>
      <w:pPr>
        <w:keepNext w:val="0"/>
        <w:keepLines w:val="0"/>
        <w:pageBreakBefore w:val="0"/>
        <w:widowControl/>
        <w:kinsoku/>
        <w:wordWrap w:val="0"/>
        <w:overflowPunct/>
        <w:topLinePunct w:val="0"/>
        <w:autoSpaceDE/>
        <w:autoSpaceDN/>
        <w:bidi w:val="0"/>
        <w:spacing w:line="520" w:lineRule="exact"/>
        <w:jc w:val="right"/>
        <w:rPr>
          <w:rFonts w:ascii="仿宋" w:hAnsi="仿宋" w:eastAsia="仿宋" w:cs="仿宋"/>
          <w:color w:val="000000"/>
          <w:sz w:val="32"/>
          <w:szCs w:val="32"/>
          <w:lang w:bidi="ar"/>
        </w:rPr>
      </w:pPr>
      <w:r>
        <w:rPr>
          <w:rFonts w:hint="eastAsia" w:ascii="仿宋" w:hAnsi="仿宋" w:eastAsia="仿宋" w:cs="仿宋"/>
          <w:color w:val="000000"/>
          <w:sz w:val="32"/>
          <w:szCs w:val="32"/>
          <w:lang w:bidi="ar"/>
        </w:rPr>
        <w:t>二〇二四年</w:t>
      </w:r>
      <w:r>
        <w:rPr>
          <w:rFonts w:hint="eastAsia" w:ascii="仿宋" w:hAnsi="仿宋" w:eastAsia="仿宋" w:cs="仿宋"/>
          <w:color w:val="000000"/>
          <w:sz w:val="32"/>
          <w:szCs w:val="32"/>
          <w:lang w:val="en-US" w:eastAsia="zh-CN" w:bidi="ar"/>
        </w:rPr>
        <w:t>六</w:t>
      </w:r>
      <w:r>
        <w:rPr>
          <w:rFonts w:hint="eastAsia" w:ascii="仿宋" w:hAnsi="仿宋" w:eastAsia="仿宋" w:cs="仿宋"/>
          <w:color w:val="000000"/>
          <w:sz w:val="32"/>
          <w:szCs w:val="32"/>
          <w:lang w:bidi="ar"/>
        </w:rPr>
        <w:t>月二十</w:t>
      </w:r>
      <w:r>
        <w:rPr>
          <w:rFonts w:hint="eastAsia" w:ascii="仿宋" w:hAnsi="仿宋" w:eastAsia="仿宋" w:cs="仿宋"/>
          <w:color w:val="000000"/>
          <w:sz w:val="32"/>
          <w:szCs w:val="32"/>
          <w:lang w:val="en-US" w:eastAsia="zh-CN" w:bidi="ar"/>
        </w:rPr>
        <w:t>八</w:t>
      </w:r>
      <w:r>
        <w:rPr>
          <w:rFonts w:hint="eastAsia" w:ascii="仿宋" w:hAnsi="仿宋" w:eastAsia="仿宋" w:cs="仿宋"/>
          <w:color w:val="000000"/>
          <w:sz w:val="32"/>
          <w:szCs w:val="32"/>
          <w:lang w:bidi="ar"/>
        </w:rPr>
        <w:t>日</w:t>
      </w:r>
    </w:p>
    <w:p>
      <w:pPr>
        <w:widowControl/>
        <w:wordWrap w:val="0"/>
        <w:spacing w:line="560" w:lineRule="exact"/>
        <w:jc w:val="right"/>
        <w:rPr>
          <w:rFonts w:ascii="仿宋" w:hAnsi="仿宋" w:eastAsia="仿宋" w:cs="仿宋"/>
          <w:color w:val="000000"/>
          <w:sz w:val="32"/>
          <w:szCs w:val="32"/>
          <w:lang w:bidi="ar"/>
        </w:rPr>
      </w:pPr>
    </w:p>
    <w:p>
      <w:r>
        <w:br w:type="page"/>
      </w:r>
    </w:p>
    <w:p>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附件1-1 </w:t>
      </w:r>
    </w:p>
    <w:p>
      <w:pPr>
        <w:keepNext w:val="0"/>
        <w:keepLines w:val="0"/>
        <w:widowControl/>
        <w:suppressLineNumbers w:val="0"/>
        <w:spacing w:before="0" w:beforeAutospacing="0" w:after="95" w:afterAutospacing="0" w:line="256" w:lineRule="auto"/>
        <w:ind w:left="0" w:right="0"/>
        <w:jc w:val="center"/>
        <w:rPr>
          <w:rFonts w:hint="eastAsia" w:ascii="黑体" w:hAnsi="黑体" w:eastAsia="黑体" w:cs="黑体"/>
          <w:sz w:val="36"/>
          <w:szCs w:val="36"/>
          <w:lang w:eastAsia="zh-CN"/>
        </w:rPr>
      </w:pPr>
      <w:r>
        <w:rPr>
          <w:rFonts w:hint="eastAsia" w:ascii="黑体" w:hAnsi="黑体" w:eastAsia="黑体" w:cs="黑体"/>
          <w:sz w:val="36"/>
          <w:szCs w:val="36"/>
          <w:lang w:val="en-US" w:eastAsia="zh-CN"/>
        </w:rPr>
        <w:t>河北安铭梁新能源发电有限公司破产预重整</w:t>
      </w:r>
      <w:r>
        <w:rPr>
          <w:rFonts w:hint="eastAsia" w:ascii="黑体" w:hAnsi="黑体" w:eastAsia="黑体" w:cs="黑体"/>
          <w:sz w:val="36"/>
          <w:szCs w:val="36"/>
          <w:lang w:eastAsia="zh-CN"/>
        </w:rPr>
        <w:t>案</w:t>
      </w:r>
    </w:p>
    <w:p>
      <w:pPr>
        <w:pStyle w:val="2"/>
        <w:keepNext/>
        <w:keepLines/>
        <w:pageBreakBefore w:val="0"/>
        <w:widowControl/>
        <w:kinsoku/>
        <w:wordWrap/>
        <w:overflowPunct/>
        <w:topLinePunct w:val="0"/>
        <w:autoSpaceDE/>
        <w:autoSpaceDN/>
        <w:bidi w:val="0"/>
        <w:adjustRightInd/>
        <w:snapToGrid/>
        <w:spacing w:before="0" w:after="0" w:line="500" w:lineRule="exact"/>
        <w:ind w:firstLine="0" w:firstLineChars="0"/>
        <w:jc w:val="both"/>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债权申报文件清单</w:t>
      </w:r>
    </w:p>
    <w:p>
      <w:pPr>
        <w:pStyle w:val="2"/>
        <w:keepNext/>
        <w:keepLines/>
        <w:pageBreakBefore w:val="0"/>
        <w:widowControl/>
        <w:kinsoku/>
        <w:wordWrap w:val="0"/>
        <w:overflowPunct/>
        <w:topLinePunct w:val="0"/>
        <w:autoSpaceDE/>
        <w:autoSpaceDN/>
        <w:bidi w:val="0"/>
        <w:adjustRightInd/>
        <w:snapToGrid/>
        <w:spacing w:before="0" w:after="0" w:line="500" w:lineRule="exact"/>
        <w:ind w:firstLine="0" w:firstLineChars="0"/>
        <w:jc w:val="right"/>
        <w:textAlignment w:val="auto"/>
        <w:rPr>
          <w:rFonts w:hint="eastAsia" w:ascii="宋体" w:hAnsi="宋体" w:eastAsia="宋体" w:cs="宋体"/>
          <w:color w:val="000000"/>
          <w:kern w:val="2"/>
          <w:sz w:val="24"/>
          <w:szCs w:val="22"/>
          <w:lang w:val="en-US" w:eastAsia="zh-CN" w:bidi="ar"/>
        </w:rPr>
      </w:pPr>
      <w:r>
        <w:rPr>
          <w:rFonts w:hint="eastAsia" w:ascii="黑体" w:hAnsi="黑体" w:eastAsia="黑体" w:cs="黑体"/>
          <w:sz w:val="36"/>
          <w:szCs w:val="36"/>
          <w:lang w:val="en-US" w:eastAsia="zh-CN"/>
        </w:rPr>
        <w:t xml:space="preserve">  </w:t>
      </w:r>
      <w:r>
        <w:rPr>
          <w:rFonts w:hint="eastAsia" w:ascii="宋体" w:hAnsi="宋体" w:eastAsia="宋体" w:cs="宋体"/>
          <w:color w:val="000000"/>
          <w:kern w:val="2"/>
          <w:sz w:val="24"/>
          <w:szCs w:val="22"/>
          <w:lang w:val="en-US" w:eastAsia="zh-CN" w:bidi="ar"/>
        </w:rPr>
        <w:t>债权编号：</w:t>
      </w:r>
      <w:r>
        <w:rPr>
          <w:rFonts w:hint="eastAsia" w:cs="宋体"/>
          <w:color w:val="000000"/>
          <w:kern w:val="2"/>
          <w:sz w:val="24"/>
          <w:szCs w:val="22"/>
          <w:lang w:val="en-US" w:eastAsia="zh-CN" w:bidi="ar"/>
        </w:rPr>
        <w:t>（2024）安铭梁</w:t>
      </w:r>
      <w:r>
        <w:rPr>
          <w:rFonts w:hint="eastAsia" w:ascii="宋体" w:hAnsi="宋体" w:eastAsia="宋体" w:cs="宋体"/>
          <w:color w:val="000000"/>
          <w:kern w:val="2"/>
          <w:sz w:val="24"/>
          <w:szCs w:val="22"/>
          <w:lang w:val="en-US" w:eastAsia="zh-CN" w:bidi="ar"/>
        </w:rPr>
        <w:t xml:space="preserve">债权字第 </w:t>
      </w:r>
      <w:r>
        <w:rPr>
          <w:rFonts w:hint="eastAsia" w:cs="宋体"/>
          <w:color w:val="000000"/>
          <w:kern w:val="2"/>
          <w:sz w:val="24"/>
          <w:szCs w:val="22"/>
          <w:lang w:val="en-US" w:eastAsia="zh-CN" w:bidi="ar"/>
        </w:rPr>
        <w:t xml:space="preserve">    </w:t>
      </w:r>
      <w:r>
        <w:rPr>
          <w:rFonts w:hint="eastAsia" w:ascii="宋体" w:hAnsi="宋体" w:eastAsia="宋体" w:cs="宋体"/>
          <w:color w:val="000000"/>
          <w:kern w:val="2"/>
          <w:sz w:val="24"/>
          <w:szCs w:val="22"/>
          <w:lang w:val="en-US" w:eastAsia="zh-CN" w:bidi="ar"/>
        </w:rPr>
        <w:t>号</w:t>
      </w:r>
    </w:p>
    <w:p>
      <w:pPr>
        <w:wordWrap/>
        <w:jc w:val="left"/>
        <w:rPr>
          <w:rFonts w:hint="default"/>
          <w:lang w:val="en-US" w:eastAsia="zh-CN"/>
        </w:rPr>
      </w:pPr>
      <w:r>
        <w:rPr>
          <w:rFonts w:hint="default"/>
          <w:lang w:val="en-US" w:eastAsia="zh-CN"/>
        </w:rPr>
        <w:t>债权人应按照“序号及文件名称”提示排放文件顺序提交材料。（</w:t>
      </w:r>
      <w:r>
        <w:rPr>
          <w:rFonts w:hint="eastAsia"/>
          <w:lang w:val="en-US" w:eastAsia="zh-CN"/>
        </w:rPr>
        <w:t>债权相关</w:t>
      </w:r>
      <w:r>
        <w:rPr>
          <w:rFonts w:hint="default"/>
          <w:lang w:val="en-US" w:eastAsia="zh-CN"/>
        </w:rPr>
        <w:t>证据材料一式三份）</w:t>
      </w:r>
    </w:p>
    <w:tbl>
      <w:tblPr>
        <w:tblStyle w:val="11"/>
        <w:tblW w:w="8985" w:type="dxa"/>
        <w:jc w:val="center"/>
        <w:shd w:val="clear" w:color="auto" w:fill="auto"/>
        <w:tblLayout w:type="autofit"/>
        <w:tblCellMar>
          <w:top w:w="39" w:type="dxa"/>
          <w:left w:w="108" w:type="dxa"/>
          <w:bottom w:w="41" w:type="dxa"/>
          <w:right w:w="0" w:type="dxa"/>
        </w:tblCellMar>
      </w:tblPr>
      <w:tblGrid>
        <w:gridCol w:w="934"/>
        <w:gridCol w:w="4426"/>
        <w:gridCol w:w="934"/>
        <w:gridCol w:w="934"/>
        <w:gridCol w:w="1757"/>
      </w:tblGrid>
      <w:tr>
        <w:tblPrEx>
          <w:tblCellMar>
            <w:top w:w="39" w:type="dxa"/>
            <w:left w:w="108" w:type="dxa"/>
            <w:bottom w:w="41" w:type="dxa"/>
            <w:right w:w="0" w:type="dxa"/>
          </w:tblCellMar>
        </w:tblPrEx>
        <w:trPr>
          <w:trHeight w:val="541"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债权人： </w:t>
            </w:r>
          </w:p>
        </w:tc>
      </w:tr>
      <w:tr>
        <w:tblPrEx>
          <w:tblCellMar>
            <w:top w:w="39" w:type="dxa"/>
            <w:left w:w="108" w:type="dxa"/>
            <w:bottom w:w="41" w:type="dxa"/>
            <w:right w:w="0" w:type="dxa"/>
          </w:tblCellMar>
        </w:tblPrEx>
        <w:trPr>
          <w:trHeight w:val="54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序号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文件名称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份数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页数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108"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是否原件 </w:t>
            </w:r>
          </w:p>
        </w:tc>
      </w:tr>
      <w:tr>
        <w:tblPrEx>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default"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债权申报须知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债权申报文件清单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4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送达地址及银行账户确认书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债权申报风险告知书及承诺书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2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6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5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3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8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9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tblPrEx>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tblPrEx>
          <w:shd w:val="clear" w:color="auto" w:fill="auto"/>
          <w:tblCellMar>
            <w:top w:w="39" w:type="dxa"/>
            <w:left w:w="108" w:type="dxa"/>
            <w:bottom w:w="41" w:type="dxa"/>
            <w:right w:w="0" w:type="dxa"/>
          </w:tblCellMar>
        </w:tblPrEx>
        <w:trPr>
          <w:trHeight w:val="1306"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提交人声明：本次提交的所有申报债权文件与原件相一致，不存在虚构、伪造、变造等情形，否则愿意承担由此产生的法律责任。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签收人声明：本次申报债权文件的签收并不代表签收人对其申报债权以及提交文件资料真实性、合法性及关联性的确认。 </w:t>
            </w:r>
          </w:p>
        </w:tc>
      </w:tr>
    </w:tbl>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8"/>
          <w:szCs w:val="22"/>
          <w:lang w:val="en-US" w:eastAsia="zh-CN" w:bidi="ar"/>
        </w:rPr>
      </w:pPr>
      <w:r>
        <w:rPr>
          <w:rFonts w:hint="eastAsia" w:ascii="宋体" w:hAnsi="宋体" w:eastAsia="宋体" w:cs="宋体"/>
          <w:color w:val="000000"/>
          <w:kern w:val="2"/>
          <w:sz w:val="28"/>
          <w:szCs w:val="22"/>
          <w:lang w:val="en-US" w:eastAsia="zh-CN" w:bidi="ar"/>
        </w:rPr>
        <w:t>申报债权人</w:t>
      </w:r>
      <w:r>
        <w:rPr>
          <w:rFonts w:hint="eastAsia" w:ascii="宋体" w:hAnsi="宋体" w:cs="宋体"/>
          <w:color w:val="000000"/>
          <w:kern w:val="2"/>
          <w:sz w:val="28"/>
          <w:szCs w:val="22"/>
          <w:lang w:val="en-US" w:eastAsia="zh-CN" w:bidi="ar"/>
        </w:rPr>
        <w:t>（</w:t>
      </w:r>
      <w:r>
        <w:rPr>
          <w:rFonts w:hint="eastAsia" w:ascii="宋体" w:hAnsi="宋体" w:eastAsia="宋体" w:cs="宋体"/>
          <w:color w:val="000000"/>
          <w:kern w:val="2"/>
          <w:sz w:val="28"/>
          <w:szCs w:val="22"/>
          <w:u w:val="none"/>
          <w:lang w:val="en-US" w:eastAsia="zh-CN" w:bidi="ar"/>
        </w:rPr>
        <w:t>签章）</w:t>
      </w:r>
      <w:r>
        <w:rPr>
          <w:rFonts w:hint="eastAsia" w:ascii="宋体" w:hAnsi="宋体" w:eastAsia="宋体" w:cs="宋体"/>
          <w:color w:val="000000"/>
          <w:kern w:val="2"/>
          <w:sz w:val="28"/>
          <w:szCs w:val="22"/>
          <w:lang w:val="en-US" w:eastAsia="zh-CN" w:bidi="ar"/>
        </w:rPr>
        <w:t>：</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lang w:val="en-US" w:eastAsia="zh-CN" w:bidi="ar"/>
        </w:rPr>
        <w:t xml:space="preserve"> 提交人（签名捺印）：</w:t>
      </w:r>
      <w:r>
        <w:rPr>
          <w:rFonts w:hint="eastAsia" w:ascii="宋体" w:hAnsi="宋体" w:eastAsia="宋体" w:cs="宋体"/>
          <w:color w:val="000000"/>
          <w:kern w:val="2"/>
          <w:sz w:val="28"/>
          <w:szCs w:val="22"/>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pPr>
      <w:r>
        <w:rPr>
          <w:rFonts w:hint="eastAsia" w:ascii="宋体" w:hAnsi="宋体" w:eastAsia="宋体" w:cs="宋体"/>
          <w:color w:val="000000"/>
          <w:kern w:val="2"/>
          <w:sz w:val="28"/>
          <w:szCs w:val="22"/>
          <w:lang w:val="en-US" w:eastAsia="zh-CN" w:bidi="ar"/>
        </w:rPr>
        <w:t>提交时间：</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lang w:val="en-US" w:eastAsia="zh-CN" w:bidi="ar"/>
        </w:rPr>
        <w:t xml:space="preserve">          </w:t>
      </w:r>
      <w:r>
        <w:rPr>
          <w:rFonts w:hint="default" w:ascii="Tahoma" w:hAnsi="Tahoma" w:eastAsia="Tahoma" w:cs="Tahoma"/>
          <w:color w:val="000000"/>
          <w:kern w:val="2"/>
          <w:sz w:val="18"/>
          <w:szCs w:val="22"/>
          <w:lang w:val="en-US" w:eastAsia="zh-CN" w:bidi="ar"/>
        </w:rPr>
        <w:t xml:space="preserve"> </w:t>
      </w:r>
    </w:p>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附件-2-1</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河北安铭梁新能源发电有限公司</w:t>
      </w:r>
      <w:r>
        <w:rPr>
          <w:rFonts w:hint="eastAsia" w:ascii="宋体" w:hAnsi="宋体" w:eastAsia="宋体" w:cs="宋体"/>
          <w:b/>
          <w:bCs/>
          <w:spacing w:val="0"/>
          <w:kern w:val="10"/>
          <w:position w:val="0"/>
          <w:sz w:val="36"/>
          <w:szCs w:val="36"/>
          <w:lang w:val="en-US" w:eastAsia="zh-CN"/>
        </w:rPr>
        <w:t>破产</w:t>
      </w:r>
      <w:r>
        <w:rPr>
          <w:rFonts w:hint="eastAsia" w:ascii="宋体" w:hAnsi="宋体" w:cs="宋体"/>
          <w:b/>
          <w:bCs/>
          <w:spacing w:val="0"/>
          <w:kern w:val="10"/>
          <w:position w:val="0"/>
          <w:sz w:val="36"/>
          <w:szCs w:val="36"/>
          <w:lang w:val="en-US" w:eastAsia="zh-CN"/>
        </w:rPr>
        <w:t>预重整</w:t>
      </w:r>
      <w:r>
        <w:rPr>
          <w:rFonts w:hint="eastAsia" w:ascii="宋体" w:hAnsi="宋体" w:eastAsia="宋体" w:cs="宋体"/>
          <w:b/>
          <w:bCs/>
          <w:spacing w:val="0"/>
          <w:kern w:val="10"/>
          <w:position w:val="0"/>
          <w:sz w:val="36"/>
          <w:szCs w:val="36"/>
          <w:lang w:eastAsia="zh-CN"/>
        </w:rPr>
        <w:t>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（自然人债权人）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99"/>
        <w:gridCol w:w="1440"/>
        <w:gridCol w:w="770"/>
        <w:gridCol w:w="668"/>
        <w:gridCol w:w="1415"/>
        <w:gridCol w:w="277"/>
        <w:gridCol w:w="2"/>
        <w:gridCol w:w="2356"/>
        <w:gridCol w:w="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75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债权人姓名 </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53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身份证号码</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住所地 </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2" w:hRule="atLeast"/>
        </w:trPr>
        <w:tc>
          <w:tcPr>
            <w:tcW w:w="2508" w:type="dxa"/>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本金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违约金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其他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合计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2"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98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7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440"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1741"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440"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210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440"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3"/>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3"/>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4370"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9"/>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460"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9"/>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（例：XX年X月X日至2023年6月29日，本金A元×利率B%=C元）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声明</w:t>
            </w:r>
            <w:r>
              <w:rPr>
                <w:rFonts w:hint="eastAsia" w:ascii="楷体" w:hAnsi="楷体" w:eastAsia="楷体" w:cs="楷体"/>
                <w:sz w:val="24"/>
                <w:szCs w:val="24"/>
                <w:lang w:val="en-US"/>
              </w:rPr>
              <w:t>和保证</w:t>
            </w:r>
          </w:p>
        </w:tc>
        <w:tc>
          <w:tcPr>
            <w:tcW w:w="7030" w:type="dxa"/>
            <w:gridSpan w:val="9"/>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b/>
                <w:sz w:val="24"/>
                <w:szCs w:val="24"/>
              </w:rPr>
            </w:pPr>
            <w:r>
              <w:rPr>
                <w:rFonts w:hint="eastAsia" w:ascii="楷体" w:hAnsi="楷体" w:eastAsia="楷体" w:cs="楷体"/>
                <w:color w:val="000000"/>
                <w:kern w:val="2"/>
                <w:sz w:val="24"/>
                <w:szCs w:val="24"/>
                <w:lang w:val="en-US" w:eastAsia="zh-CN" w:bidi="ar"/>
              </w:rPr>
              <w:t xml:space="preserve">    </w:t>
            </w: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pPr>
        <w:keepNext w:val="0"/>
        <w:keepLines w:val="0"/>
        <w:widowControl/>
        <w:suppressLineNumbers w:val="0"/>
        <w:spacing w:before="0" w:beforeAutospacing="0" w:after="0" w:afterAutospacing="0" w:line="256" w:lineRule="auto"/>
        <w:ind w:left="0" w:right="5"/>
        <w:jc w:val="both"/>
        <w:rPr>
          <w:lang w:val="en-US"/>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河北安铭梁新能源发电有限公司</w:t>
      </w:r>
      <w:r>
        <w:rPr>
          <w:rFonts w:hint="eastAsia" w:ascii="宋体" w:hAnsi="宋体" w:eastAsia="宋体" w:cs="宋体"/>
          <w:color w:val="000000"/>
          <w:kern w:val="2"/>
          <w:sz w:val="24"/>
          <w:szCs w:val="22"/>
          <w:lang w:val="en-US" w:eastAsia="zh-CN" w:bidi="ar"/>
        </w:rPr>
        <w:t>享有债权。</w:t>
      </w:r>
    </w:p>
    <w:p>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p>
    <w:p>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债权人（签名、捺印）：</w:t>
      </w:r>
    </w:p>
    <w:p>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 xml:space="preserve">                                                        年   月   日</w:t>
      </w:r>
    </w:p>
    <w:p>
      <w:r>
        <w:br w:type="page"/>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附件-2-2</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河北安铭梁新能源发电有限公司</w:t>
      </w:r>
      <w:r>
        <w:rPr>
          <w:rFonts w:hint="eastAsia" w:ascii="宋体" w:hAnsi="宋体" w:eastAsia="宋体" w:cs="宋体"/>
          <w:b/>
          <w:bCs/>
          <w:spacing w:val="0"/>
          <w:kern w:val="10"/>
          <w:position w:val="0"/>
          <w:sz w:val="36"/>
          <w:szCs w:val="36"/>
          <w:lang w:val="en-US" w:eastAsia="zh-CN"/>
        </w:rPr>
        <w:t>破产</w:t>
      </w:r>
      <w:r>
        <w:rPr>
          <w:rFonts w:hint="eastAsia" w:ascii="宋体" w:hAnsi="宋体" w:cs="宋体"/>
          <w:b/>
          <w:bCs/>
          <w:spacing w:val="0"/>
          <w:kern w:val="10"/>
          <w:position w:val="0"/>
          <w:sz w:val="36"/>
          <w:szCs w:val="36"/>
          <w:lang w:val="en-US" w:eastAsia="zh-CN"/>
        </w:rPr>
        <w:t>预重整</w:t>
      </w:r>
      <w:r>
        <w:rPr>
          <w:rFonts w:hint="eastAsia" w:ascii="宋体" w:hAnsi="宋体" w:eastAsia="宋体" w:cs="宋体"/>
          <w:b/>
          <w:bCs/>
          <w:spacing w:val="0"/>
          <w:kern w:val="10"/>
          <w:position w:val="0"/>
          <w:sz w:val="36"/>
          <w:szCs w:val="36"/>
          <w:lang w:eastAsia="zh-CN"/>
        </w:rPr>
        <w:t>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（机构债权人）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99"/>
        <w:gridCol w:w="1440"/>
        <w:gridCol w:w="770"/>
        <w:gridCol w:w="668"/>
        <w:gridCol w:w="1415"/>
        <w:gridCol w:w="277"/>
        <w:gridCol w:w="2"/>
        <w:gridCol w:w="2356"/>
        <w:gridCol w:w="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债权人名称 </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53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组织机构代码/统一社会信用证代码 </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债权人住所地 </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法定代表人（负责人）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身份证号码 </w:t>
            </w:r>
          </w:p>
        </w:tc>
        <w:tc>
          <w:tcPr>
            <w:tcW w:w="2635"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508" w:type="dxa"/>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本金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违约金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其他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508" w:type="dxa"/>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合计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2"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878"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98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6928"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7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440"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1741"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440"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2105" w:hRule="atLeast"/>
        </w:trPr>
        <w:tc>
          <w:tcPr>
            <w:tcW w:w="250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440"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3"/>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3"/>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4370"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9"/>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460"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9"/>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（例：XX年X月X日至2023年6月29日，本金A元×利率B%=C元）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w:t>
            </w:r>
            <w:r>
              <w:rPr>
                <w:rFonts w:hint="eastAsia" w:ascii="楷体" w:hAnsi="楷体" w:eastAsia="楷体" w:cs="楷体"/>
                <w:sz w:val="24"/>
                <w:szCs w:val="24"/>
                <w:lang w:val="en-US"/>
              </w:rPr>
              <w:t>明和保证</w:t>
            </w:r>
          </w:p>
        </w:tc>
        <w:tc>
          <w:tcPr>
            <w:tcW w:w="7030" w:type="dxa"/>
            <w:gridSpan w:val="9"/>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b/>
                <w:sz w:val="24"/>
                <w:szCs w:val="24"/>
              </w:rPr>
            </w:pP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pPr>
        <w:keepNext w:val="0"/>
        <w:keepLines w:val="0"/>
        <w:widowControl/>
        <w:suppressLineNumbers w:val="0"/>
        <w:spacing w:before="0" w:beforeAutospacing="0" w:after="0" w:afterAutospacing="0" w:line="256" w:lineRule="auto"/>
        <w:ind w:left="0" w:right="5"/>
        <w:jc w:val="both"/>
        <w:rPr>
          <w:lang w:val="en-US"/>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河北安铭梁新能源发电有限公司</w:t>
      </w:r>
      <w:r>
        <w:rPr>
          <w:rFonts w:hint="eastAsia" w:ascii="宋体" w:hAnsi="宋体" w:eastAsia="宋体" w:cs="宋体"/>
          <w:color w:val="000000"/>
          <w:kern w:val="2"/>
          <w:sz w:val="24"/>
          <w:szCs w:val="22"/>
          <w:lang w:val="en-US" w:eastAsia="zh-CN" w:bidi="ar"/>
        </w:rPr>
        <w:t>享有债权。</w:t>
      </w:r>
    </w:p>
    <w:p>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债权人：（盖章） </w:t>
      </w:r>
    </w:p>
    <w:p>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p>
    <w:p>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法定代表人/负责人：（签名）                             年   月   日</w:t>
      </w:r>
    </w:p>
    <w:p>
      <w:r>
        <w:br w:type="page"/>
      </w:r>
    </w:p>
    <w:p>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附件-3</w:t>
      </w:r>
    </w:p>
    <w:p>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cs="宋体"/>
          <w:b/>
          <w:sz w:val="36"/>
          <w:szCs w:val="36"/>
          <w:lang w:val="en-US" w:eastAsia="zh-CN"/>
        </w:rPr>
        <w:t>河北安铭梁新能源发电有限公司</w:t>
      </w:r>
      <w:r>
        <w:rPr>
          <w:rFonts w:hint="eastAsia" w:ascii="宋体" w:hAnsi="宋体" w:eastAsia="宋体" w:cs="宋体"/>
          <w:b/>
          <w:sz w:val="36"/>
          <w:szCs w:val="36"/>
          <w:lang w:val="en-US" w:eastAsia="zh-CN"/>
        </w:rPr>
        <w:t>破产</w:t>
      </w:r>
      <w:r>
        <w:rPr>
          <w:rFonts w:hint="eastAsia" w:ascii="宋体" w:hAnsi="宋体" w:cs="宋体"/>
          <w:b/>
          <w:bCs/>
          <w:spacing w:val="0"/>
          <w:kern w:val="10"/>
          <w:position w:val="0"/>
          <w:sz w:val="36"/>
          <w:szCs w:val="36"/>
          <w:lang w:val="en-US" w:eastAsia="zh-CN"/>
        </w:rPr>
        <w:t>预重整</w:t>
      </w:r>
      <w:r>
        <w:rPr>
          <w:rFonts w:hint="eastAsia" w:ascii="宋体" w:hAnsi="宋体" w:eastAsia="宋体" w:cs="宋体"/>
          <w:b/>
          <w:sz w:val="36"/>
          <w:szCs w:val="36"/>
        </w:rPr>
        <w:t>案</w:t>
      </w:r>
    </w:p>
    <w:p>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eastAsia="宋体" w:cs="宋体"/>
          <w:b/>
          <w:sz w:val="36"/>
          <w:szCs w:val="36"/>
        </w:rPr>
        <w:t>送达地址及银行账户确认书</w:t>
      </w:r>
    </w:p>
    <w:tbl>
      <w:tblPr>
        <w:tblStyle w:val="6"/>
        <w:tblW w:w="10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315"/>
        <w:gridCol w:w="600"/>
        <w:gridCol w:w="2173"/>
        <w:gridCol w:w="1489"/>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135" w:type="dxa"/>
            <w:vMerge w:val="restart"/>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债权人送达地址和信息</w:t>
            </w:r>
          </w:p>
        </w:tc>
        <w:tc>
          <w:tcPr>
            <w:tcW w:w="2915" w:type="dxa"/>
            <w:gridSpan w:val="2"/>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债权人姓名或名称</w:t>
            </w:r>
          </w:p>
        </w:tc>
        <w:tc>
          <w:tcPr>
            <w:tcW w:w="6009" w:type="dxa"/>
            <w:gridSpan w:val="3"/>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continue"/>
            <w:tcBorders>
              <w:left w:val="single" w:color="auto" w:sz="4" w:space="0"/>
              <w:right w:val="single" w:color="auto" w:sz="4" w:space="0"/>
            </w:tcBorders>
            <w:vAlign w:val="center"/>
          </w:tcPr>
          <w:p>
            <w:pPr>
              <w:jc w:val="center"/>
              <w:rPr>
                <w:rFonts w:asciiTheme="majorEastAsia" w:hAnsiTheme="majorEastAsia" w:eastAsiaTheme="majorEastAsia"/>
                <w:b/>
                <w:szCs w:val="21"/>
              </w:rPr>
            </w:pPr>
          </w:p>
        </w:tc>
        <w:tc>
          <w:tcPr>
            <w:tcW w:w="2915" w:type="dxa"/>
            <w:gridSpan w:val="2"/>
            <w:tcBorders>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身份证号或社会信用代码</w:t>
            </w:r>
          </w:p>
        </w:tc>
        <w:tc>
          <w:tcPr>
            <w:tcW w:w="6009" w:type="dxa"/>
            <w:gridSpan w:val="3"/>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vAlign w:val="center"/>
          </w:tcPr>
          <w:p>
            <w:pPr>
              <w:jc w:val="center"/>
              <w:rPr>
                <w:rFonts w:asciiTheme="majorEastAsia" w:hAnsiTheme="majorEastAsia" w:eastAsiaTheme="majorEastAsia"/>
                <w:b/>
                <w:szCs w:val="21"/>
              </w:rPr>
            </w:pPr>
          </w:p>
        </w:tc>
        <w:tc>
          <w:tcPr>
            <w:tcW w:w="2315" w:type="dxa"/>
            <w:tcBorders>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收件地址</w:t>
            </w:r>
          </w:p>
        </w:tc>
        <w:tc>
          <w:tcPr>
            <w:tcW w:w="6609" w:type="dxa"/>
            <w:gridSpan w:val="4"/>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35" w:type="dxa"/>
            <w:vMerge w:val="continue"/>
            <w:tcBorders>
              <w:left w:val="single" w:color="auto" w:sz="4" w:space="0"/>
              <w:right w:val="single" w:color="auto" w:sz="4" w:space="0"/>
            </w:tcBorders>
            <w:vAlign w:val="center"/>
          </w:tcPr>
          <w:p>
            <w:pPr>
              <w:jc w:val="center"/>
              <w:rPr>
                <w:rFonts w:asciiTheme="majorEastAsia" w:hAnsiTheme="majorEastAsia" w:eastAsiaTheme="majorEastAsia"/>
                <w:b/>
                <w:szCs w:val="21"/>
              </w:rPr>
            </w:pPr>
          </w:p>
        </w:tc>
        <w:tc>
          <w:tcPr>
            <w:tcW w:w="2315" w:type="dxa"/>
            <w:tcBorders>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收件人</w:t>
            </w:r>
          </w:p>
        </w:tc>
        <w:tc>
          <w:tcPr>
            <w:tcW w:w="2773" w:type="dxa"/>
            <w:gridSpan w:val="2"/>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c>
          <w:tcPr>
            <w:tcW w:w="1489" w:type="dxa"/>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收件电话</w:t>
            </w:r>
          </w:p>
        </w:tc>
        <w:tc>
          <w:tcPr>
            <w:tcW w:w="2347" w:type="dxa"/>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135" w:type="dxa"/>
            <w:tcBorders>
              <w:lef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电子送达</w:t>
            </w:r>
          </w:p>
        </w:tc>
        <w:tc>
          <w:tcPr>
            <w:tcW w:w="2315" w:type="dxa"/>
            <w:tcBorders>
              <w:bottom w:val="single" w:color="auto" w:sz="4" w:space="0"/>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可接收短信电话</w:t>
            </w:r>
          </w:p>
        </w:tc>
        <w:tc>
          <w:tcPr>
            <w:tcW w:w="2773" w:type="dxa"/>
            <w:gridSpan w:val="2"/>
            <w:tcBorders>
              <w:bottom w:val="single" w:color="auto" w:sz="4" w:space="0"/>
              <w:right w:val="single" w:color="auto" w:sz="4" w:space="0"/>
            </w:tcBorders>
            <w:vAlign w:val="center"/>
          </w:tcPr>
          <w:p>
            <w:pPr>
              <w:jc w:val="center"/>
              <w:rPr>
                <w:rFonts w:asciiTheme="majorEastAsia" w:hAnsiTheme="majorEastAsia" w:eastAsiaTheme="majorEastAsia"/>
                <w:bCs/>
                <w:sz w:val="22"/>
                <w:szCs w:val="28"/>
              </w:rPr>
            </w:pPr>
          </w:p>
        </w:tc>
        <w:tc>
          <w:tcPr>
            <w:tcW w:w="1489" w:type="dxa"/>
            <w:tcBorders>
              <w:bottom w:val="single" w:color="auto" w:sz="4" w:space="0"/>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电子邮箱</w:t>
            </w:r>
          </w:p>
        </w:tc>
        <w:tc>
          <w:tcPr>
            <w:tcW w:w="2347" w:type="dxa"/>
            <w:tcBorders>
              <w:bottom w:val="single" w:color="auto" w:sz="4" w:space="0"/>
              <w:right w:val="single" w:color="auto" w:sz="4" w:space="0"/>
            </w:tcBorders>
            <w:vAlign w:val="center"/>
          </w:tcPr>
          <w:p>
            <w:pPr>
              <w:jc w:val="center"/>
              <w:rPr>
                <w:rFonts w:asciiTheme="majorEastAsia" w:hAnsiTheme="majorEastAsia" w:eastAsiaTheme="majorEastAsia"/>
                <w:bCs/>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restart"/>
            <w:tcBorders>
              <w:lef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银行账户</w:t>
            </w:r>
          </w:p>
        </w:tc>
        <w:tc>
          <w:tcPr>
            <w:tcW w:w="2315" w:type="dxa"/>
            <w:tcBorders>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户名</w:t>
            </w:r>
          </w:p>
        </w:tc>
        <w:tc>
          <w:tcPr>
            <w:tcW w:w="2773" w:type="dxa"/>
            <w:gridSpan w:val="2"/>
            <w:tcBorders>
              <w:right w:val="single" w:color="auto" w:sz="4" w:space="0"/>
            </w:tcBorders>
            <w:vAlign w:val="center"/>
          </w:tcPr>
          <w:p>
            <w:pPr>
              <w:spacing w:line="300" w:lineRule="exact"/>
              <w:ind w:firstLine="437"/>
              <w:jc w:val="center"/>
              <w:rPr>
                <w:rFonts w:asciiTheme="majorEastAsia" w:hAnsiTheme="majorEastAsia" w:eastAsiaTheme="majorEastAsia"/>
                <w:bCs/>
                <w:sz w:val="22"/>
                <w:szCs w:val="28"/>
              </w:rPr>
            </w:pPr>
          </w:p>
        </w:tc>
        <w:tc>
          <w:tcPr>
            <w:tcW w:w="1489" w:type="dxa"/>
            <w:tcBorders>
              <w:right w:val="single" w:color="auto" w:sz="4" w:space="0"/>
            </w:tcBorders>
            <w:vAlign w:val="center"/>
          </w:tcPr>
          <w:p>
            <w:pPr>
              <w:spacing w:line="300" w:lineRule="exact"/>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开户行</w:t>
            </w:r>
          </w:p>
        </w:tc>
        <w:tc>
          <w:tcPr>
            <w:tcW w:w="2347" w:type="dxa"/>
            <w:tcBorders>
              <w:right w:val="single" w:color="auto" w:sz="4" w:space="0"/>
            </w:tcBorders>
            <w:vAlign w:val="center"/>
          </w:tcPr>
          <w:p>
            <w:pPr>
              <w:spacing w:line="300" w:lineRule="exact"/>
              <w:ind w:firstLine="437"/>
              <w:jc w:val="center"/>
              <w:rPr>
                <w:rFonts w:asciiTheme="majorEastAsia" w:hAnsiTheme="majorEastAsia" w:eastAsiaTheme="majorEastAsia"/>
                <w:bCs/>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35" w:type="dxa"/>
            <w:vMerge w:val="continue"/>
            <w:tcBorders>
              <w:left w:val="single" w:color="auto" w:sz="4" w:space="0"/>
            </w:tcBorders>
            <w:vAlign w:val="center"/>
          </w:tcPr>
          <w:p>
            <w:pPr>
              <w:jc w:val="center"/>
              <w:rPr>
                <w:rFonts w:asciiTheme="majorEastAsia" w:hAnsiTheme="majorEastAsia" w:eastAsiaTheme="majorEastAsia"/>
                <w:b/>
                <w:sz w:val="22"/>
                <w:szCs w:val="28"/>
              </w:rPr>
            </w:pPr>
          </w:p>
        </w:tc>
        <w:tc>
          <w:tcPr>
            <w:tcW w:w="2315" w:type="dxa"/>
            <w:tcBorders>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银行账号</w:t>
            </w:r>
          </w:p>
        </w:tc>
        <w:tc>
          <w:tcPr>
            <w:tcW w:w="2773" w:type="dxa"/>
            <w:gridSpan w:val="2"/>
            <w:tcBorders>
              <w:right w:val="single" w:color="auto" w:sz="4" w:space="0"/>
            </w:tcBorders>
            <w:vAlign w:val="center"/>
          </w:tcPr>
          <w:p>
            <w:pPr>
              <w:jc w:val="center"/>
              <w:rPr>
                <w:rFonts w:asciiTheme="majorEastAsia" w:hAnsiTheme="majorEastAsia" w:eastAsiaTheme="majorEastAsia"/>
                <w:bCs/>
                <w:sz w:val="22"/>
                <w:szCs w:val="28"/>
              </w:rPr>
            </w:pPr>
          </w:p>
        </w:tc>
        <w:tc>
          <w:tcPr>
            <w:tcW w:w="1489" w:type="dxa"/>
            <w:tcBorders>
              <w:right w:val="single" w:color="auto" w:sz="4" w:space="0"/>
            </w:tcBorders>
            <w:vAlign w:val="center"/>
          </w:tcPr>
          <w:p>
            <w:pPr>
              <w:jc w:val="center"/>
              <w:rPr>
                <w:rFonts w:hint="eastAsia" w:asciiTheme="majorEastAsia" w:hAnsiTheme="majorEastAsia" w:eastAsiaTheme="majorEastAsia"/>
                <w:bCs/>
                <w:sz w:val="22"/>
                <w:szCs w:val="28"/>
                <w:lang w:val="en-US" w:eastAsia="zh-CN"/>
              </w:rPr>
            </w:pPr>
            <w:r>
              <w:rPr>
                <w:rFonts w:hint="eastAsia" w:asciiTheme="majorEastAsia" w:hAnsiTheme="majorEastAsia" w:eastAsiaTheme="majorEastAsia"/>
                <w:b/>
                <w:bCs w:val="0"/>
                <w:sz w:val="22"/>
                <w:szCs w:val="28"/>
                <w:lang w:val="en-US" w:eastAsia="zh-CN"/>
              </w:rPr>
              <w:t>银行联行号</w:t>
            </w:r>
          </w:p>
        </w:tc>
        <w:tc>
          <w:tcPr>
            <w:tcW w:w="2347" w:type="dxa"/>
            <w:tcBorders>
              <w:right w:val="single" w:color="auto" w:sz="4" w:space="0"/>
            </w:tcBorders>
            <w:vAlign w:val="center"/>
          </w:tcPr>
          <w:p>
            <w:pPr>
              <w:jc w:val="center"/>
              <w:rPr>
                <w:rFonts w:asciiTheme="majorEastAsia" w:hAnsiTheme="majorEastAsia" w:eastAsiaTheme="majorEastAsia"/>
                <w:bCs/>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9" w:hRule="atLeast"/>
          <w:jc w:val="center"/>
        </w:trPr>
        <w:tc>
          <w:tcPr>
            <w:tcW w:w="1135" w:type="dxa"/>
            <w:tcBorders>
              <w:lef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须知</w:t>
            </w:r>
          </w:p>
        </w:tc>
        <w:tc>
          <w:tcPr>
            <w:tcW w:w="8924" w:type="dxa"/>
            <w:gridSpan w:val="5"/>
            <w:tcBorders>
              <w:right w:val="single" w:color="auto" w:sz="4" w:space="0"/>
            </w:tcBorders>
            <w:vAlign w:val="center"/>
          </w:tcPr>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为便于申报人及时收到管理人各项文书，保证破产程序顺利进行，申报人应当如实提供确切的送达地址并与《债权申报表》上的信息保持一致（送达地址包括邮寄地址、手机号码、电子送达地址）；</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确认的送达地址适用于各个破产程序，包括：破产清算、和解、重整，以及同期与破产事务相关的其他事项；</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申报人同意，管理人可以通过短信、电子邮件等方式告知债权人会议的开会方式、通知与破产事务相关的其他事项、送达相关文件等，相关通知及文件到达受送达人特定系统即视为送达，申报人应注意提供准确的手机号码、电子邮箱地址；</w:t>
            </w:r>
          </w:p>
          <w:p>
            <w:pPr>
              <w:widowControl/>
              <w:numPr>
                <w:ilvl w:val="0"/>
                <w:numId w:val="1"/>
              </w:numPr>
              <w:spacing w:line="300" w:lineRule="exact"/>
              <w:ind w:left="57" w:firstLine="420" w:firstLineChars="200"/>
              <w:rPr>
                <w:rFonts w:asciiTheme="majorEastAsia" w:hAnsiTheme="majorEastAsia" w:eastAsiaTheme="majorEastAsia"/>
                <w:b/>
                <w:szCs w:val="21"/>
              </w:rPr>
            </w:pPr>
            <w:r>
              <w:rPr>
                <w:rFonts w:hint="eastAsia" w:asciiTheme="majorEastAsia" w:hAnsiTheme="majorEastAsia" w:eastAsiaTheme="majorEastAsia"/>
                <w:b/>
                <w:szCs w:val="21"/>
                <w:lang w:val="en-US" w:eastAsia="zh-CN"/>
              </w:rPr>
              <w:t>本案会议方式另行通知；</w:t>
            </w:r>
            <w:r>
              <w:rPr>
                <w:rFonts w:hint="eastAsia" w:asciiTheme="majorEastAsia" w:hAnsiTheme="majorEastAsia" w:eastAsiaTheme="majorEastAsia"/>
                <w:b/>
                <w:szCs w:val="21"/>
              </w:rPr>
              <w:t>本案</w:t>
            </w:r>
            <w:r>
              <w:rPr>
                <w:rFonts w:hint="eastAsia" w:asciiTheme="majorEastAsia" w:hAnsiTheme="majorEastAsia" w:eastAsiaTheme="majorEastAsia"/>
                <w:b/>
                <w:szCs w:val="21"/>
                <w:lang w:val="en-US" w:eastAsia="zh-CN"/>
              </w:rPr>
              <w:t>若</w:t>
            </w:r>
            <w:r>
              <w:rPr>
                <w:rFonts w:hint="eastAsia" w:asciiTheme="majorEastAsia" w:hAnsiTheme="majorEastAsia" w:eastAsiaTheme="majorEastAsia"/>
                <w:b/>
                <w:szCs w:val="21"/>
              </w:rPr>
              <w:t>采取网络会议方式召开债权人会议，债权人提供的接收短信手机号码将会作为债权人接收短信通知的唯一渠道，请确保手机号能够正常使用。其中机构债权人向代理人手机发送短信，自然人有代理人的仍向本人手机号发送短信；</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破产程序进行期间如果送达地址或电话有变更，应书面告知管理人变更后的送达地址或电话；</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如果提供的送达地址不真实、不准确以及债权人不及时书面告知变更送达地址或电话，导致与破产事务相关的通知、文书未能被受送达债权人实际接收的，其中邮寄送达的，文书被退回之日视为送达之日；电子送达的，管理人按照债权人提供的手机号码发送之日视为送达之日；</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为便于申报人受领债权分配，申报人应当如实向管理人提供准确的银行账户，管理人根据</w:t>
            </w:r>
            <w:r>
              <w:rPr>
                <w:rFonts w:hint="eastAsia" w:asciiTheme="majorEastAsia" w:hAnsiTheme="majorEastAsia" w:eastAsiaTheme="majorEastAsia"/>
                <w:bCs/>
                <w:szCs w:val="21"/>
                <w:lang w:val="en-US" w:eastAsia="zh-CN"/>
              </w:rPr>
              <w:t>清算</w:t>
            </w:r>
            <w:r>
              <w:rPr>
                <w:rFonts w:hint="eastAsia" w:asciiTheme="majorEastAsia" w:hAnsiTheme="majorEastAsia" w:eastAsiaTheme="majorEastAsia"/>
                <w:bCs/>
                <w:szCs w:val="21"/>
              </w:rPr>
              <w:t>计划等转入申报人提供的银行账户的款项，视为申报人受领。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1135" w:type="dxa"/>
            <w:tcBorders>
              <w:lef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债权</w:t>
            </w:r>
          </w:p>
          <w:p>
            <w:pPr>
              <w:jc w:val="center"/>
              <w:rPr>
                <w:rFonts w:asciiTheme="majorEastAsia" w:hAnsiTheme="majorEastAsia" w:eastAsiaTheme="majorEastAsia"/>
                <w:bCs/>
                <w:szCs w:val="21"/>
              </w:rPr>
            </w:pPr>
            <w:r>
              <w:rPr>
                <w:rFonts w:hint="eastAsia" w:asciiTheme="majorEastAsia" w:hAnsiTheme="majorEastAsia" w:eastAsiaTheme="majorEastAsia"/>
                <w:b/>
                <w:szCs w:val="21"/>
              </w:rPr>
              <w:t>声明</w:t>
            </w:r>
          </w:p>
        </w:tc>
        <w:tc>
          <w:tcPr>
            <w:tcW w:w="8924" w:type="dxa"/>
            <w:gridSpan w:val="5"/>
            <w:tcBorders>
              <w:right w:val="single" w:color="auto" w:sz="4" w:space="0"/>
            </w:tcBorders>
          </w:tcPr>
          <w:p>
            <w:pPr>
              <w:spacing w:line="300" w:lineRule="exact"/>
              <w:ind w:firstLine="420" w:firstLineChars="200"/>
              <w:rPr>
                <w:rFonts w:asciiTheme="majorEastAsia" w:hAnsiTheme="majorEastAsia" w:eastAsiaTheme="majorEastAsia"/>
                <w:b/>
                <w:szCs w:val="21"/>
              </w:rPr>
            </w:pPr>
            <w:r>
              <w:rPr>
                <w:rFonts w:hint="eastAsia" w:asciiTheme="majorEastAsia" w:hAnsiTheme="majorEastAsia" w:eastAsiaTheme="majorEastAsia"/>
                <w:b/>
              </w:rPr>
              <w:t>我（我单位）已知悉上述须知内容。我（我单位）提供的上述信息及送达地址是真实有效的，如未书面通知法院、管理人变更，则该信息及送达地址持续有效。法院、管理人向我（单位）送达的材料邮寄至上述地址或者向我（单位）上述列明的接收短信的电话、电子邮箱发送信息或材料即视为送达</w:t>
            </w:r>
            <w:r>
              <w:rPr>
                <w:rFonts w:hint="eastAsia" w:asciiTheme="majorEastAsia" w:hAnsiTheme="majorEastAsia" w:eastAsiaTheme="majorEastAsia"/>
                <w:b/>
                <w:szCs w:val="21"/>
              </w:rPr>
              <w:t xml:space="preserve">。                                          </w:t>
            </w:r>
          </w:p>
          <w:p>
            <w:pPr>
              <w:spacing w:line="30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申报人（签章）：</w:t>
            </w:r>
          </w:p>
          <w:p>
            <w:pPr>
              <w:spacing w:line="300" w:lineRule="exact"/>
              <w:ind w:right="630"/>
              <w:jc w:val="right"/>
              <w:rPr>
                <w:rFonts w:asciiTheme="majorEastAsia" w:hAnsiTheme="majorEastAsia" w:eastAsiaTheme="majorEastAsia"/>
                <w:bCs/>
                <w:szCs w:val="21"/>
              </w:rPr>
            </w:pPr>
            <w:r>
              <w:rPr>
                <w:rFonts w:hint="eastAsia" w:asciiTheme="majorEastAsia" w:hAnsiTheme="majorEastAsia" w:eastAsiaTheme="majorEastAsia"/>
                <w:bCs/>
                <w:szCs w:val="21"/>
              </w:rPr>
              <w:t xml:space="preserve"> 年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月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日</w:t>
            </w:r>
          </w:p>
        </w:tc>
      </w:tr>
    </w:tbl>
    <w:p>
      <w:pPr>
        <w:spacing w:line="480" w:lineRule="exact"/>
        <w:jc w:val="both"/>
      </w:pPr>
    </w:p>
    <w:p>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附件-4</w:t>
      </w:r>
    </w:p>
    <w:p>
      <w:pPr>
        <w:spacing w:before="156" w:beforeLines="50" w:after="156" w:afterLines="50" w:line="360" w:lineRule="auto"/>
        <w:jc w:val="center"/>
        <w:rPr>
          <w:rFonts w:hint="eastAsia" w:ascii="华文中宋" w:hAnsi="华文中宋" w:eastAsia="华文中宋" w:cs="华文中宋"/>
          <w:b/>
          <w:sz w:val="36"/>
          <w:szCs w:val="36"/>
        </w:rPr>
      </w:pPr>
    </w:p>
    <w:p>
      <w:pPr>
        <w:spacing w:before="156" w:beforeLines="50" w:after="156" w:afterLines="50" w:line="360" w:lineRule="auto"/>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法定代表人/负责人身份证明书</w:t>
      </w:r>
    </w:p>
    <w:p>
      <w:pPr>
        <w:spacing w:before="156" w:beforeLines="50" w:after="156" w:afterLines="50" w:line="520" w:lineRule="exact"/>
        <w:rPr>
          <w:rFonts w:ascii="宋体" w:hAnsi="宋体" w:cs="宋体"/>
          <w:bCs/>
          <w:kern w:val="0"/>
          <w:sz w:val="24"/>
        </w:rPr>
      </w:pPr>
    </w:p>
    <w:p>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u w:val="none"/>
          <w:lang w:val="en-US" w:eastAsia="zh-CN"/>
        </w:rPr>
        <w:t>同志</w:t>
      </w:r>
      <w:r>
        <w:rPr>
          <w:rFonts w:hint="eastAsia" w:ascii="仿宋" w:hAnsi="仿宋" w:eastAsia="仿宋" w:cs="仿宋"/>
          <w:sz w:val="32"/>
          <w:szCs w:val="32"/>
        </w:rPr>
        <w:t>，身份证号码为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，在我公司/单位任</w:t>
      </w:r>
      <w:r>
        <w:rPr>
          <w:rFonts w:hint="eastAsia" w:ascii="仿宋" w:hAnsi="仿宋" w:eastAsia="仿宋" w:cs="仿宋"/>
          <w:sz w:val="32"/>
          <w:szCs w:val="32"/>
          <w:u w:val="single"/>
        </w:rPr>
        <w:t xml:space="preserve">       </w:t>
      </w:r>
      <w:r>
        <w:rPr>
          <w:rFonts w:hint="eastAsia" w:ascii="仿宋" w:hAnsi="仿宋" w:eastAsia="仿宋" w:cs="仿宋"/>
          <w:sz w:val="32"/>
          <w:szCs w:val="32"/>
        </w:rPr>
        <w:t>职务，是我公司/单位的法定代表人/负责人。</w:t>
      </w:r>
    </w:p>
    <w:p>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特此证明。 </w:t>
      </w:r>
    </w:p>
    <w:p>
      <w:pPr>
        <w:spacing w:before="156" w:beforeLines="50" w:after="156" w:afterLines="50" w:line="520" w:lineRule="exact"/>
        <w:rPr>
          <w:rFonts w:hint="eastAsia" w:ascii="仿宋" w:hAnsi="仿宋" w:eastAsia="仿宋" w:cs="仿宋"/>
          <w:sz w:val="32"/>
          <w:szCs w:val="32"/>
        </w:rPr>
      </w:pPr>
    </w:p>
    <w:p>
      <w:pPr>
        <w:spacing w:before="156" w:beforeLines="50" w:after="156" w:afterLines="50" w:line="520" w:lineRule="exact"/>
        <w:rPr>
          <w:rFonts w:hint="eastAsia" w:ascii="仿宋" w:hAnsi="仿宋" w:eastAsia="仿宋" w:cs="仿宋"/>
          <w:sz w:val="32"/>
          <w:szCs w:val="32"/>
        </w:rPr>
      </w:pPr>
    </w:p>
    <w:p>
      <w:pPr>
        <w:spacing w:before="156" w:beforeLines="50" w:after="156" w:afterLines="50" w:line="520" w:lineRule="exact"/>
        <w:rPr>
          <w:rFonts w:hint="eastAsia" w:ascii="仿宋" w:hAnsi="仿宋" w:eastAsia="仿宋" w:cs="仿宋"/>
          <w:sz w:val="32"/>
          <w:szCs w:val="32"/>
        </w:rPr>
      </w:pPr>
    </w:p>
    <w:p>
      <w:pPr>
        <w:spacing w:before="156" w:beforeLines="50" w:after="156" w:afterLines="50" w:line="520" w:lineRule="exact"/>
        <w:ind w:left="5141" w:leftChars="2448" w:firstLine="1004" w:firstLineChars="314"/>
        <w:rPr>
          <w:rFonts w:hint="eastAsia" w:ascii="仿宋" w:hAnsi="仿宋" w:eastAsia="仿宋" w:cs="仿宋"/>
          <w:sz w:val="32"/>
          <w:szCs w:val="32"/>
        </w:rPr>
      </w:pPr>
      <w:r>
        <w:rPr>
          <w:rFonts w:hint="eastAsia" w:ascii="仿宋" w:hAnsi="仿宋" w:eastAsia="仿宋" w:cs="仿宋"/>
          <w:sz w:val="32"/>
          <w:szCs w:val="32"/>
        </w:rPr>
        <w:t xml:space="preserve">                      </w:t>
      </w:r>
    </w:p>
    <w:p>
      <w:pPr>
        <w:spacing w:before="156" w:beforeLines="50" w:after="156" w:afterLines="50" w:line="520" w:lineRule="exact"/>
        <w:ind w:firstLine="4480" w:firstLineChars="1400"/>
        <w:jc w:val="left"/>
        <w:rPr>
          <w:rFonts w:hint="eastAsia" w:ascii="仿宋" w:hAnsi="仿宋" w:eastAsia="仿宋" w:cs="仿宋"/>
          <w:sz w:val="32"/>
          <w:szCs w:val="32"/>
        </w:rPr>
      </w:pPr>
      <w:r>
        <w:rPr>
          <w:rFonts w:hint="eastAsia" w:ascii="仿宋" w:hAnsi="仿宋" w:eastAsia="仿宋" w:cs="仿宋"/>
          <w:sz w:val="32"/>
          <w:szCs w:val="32"/>
        </w:rPr>
        <w:t>公司</w:t>
      </w:r>
      <w:r>
        <w:rPr>
          <w:rFonts w:hint="eastAsia" w:ascii="仿宋" w:hAnsi="仿宋" w:eastAsia="仿宋" w:cs="仿宋"/>
          <w:sz w:val="32"/>
          <w:szCs w:val="32"/>
          <w:lang w:val="en-US" w:eastAsia="zh-CN"/>
        </w:rPr>
        <w:t>/单位</w:t>
      </w:r>
      <w:r>
        <w:rPr>
          <w:rFonts w:hint="eastAsia" w:ascii="仿宋" w:hAnsi="仿宋" w:eastAsia="仿宋" w:cs="仿宋"/>
          <w:sz w:val="32"/>
          <w:szCs w:val="32"/>
        </w:rPr>
        <w:t>名称（公章）：</w:t>
      </w:r>
    </w:p>
    <w:p>
      <w:pPr>
        <w:spacing w:before="156" w:beforeLines="50" w:after="156" w:afterLines="50" w:line="52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pPr>
        <w:spacing w:before="156" w:beforeLines="50" w:after="156" w:afterLines="50" w:line="520" w:lineRule="exact"/>
        <w:rPr>
          <w:rFonts w:hint="eastAsia" w:ascii="仿宋" w:hAnsi="仿宋" w:eastAsia="仿宋" w:cs="仿宋"/>
          <w:sz w:val="32"/>
          <w:szCs w:val="32"/>
        </w:rPr>
      </w:pPr>
    </w:p>
    <w:p>
      <w:pPr>
        <w:rPr>
          <w:rFonts w:hint="eastAsia" w:ascii="仿宋" w:hAnsi="仿宋" w:eastAsia="仿宋" w:cs="仿宋"/>
          <w:sz w:val="32"/>
          <w:szCs w:val="32"/>
        </w:rPr>
      </w:pPr>
    </w:p>
    <w:p>
      <w:pPr>
        <w:ind w:firstLine="640" w:firstLineChars="200"/>
        <w:rPr>
          <w:rFonts w:hint="default" w:ascii="仿宋" w:hAnsi="仿宋" w:eastAsia="仿宋" w:cs="仿宋"/>
          <w:sz w:val="32"/>
          <w:szCs w:val="32"/>
          <w:lang w:val="en-US" w:eastAsia="zh-CN"/>
        </w:rPr>
      </w:pPr>
    </w:p>
    <w:p>
      <w:pPr>
        <w:rPr>
          <w:rFonts w:hint="default"/>
          <w:lang w:val="en-US" w:eastAsia="zh-CN"/>
        </w:rPr>
      </w:pPr>
      <w:r>
        <w:rPr>
          <w:rFonts w:hint="default"/>
          <w:lang w:val="en-US" w:eastAsia="zh-CN"/>
        </w:rPr>
        <w:br w:type="page"/>
      </w:r>
    </w:p>
    <w:p>
      <w:pPr>
        <w:spacing w:before="93" w:beforeLines="30" w:after="93" w:afterLines="30"/>
        <w:jc w:val="right"/>
        <w:rPr>
          <w:rFonts w:hint="default" w:ascii="仿宋" w:hAnsi="仿宋" w:eastAsia="仿宋" w:cs="仿宋"/>
          <w:kern w:val="0"/>
          <w:sz w:val="32"/>
          <w:szCs w:val="32"/>
          <w:lang w:val="en-US"/>
        </w:rPr>
      </w:pPr>
      <w:r>
        <w:rPr>
          <w:rFonts w:hint="eastAsia" w:ascii="宋体" w:hAnsi="宋体" w:eastAsia="宋体" w:cs="宋体"/>
          <w:b/>
          <w:sz w:val="24"/>
          <w:szCs w:val="24"/>
          <w:lang w:val="en-US" w:eastAsia="zh-CN"/>
        </w:rPr>
        <w:t>附件-5-1</w:t>
      </w:r>
    </w:p>
    <w:p>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rPr>
      </w:pPr>
      <w:r>
        <w:rPr>
          <w:rFonts w:hint="eastAsia" w:ascii="华文中宋" w:hAnsi="华文中宋" w:eastAsia="华文中宋" w:cs="黑体"/>
          <w:b/>
          <w:bCs/>
          <w:kern w:val="0"/>
          <w:sz w:val="36"/>
          <w:szCs w:val="36"/>
          <w:lang w:val="en-US" w:eastAsia="zh-CN"/>
        </w:rPr>
        <w:t>河北安铭梁新能源发电有限公司破产预重整</w:t>
      </w:r>
      <w:r>
        <w:rPr>
          <w:rFonts w:hint="eastAsia" w:ascii="华文中宋" w:hAnsi="华文中宋" w:eastAsia="华文中宋" w:cs="黑体"/>
          <w:b/>
          <w:bCs/>
          <w:kern w:val="0"/>
          <w:sz w:val="36"/>
          <w:szCs w:val="36"/>
        </w:rPr>
        <w:t>案</w:t>
      </w:r>
    </w:p>
    <w:p>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rPr>
      </w:pPr>
      <w:r>
        <w:rPr>
          <w:rFonts w:hint="eastAsia" w:ascii="华文中宋" w:hAnsi="华文中宋" w:eastAsia="华文中宋" w:cs="黑体"/>
          <w:b/>
          <w:bCs/>
          <w:kern w:val="0"/>
          <w:sz w:val="36"/>
          <w:szCs w:val="36"/>
        </w:rPr>
        <w:t>授 权 委 托 书</w:t>
      </w:r>
    </w:p>
    <w:p>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val="en-US" w:eastAsia="zh-CN"/>
        </w:rPr>
        <w:t>自然人</w:t>
      </w:r>
      <w:r>
        <w:rPr>
          <w:rFonts w:hint="eastAsia" w:ascii="宋体" w:eastAsia="宋体" w:cs="宋体"/>
          <w:kern w:val="0"/>
          <w:sz w:val="24"/>
          <w:szCs w:val="24"/>
        </w:rPr>
        <w:t>专用）</w:t>
      </w:r>
    </w:p>
    <w:p>
      <w:pPr>
        <w:autoSpaceDE w:val="0"/>
        <w:autoSpaceDN w:val="0"/>
        <w:adjustRightInd w:val="0"/>
        <w:spacing w:line="520" w:lineRule="exact"/>
        <w:jc w:val="right"/>
        <w:rPr>
          <w:rFonts w:ascii="宋体" w:eastAsia="宋体" w:cs="宋体"/>
          <w:kern w:val="0"/>
          <w:sz w:val="32"/>
          <w:szCs w:val="32"/>
        </w:rPr>
      </w:pPr>
    </w:p>
    <w:p>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rPr>
        <w:t>委托人</w:t>
      </w:r>
      <w:r>
        <w:rPr>
          <w:rFonts w:hint="eastAsia" w:ascii="仿宋" w:hAnsi="仿宋" w:eastAsia="仿宋" w:cs="仿宋"/>
          <w:kern w:val="0"/>
          <w:sz w:val="32"/>
          <w:szCs w:val="32"/>
          <w:lang w:val="en-US" w:eastAsia="zh-CN"/>
        </w:rPr>
        <w:t>姓名</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lang w:val="en-US" w:eastAsia="zh-CN"/>
        </w:rPr>
        <w:t>身份证号码</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联系电话</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河北安铭梁新能源发电有限公司</w:t>
      </w:r>
      <w:r>
        <w:rPr>
          <w:rFonts w:hint="eastAsia" w:ascii="仿宋" w:hAnsi="仿宋" w:eastAsia="仿宋" w:cs="仿宋"/>
          <w:kern w:val="0"/>
          <w:sz w:val="32"/>
          <w:szCs w:val="32"/>
        </w:rPr>
        <w:t>破产预重整案中代为申报债权、参加债权人会议等相关事宜。</w:t>
      </w:r>
    </w:p>
    <w:p>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代为承认、变更、放弃债权</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r>
        <w:rPr>
          <w:rFonts w:hint="eastAsia" w:ascii="仿宋" w:hAnsi="仿宋" w:eastAsia="仿宋" w:cs="仿宋"/>
          <w:kern w:val="0"/>
          <w:sz w:val="32"/>
          <w:szCs w:val="32"/>
        </w:rPr>
        <w:t xml:space="preserve">年    月    日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年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月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日</w:t>
      </w:r>
    </w:p>
    <w:p>
      <w:pPr>
        <w:rPr>
          <w:rFonts w:hint="default"/>
          <w:lang w:val="en-US" w:eastAsia="zh-CN"/>
        </w:rPr>
      </w:pPr>
      <w:r>
        <w:rPr>
          <w:rFonts w:hint="default"/>
          <w:lang w:val="en-US" w:eastAsia="zh-CN"/>
        </w:rPr>
        <w:br w:type="page"/>
      </w:r>
    </w:p>
    <w:p>
      <w:pPr>
        <w:autoSpaceDE w:val="0"/>
        <w:autoSpaceDN w:val="0"/>
        <w:adjustRightInd w:val="0"/>
        <w:spacing w:before="156" w:beforeLines="50" w:after="156" w:afterLines="50" w:line="480" w:lineRule="exact"/>
        <w:jc w:val="right"/>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附件-5-2</w:t>
      </w:r>
    </w:p>
    <w:p>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cs="宋体"/>
          <w:b/>
          <w:bCs/>
          <w:kern w:val="0"/>
          <w:sz w:val="36"/>
          <w:szCs w:val="36"/>
          <w:lang w:val="en-US" w:eastAsia="zh-CN"/>
        </w:rPr>
        <w:t>河北安铭梁新能源发电有限公司</w:t>
      </w:r>
      <w:r>
        <w:rPr>
          <w:rFonts w:hint="eastAsia" w:ascii="宋体" w:hAnsi="宋体" w:eastAsia="宋体" w:cs="宋体"/>
          <w:b/>
          <w:bCs/>
          <w:kern w:val="0"/>
          <w:sz w:val="36"/>
          <w:szCs w:val="36"/>
          <w:lang w:val="en-US" w:eastAsia="zh-CN"/>
        </w:rPr>
        <w:t>破产预重整</w:t>
      </w:r>
      <w:r>
        <w:rPr>
          <w:rFonts w:hint="eastAsia" w:ascii="宋体" w:hAnsi="宋体" w:eastAsia="宋体" w:cs="宋体"/>
          <w:b/>
          <w:bCs/>
          <w:kern w:val="0"/>
          <w:sz w:val="36"/>
          <w:szCs w:val="36"/>
        </w:rPr>
        <w:t>案</w:t>
      </w:r>
    </w:p>
    <w:p>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授 权 委 托 书</w:t>
      </w:r>
    </w:p>
    <w:p>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eastAsia="zh-Hans"/>
        </w:rPr>
        <w:t>机构</w:t>
      </w:r>
      <w:r>
        <w:rPr>
          <w:rFonts w:hint="eastAsia" w:ascii="宋体" w:eastAsia="宋体" w:cs="宋体"/>
          <w:kern w:val="0"/>
          <w:sz w:val="24"/>
          <w:szCs w:val="24"/>
        </w:rPr>
        <w:t>专用）</w:t>
      </w:r>
    </w:p>
    <w:p>
      <w:pPr>
        <w:autoSpaceDE w:val="0"/>
        <w:autoSpaceDN w:val="0"/>
        <w:adjustRightInd w:val="0"/>
        <w:spacing w:line="520" w:lineRule="exact"/>
        <w:jc w:val="right"/>
        <w:rPr>
          <w:rFonts w:ascii="宋体" w:eastAsia="宋体" w:cs="宋体"/>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委托人名称：</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统一社会信用代码</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法定代表人（负责人）：</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hint="default" w:ascii="仿宋" w:hAnsi="仿宋" w:eastAsia="仿宋" w:cs="仿宋"/>
          <w:kern w:val="0"/>
          <w:sz w:val="32"/>
          <w:szCs w:val="32"/>
          <w:lang w:val="en-US"/>
        </w:rPr>
      </w:pP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河北安铭梁新能源发电有限公司</w:t>
      </w:r>
      <w:r>
        <w:rPr>
          <w:rFonts w:hint="eastAsia" w:ascii="仿宋" w:hAnsi="仿宋" w:eastAsia="仿宋" w:cs="仿宋"/>
          <w:kern w:val="0"/>
          <w:sz w:val="32"/>
          <w:szCs w:val="32"/>
        </w:rPr>
        <w:t>破产预重整案中代为申报债权、参加债权人会议等相关事宜。</w:t>
      </w:r>
    </w:p>
    <w:p>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代为承认、变更、放弃债权</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法定代表人（负责人）：   </w:t>
      </w:r>
    </w:p>
    <w:p>
      <w:pPr>
        <w:spacing w:line="480" w:lineRule="exact"/>
        <w:ind w:firstLine="640" w:firstLineChars="200"/>
        <w:jc w:val="left"/>
      </w:pPr>
      <w:r>
        <w:rPr>
          <w:rFonts w:hint="eastAsia" w:ascii="仿宋" w:hAnsi="仿宋" w:eastAsia="仿宋" w:cs="仿宋"/>
          <w:kern w:val="0"/>
          <w:sz w:val="32"/>
          <w:szCs w:val="32"/>
        </w:rPr>
        <w:t>年    月    日                年     月     日</w:t>
      </w:r>
    </w:p>
    <w:p>
      <w:pPr>
        <w:rPr>
          <w:rFonts w:hint="default"/>
          <w:lang w:val="en-US" w:eastAsia="zh-CN"/>
        </w:rPr>
      </w:pPr>
      <w:r>
        <w:rPr>
          <w:rFonts w:hint="default"/>
          <w:lang w:val="en-US" w:eastAsia="zh-CN"/>
        </w:rPr>
        <w:br w:type="page"/>
      </w:r>
    </w:p>
    <w:p>
      <w:pPr>
        <w:spacing w:after="156" w:afterLines="50" w:line="480" w:lineRule="exact"/>
        <w:jc w:val="right"/>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附件-6</w:t>
      </w:r>
    </w:p>
    <w:p>
      <w:pPr>
        <w:spacing w:after="156" w:afterLines="50" w:line="480" w:lineRule="exact"/>
        <w:jc w:val="center"/>
        <w:rPr>
          <w:rFonts w:hint="eastAsia" w:ascii="宋体" w:hAnsi="宋体" w:eastAsia="宋体" w:cs="宋体"/>
          <w:b/>
          <w:sz w:val="36"/>
          <w:szCs w:val="36"/>
        </w:rPr>
      </w:pPr>
      <w:r>
        <w:rPr>
          <w:rFonts w:hint="eastAsia" w:ascii="宋体" w:hAnsi="宋体" w:cs="宋体"/>
          <w:b/>
          <w:sz w:val="36"/>
          <w:szCs w:val="36"/>
          <w:lang w:val="en-US" w:eastAsia="zh-CN"/>
        </w:rPr>
        <w:t>河北安铭梁新能源发电有限公司</w:t>
      </w:r>
      <w:r>
        <w:rPr>
          <w:rFonts w:hint="eastAsia" w:ascii="宋体" w:hAnsi="宋体" w:eastAsia="宋体" w:cs="宋体"/>
          <w:b/>
          <w:sz w:val="36"/>
          <w:szCs w:val="36"/>
          <w:lang w:val="en-US" w:eastAsia="zh-CN"/>
        </w:rPr>
        <w:t>破产预重整</w:t>
      </w:r>
      <w:r>
        <w:rPr>
          <w:rFonts w:hint="eastAsia" w:ascii="宋体" w:hAnsi="宋体" w:eastAsia="宋体" w:cs="宋体"/>
          <w:b/>
          <w:sz w:val="36"/>
          <w:szCs w:val="36"/>
        </w:rPr>
        <w:t>案</w:t>
      </w:r>
    </w:p>
    <w:p>
      <w:pPr>
        <w:spacing w:after="156" w:afterLines="50" w:line="480" w:lineRule="exact"/>
        <w:jc w:val="center"/>
        <w:rPr>
          <w:rFonts w:hint="eastAsia" w:ascii="宋体" w:hAnsi="宋体" w:eastAsia="宋体" w:cs="宋体"/>
          <w:b/>
          <w:sz w:val="36"/>
          <w:szCs w:val="36"/>
        </w:rPr>
      </w:pPr>
      <w:r>
        <w:rPr>
          <w:rFonts w:hint="eastAsia" w:ascii="宋体" w:hAnsi="宋体" w:eastAsia="宋体" w:cs="宋体"/>
          <w:b/>
          <w:sz w:val="36"/>
          <w:szCs w:val="36"/>
        </w:rPr>
        <w:t>债权申报风险告知书</w:t>
      </w:r>
    </w:p>
    <w:p>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一、债权人在债权申报过程中</w:t>
      </w:r>
      <w:r>
        <w:rPr>
          <w:rFonts w:hint="eastAsia" w:ascii="仿宋" w:hAnsi="仿宋" w:eastAsia="仿宋" w:cs="仿宋"/>
          <w:b/>
          <w:sz w:val="30"/>
          <w:szCs w:val="30"/>
        </w:rPr>
        <w:t>应当真实、准确、完整提供能够证明债权形成以及债权金额的证据材料</w:t>
      </w:r>
      <w:r>
        <w:rPr>
          <w:rFonts w:hint="eastAsia" w:ascii="仿宋" w:hAnsi="仿宋" w:eastAsia="仿宋" w:cs="仿宋"/>
          <w:bCs/>
          <w:sz w:val="30"/>
          <w:szCs w:val="30"/>
        </w:rPr>
        <w:t>，如实回复管理人在审核债权过程中对相关事实的询问，按管理人要求及时提交补充材料等，若因债权人提供的材料不足以证明所申报的债权成立的，将存在依法不能认定的风险。</w:t>
      </w:r>
    </w:p>
    <w:p>
      <w:pPr>
        <w:spacing w:line="480" w:lineRule="exact"/>
        <w:ind w:firstLine="600" w:firstLineChars="200"/>
        <w:rPr>
          <w:rFonts w:ascii="仿宋" w:hAnsi="仿宋" w:eastAsia="仿宋" w:cs="仿宋"/>
          <w:b/>
          <w:sz w:val="30"/>
          <w:szCs w:val="30"/>
        </w:rPr>
      </w:pPr>
      <w:r>
        <w:rPr>
          <w:rFonts w:hint="eastAsia" w:ascii="仿宋" w:hAnsi="仿宋" w:eastAsia="仿宋" w:cs="仿宋"/>
          <w:bCs/>
          <w:sz w:val="30"/>
          <w:szCs w:val="30"/>
        </w:rPr>
        <w:t>二、根据最高人民法院、最高人民检察院联合发布的《关于办理虚假诉讼刑事案件适用法律若干问题的解释》（法释〔2018〕17号）第一条的规定：“采取伪造证据、虚假陈述等手段，实施下列行为之一，捏造民事法律关系，虚构民事纠纷，向人民法院提起民事诉讼的，应当认定为刑法第三百零七条之一第一款规定的‘以捏造的事实提起民事诉讼’：</w:t>
      </w:r>
      <w:r>
        <w:rPr>
          <w:rFonts w:hint="eastAsia" w:ascii="仿宋" w:hAnsi="仿宋" w:eastAsia="仿宋" w:cs="仿宋"/>
          <w:bCs/>
          <w:sz w:val="30"/>
          <w:szCs w:val="30"/>
          <w:lang w:eastAsia="zh-CN"/>
        </w:rPr>
        <w:t>（</w:t>
      </w:r>
      <w:r>
        <w:rPr>
          <w:rFonts w:hint="eastAsia" w:ascii="仿宋" w:hAnsi="仿宋" w:eastAsia="仿宋" w:cs="仿宋"/>
          <w:bCs/>
          <w:sz w:val="30"/>
          <w:szCs w:val="30"/>
        </w:rPr>
        <w:t>五</w:t>
      </w:r>
      <w:r>
        <w:rPr>
          <w:rFonts w:hint="eastAsia" w:ascii="仿宋" w:hAnsi="仿宋" w:eastAsia="仿宋" w:cs="仿宋"/>
          <w:bCs/>
          <w:sz w:val="30"/>
          <w:szCs w:val="30"/>
          <w:lang w:eastAsia="zh-CN"/>
        </w:rPr>
        <w:t>）</w:t>
      </w:r>
      <w:bookmarkStart w:id="0" w:name="_GoBack"/>
      <w:bookmarkEnd w:id="0"/>
      <w:r>
        <w:rPr>
          <w:rFonts w:hint="eastAsia" w:ascii="仿宋" w:hAnsi="仿宋" w:eastAsia="仿宋" w:cs="仿宋"/>
          <w:bCs/>
          <w:sz w:val="30"/>
          <w:szCs w:val="30"/>
        </w:rPr>
        <w:t>在破产案件审理过程中申报捏造的债权的；”</w:t>
      </w:r>
      <w:r>
        <w:rPr>
          <w:rFonts w:hint="eastAsia" w:ascii="仿宋" w:hAnsi="仿宋" w:eastAsia="仿宋" w:cs="仿宋"/>
          <w:b/>
          <w:sz w:val="30"/>
          <w:szCs w:val="30"/>
        </w:rPr>
        <w:t>此种情形涉嫌“虚假诉讼罪”，管理人在审核债权过程中会加强审查，一经发现，将移送公安机关依法查处。</w:t>
      </w:r>
    </w:p>
    <w:p>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现管理人将债权申报相关事项以及相关法律规定告知各债权人，请债权人如实申报。</w:t>
      </w:r>
    </w:p>
    <w:p>
      <w:pPr>
        <w:spacing w:line="480" w:lineRule="exact"/>
        <w:ind w:firstLine="600" w:firstLineChars="200"/>
        <w:jc w:val="right"/>
        <w:rPr>
          <w:rFonts w:ascii="仿宋" w:hAnsi="仿宋" w:eastAsia="仿宋" w:cs="仿宋"/>
          <w:bCs/>
          <w:sz w:val="30"/>
          <w:szCs w:val="30"/>
        </w:rPr>
      </w:pPr>
      <w:r>
        <w:rPr>
          <w:rFonts w:hint="eastAsia" w:ascii="仿宋" w:hAnsi="仿宋" w:eastAsia="仿宋" w:cs="仿宋"/>
          <w:bCs/>
          <w:sz w:val="30"/>
          <w:szCs w:val="30"/>
          <w:lang w:eastAsia="zh-CN"/>
        </w:rPr>
        <w:t>河北安铭梁新能源发电有限公司</w:t>
      </w:r>
      <w:r>
        <w:rPr>
          <w:rFonts w:hint="eastAsia" w:ascii="仿宋" w:hAnsi="仿宋" w:eastAsia="仿宋" w:cs="仿宋"/>
          <w:bCs/>
          <w:sz w:val="30"/>
          <w:szCs w:val="30"/>
        </w:rPr>
        <w:t>管理人</w:t>
      </w:r>
    </w:p>
    <w:p>
      <w:pPr>
        <w:spacing w:line="480" w:lineRule="exact"/>
        <w:rPr>
          <w:rFonts w:ascii="仿宋" w:hAnsi="仿宋" w:eastAsia="仿宋" w:cs="仿宋"/>
          <w:bCs/>
          <w:sz w:val="30"/>
          <w:szCs w:val="30"/>
          <w:u w:val="single"/>
        </w:rPr>
      </w:pPr>
      <w:r>
        <w:rPr>
          <w:rFonts w:hint="eastAsia" w:ascii="仿宋" w:hAnsi="仿宋" w:eastAsia="仿宋" w:cs="仿宋"/>
          <w:bCs/>
          <w:sz w:val="30"/>
          <w:szCs w:val="30"/>
          <w:u w:val="single"/>
        </w:rPr>
        <w:t xml:space="preserve">                                                  </w:t>
      </w:r>
      <w:r>
        <w:rPr>
          <w:rFonts w:hint="eastAsia" w:ascii="仿宋" w:hAnsi="仿宋" w:eastAsia="仿宋" w:cs="仿宋"/>
          <w:bCs/>
          <w:sz w:val="30"/>
          <w:szCs w:val="30"/>
          <w:u w:val="single"/>
          <w:lang w:val="en-US" w:eastAsia="zh-CN"/>
        </w:rPr>
        <w:t xml:space="preserve">      </w:t>
      </w:r>
      <w:r>
        <w:rPr>
          <w:rFonts w:hint="eastAsia" w:ascii="仿宋" w:hAnsi="仿宋" w:eastAsia="仿宋" w:cs="仿宋"/>
          <w:bCs/>
          <w:sz w:val="30"/>
          <w:szCs w:val="30"/>
          <w:u w:val="single"/>
        </w:rPr>
        <w:t xml:space="preserve">     </w:t>
      </w:r>
    </w:p>
    <w:p>
      <w:pPr>
        <w:spacing w:before="156" w:beforeLines="50" w:after="156" w:afterLines="50" w:line="480" w:lineRule="exact"/>
        <w:jc w:val="center"/>
        <w:rPr>
          <w:rFonts w:ascii="华文中宋" w:hAnsi="华文中宋" w:eastAsia="华文中宋" w:cs="华文中宋"/>
          <w:b/>
          <w:sz w:val="40"/>
          <w:szCs w:val="40"/>
        </w:rPr>
      </w:pPr>
      <w:r>
        <w:rPr>
          <w:rFonts w:hint="eastAsia" w:ascii="华文中宋" w:hAnsi="华文中宋" w:eastAsia="华文中宋" w:cs="华文中宋"/>
          <w:b/>
          <w:sz w:val="36"/>
          <w:szCs w:val="36"/>
        </w:rPr>
        <w:t>承 诺 书</w:t>
      </w:r>
    </w:p>
    <w:p>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已认真阅读上述风险告知书，知悉提供的证据材料不足以证实自己主张或虚假申报债权的法律后果。</w:t>
      </w:r>
    </w:p>
    <w:p>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确认所申报的债权不存在伪造证据、虚假陈述、捏造事实进行虚假申报的情形。</w:t>
      </w:r>
    </w:p>
    <w:p>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如有违反，</w:t>
      </w:r>
      <w:r>
        <w:rPr>
          <w:rFonts w:hint="eastAsia" w:ascii="仿宋" w:hAnsi="仿宋" w:eastAsia="仿宋" w:cs="仿宋"/>
          <w:bCs/>
          <w:sz w:val="30"/>
          <w:szCs w:val="30"/>
        </w:rPr>
        <w:t>债权人</w:t>
      </w:r>
      <w:r>
        <w:rPr>
          <w:rFonts w:hint="eastAsia" w:ascii="仿宋" w:hAnsi="仿宋" w:eastAsia="仿宋" w:cs="仿宋"/>
          <w:sz w:val="30"/>
          <w:szCs w:val="30"/>
        </w:rPr>
        <w:t>自愿承担由此产生的法律责任。</w:t>
      </w:r>
    </w:p>
    <w:p>
      <w:pPr>
        <w:spacing w:line="480" w:lineRule="exact"/>
        <w:ind w:firstLine="600" w:firstLineChars="200"/>
        <w:jc w:val="both"/>
      </w:pPr>
      <w:r>
        <w:rPr>
          <w:rFonts w:hint="eastAsia" w:ascii="仿宋" w:hAnsi="仿宋" w:eastAsia="仿宋" w:cs="仿宋"/>
          <w:sz w:val="30"/>
          <w:szCs w:val="30"/>
        </w:rPr>
        <w:t>承诺人</w:t>
      </w:r>
      <w:r>
        <w:rPr>
          <w:rFonts w:hint="eastAsia" w:ascii="仿宋" w:hAnsi="仿宋" w:eastAsia="仿宋" w:cs="仿宋"/>
          <w:sz w:val="30"/>
          <w:szCs w:val="30"/>
          <w:lang w:val="en-US" w:eastAsia="zh-CN"/>
        </w:rPr>
        <w:t>/</w:t>
      </w:r>
      <w:r>
        <w:rPr>
          <w:rFonts w:hint="eastAsia" w:ascii="仿宋" w:hAnsi="仿宋" w:eastAsia="仿宋" w:cs="仿宋"/>
          <w:bCs/>
          <w:sz w:val="30"/>
          <w:szCs w:val="30"/>
        </w:rPr>
        <w:t>债权人</w:t>
      </w:r>
      <w:r>
        <w:rPr>
          <w:rFonts w:hint="eastAsia" w:ascii="仿宋" w:hAnsi="仿宋" w:eastAsia="仿宋" w:cs="仿宋"/>
          <w:bCs/>
          <w:sz w:val="30"/>
          <w:szCs w:val="30"/>
          <w:lang w:eastAsia="zh-CN"/>
        </w:rPr>
        <w:t>（</w:t>
      </w:r>
      <w:r>
        <w:rPr>
          <w:rFonts w:hint="eastAsia" w:ascii="仿宋" w:hAnsi="仿宋" w:eastAsia="仿宋" w:cs="仿宋"/>
          <w:bCs/>
          <w:sz w:val="30"/>
          <w:szCs w:val="30"/>
          <w:lang w:val="en-US" w:eastAsia="zh-CN"/>
        </w:rPr>
        <w:t>签章/捺印</w:t>
      </w:r>
      <w:r>
        <w:rPr>
          <w:rFonts w:hint="eastAsia" w:ascii="仿宋" w:hAnsi="仿宋" w:eastAsia="仿宋" w:cs="仿宋"/>
          <w:bCs/>
          <w:sz w:val="30"/>
          <w:szCs w:val="30"/>
          <w:lang w:eastAsia="zh-CN"/>
        </w:rPr>
        <w:t>）</w:t>
      </w:r>
      <w:r>
        <w:rPr>
          <w:rFonts w:hint="eastAsia" w:ascii="仿宋" w:hAnsi="仿宋" w:eastAsia="仿宋" w:cs="仿宋"/>
          <w:sz w:val="30"/>
          <w:szCs w:val="30"/>
        </w:rPr>
        <w:t xml:space="preserve">：  </w:t>
      </w:r>
      <w:r>
        <w:rPr>
          <w:rFonts w:hint="eastAsia" w:ascii="仿宋" w:hAnsi="仿宋" w:eastAsia="仿宋" w:cs="仿宋"/>
          <w:bCs/>
          <w:sz w:val="30"/>
          <w:szCs w:val="30"/>
        </w:rPr>
        <w:t xml:space="preserve">             年   月   日</w:t>
      </w:r>
    </w:p>
    <w:p>
      <w:pPr>
        <w:rPr>
          <w:rFonts w:hint="default"/>
          <w:lang w:val="en-US" w:eastAsia="zh-CN"/>
        </w:rPr>
      </w:pPr>
    </w:p>
    <w:sectPr>
      <w:footerReference r:id="rId3" w:type="default"/>
      <w:pgSz w:w="11906" w:h="16838"/>
      <w:pgMar w:top="1361" w:right="1417" w:bottom="1361" w:left="1417" w:header="720" w:footer="121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0E34873-698E-458F-BA91-C473971614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embedRegular r:id="rId2" w:fontKey="{8C63BD86-17AB-4A4B-9AFB-1C96FA52AB91}"/>
  </w:font>
  <w:font w:name="仿宋">
    <w:panose1 w:val="02010609060101010101"/>
    <w:charset w:val="86"/>
    <w:family w:val="modern"/>
    <w:pitch w:val="default"/>
    <w:sig w:usb0="800002BF" w:usb1="38CF7CFA" w:usb2="00000016" w:usb3="00000000" w:csb0="00040001" w:csb1="00000000"/>
    <w:embedRegular r:id="rId3" w:fontKey="{42CE075F-2E8B-4AD3-A666-1EE64E77C3B4}"/>
  </w:font>
  <w:font w:name="Tahoma">
    <w:panose1 w:val="020B0604030504040204"/>
    <w:charset w:val="00"/>
    <w:family w:val="auto"/>
    <w:pitch w:val="default"/>
    <w:sig w:usb0="E1002EFF" w:usb1="C000605B" w:usb2="00000029" w:usb3="00000000" w:csb0="200101FF" w:csb1="20280000"/>
    <w:embedRegular r:id="rId4" w:fontKey="{1D30A82E-2153-4BB2-8289-64D0190C11AF}"/>
  </w:font>
  <w:font w:name="等线 Light">
    <w:panose1 w:val="02010600030101010101"/>
    <w:charset w:val="86"/>
    <w:family w:val="auto"/>
    <w:pitch w:val="default"/>
    <w:sig w:usb0="A00002BF" w:usb1="38CF7CFA" w:usb2="00000016" w:usb3="00000000" w:csb0="0004000F" w:csb1="00000000"/>
    <w:embedRegular r:id="rId5" w:fontKey="{73B20E84-43EE-45DA-9953-56A64D702E13}"/>
  </w:font>
  <w:font w:name="华文中宋">
    <w:panose1 w:val="02010600040101010101"/>
    <w:charset w:val="86"/>
    <w:family w:val="auto"/>
    <w:pitch w:val="default"/>
    <w:sig w:usb0="00000287" w:usb1="080F0000" w:usb2="00000000" w:usb3="00000000" w:csb0="0004009F" w:csb1="DFD70000"/>
    <w:embedRegular r:id="rId6" w:fontKey="{5307AE18-67AF-4ECA-B7C7-883207F32B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pPr>
                            <w:pStyle w:val="3"/>
                          </w:pPr>
                          <w:r>
                            <w:t xml:space="preserve">— </w:t>
                          </w:r>
                          <w:r>
                            <w:fldChar w:fldCharType="begin"/>
                          </w:r>
                          <w:r>
                            <w:instrText xml:space="preserve"> PAGE  \* MERGEFORMAT </w:instrText>
                          </w:r>
                          <w:r>
                            <w:fldChar w:fldCharType="separate"/>
                          </w:r>
                          <w:r>
                            <w:t>一</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vbGRr0QAAAAIBAAAPAAAAAAAAAAEAIAAAACIAAABkcnMvZG93bnJldi54bWxQSwECFAAUAAAA&#10;CACHTuJA4oSfyi4CAABSBAAADgAAAAAAAAABACAAAAAgAQAAZHJzL2Uyb0RvYy54bWxQSwUGAAAA&#10;AAYABgBZAQAAwA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一</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F72842"/>
    <w:multiLevelType w:val="multilevel"/>
    <w:tmpl w:val="22F72842"/>
    <w:lvl w:ilvl="0" w:tentative="0">
      <w:start w:val="1"/>
      <w:numFmt w:val="decimal"/>
      <w:suff w:val="nothing"/>
      <w:lvlText w:val="%1、"/>
      <w:lvlJc w:val="left"/>
      <w:pPr>
        <w:ind w:left="1211" w:hanging="360"/>
      </w:pPr>
      <w:rPr>
        <w:rFonts w:hint="default"/>
        <w:sz w:val="21"/>
        <w:szCs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xNTQ1YWMyZTU2ZmRhN2I1ZDk1NzIzN2I4M2Q0OGMifQ=="/>
  </w:docVars>
  <w:rsids>
    <w:rsidRoot w:val="03F979CE"/>
    <w:rsid w:val="001B3A9A"/>
    <w:rsid w:val="0039734C"/>
    <w:rsid w:val="004B6B78"/>
    <w:rsid w:val="004C4C10"/>
    <w:rsid w:val="00522008"/>
    <w:rsid w:val="00611D67"/>
    <w:rsid w:val="006C3584"/>
    <w:rsid w:val="006C40ED"/>
    <w:rsid w:val="007457D5"/>
    <w:rsid w:val="00752EC8"/>
    <w:rsid w:val="007F1968"/>
    <w:rsid w:val="00803336"/>
    <w:rsid w:val="00895879"/>
    <w:rsid w:val="0092569E"/>
    <w:rsid w:val="00A948EF"/>
    <w:rsid w:val="00B40E95"/>
    <w:rsid w:val="00BE35A2"/>
    <w:rsid w:val="00D328D9"/>
    <w:rsid w:val="00D33F5C"/>
    <w:rsid w:val="00D63754"/>
    <w:rsid w:val="00E30AB7"/>
    <w:rsid w:val="00E43CAC"/>
    <w:rsid w:val="00F239F6"/>
    <w:rsid w:val="00F64020"/>
    <w:rsid w:val="02254BCC"/>
    <w:rsid w:val="03A21934"/>
    <w:rsid w:val="03F979CE"/>
    <w:rsid w:val="05F96EDD"/>
    <w:rsid w:val="07393572"/>
    <w:rsid w:val="0A057B21"/>
    <w:rsid w:val="0A9F325B"/>
    <w:rsid w:val="0C997C77"/>
    <w:rsid w:val="1061514B"/>
    <w:rsid w:val="1302704F"/>
    <w:rsid w:val="130A23C8"/>
    <w:rsid w:val="139A5E19"/>
    <w:rsid w:val="13B929D1"/>
    <w:rsid w:val="14FA2947"/>
    <w:rsid w:val="171E064B"/>
    <w:rsid w:val="18797029"/>
    <w:rsid w:val="19575C3B"/>
    <w:rsid w:val="1DE64B57"/>
    <w:rsid w:val="1F0E2D99"/>
    <w:rsid w:val="215D7132"/>
    <w:rsid w:val="21CE063A"/>
    <w:rsid w:val="239667BE"/>
    <w:rsid w:val="25380BB3"/>
    <w:rsid w:val="283D2051"/>
    <w:rsid w:val="29411D50"/>
    <w:rsid w:val="29CF0D72"/>
    <w:rsid w:val="2AFF0E86"/>
    <w:rsid w:val="2B3B6F75"/>
    <w:rsid w:val="2E87145B"/>
    <w:rsid w:val="301600C2"/>
    <w:rsid w:val="308770A5"/>
    <w:rsid w:val="33344FD6"/>
    <w:rsid w:val="366C28EB"/>
    <w:rsid w:val="3CD23409"/>
    <w:rsid w:val="3CE76B92"/>
    <w:rsid w:val="3DEC0CD5"/>
    <w:rsid w:val="3E4D469A"/>
    <w:rsid w:val="3F6D64AF"/>
    <w:rsid w:val="3F9B5FD2"/>
    <w:rsid w:val="41BA426D"/>
    <w:rsid w:val="42D13EED"/>
    <w:rsid w:val="43580158"/>
    <w:rsid w:val="43CD2630"/>
    <w:rsid w:val="450C1296"/>
    <w:rsid w:val="458D2861"/>
    <w:rsid w:val="45A557ED"/>
    <w:rsid w:val="471F05CB"/>
    <w:rsid w:val="4C643DD2"/>
    <w:rsid w:val="4CB50052"/>
    <w:rsid w:val="4DF83C48"/>
    <w:rsid w:val="4FCE2A1A"/>
    <w:rsid w:val="52602A93"/>
    <w:rsid w:val="537F48ED"/>
    <w:rsid w:val="555A03F2"/>
    <w:rsid w:val="55B95E27"/>
    <w:rsid w:val="55D20242"/>
    <w:rsid w:val="59110352"/>
    <w:rsid w:val="59C53F20"/>
    <w:rsid w:val="5A352CE5"/>
    <w:rsid w:val="5AF82FC0"/>
    <w:rsid w:val="5CEA5F48"/>
    <w:rsid w:val="5EE20FA1"/>
    <w:rsid w:val="5F2D7AFC"/>
    <w:rsid w:val="5FC55AFA"/>
    <w:rsid w:val="61140831"/>
    <w:rsid w:val="61CF12F7"/>
    <w:rsid w:val="62895796"/>
    <w:rsid w:val="62F04607"/>
    <w:rsid w:val="6337931F"/>
    <w:rsid w:val="63E336FA"/>
    <w:rsid w:val="681C0FC4"/>
    <w:rsid w:val="69CF0199"/>
    <w:rsid w:val="6C391846"/>
    <w:rsid w:val="6D140EBA"/>
    <w:rsid w:val="70B77744"/>
    <w:rsid w:val="70C60E13"/>
    <w:rsid w:val="714561D8"/>
    <w:rsid w:val="74A0166F"/>
    <w:rsid w:val="756F5637"/>
    <w:rsid w:val="75A51E48"/>
    <w:rsid w:val="75DE488F"/>
    <w:rsid w:val="775E550A"/>
    <w:rsid w:val="77DE5AC0"/>
    <w:rsid w:val="781C6FB7"/>
    <w:rsid w:val="78454251"/>
    <w:rsid w:val="784D6F0D"/>
    <w:rsid w:val="7A385DB4"/>
    <w:rsid w:val="7B782FDA"/>
    <w:rsid w:val="7C552F97"/>
    <w:rsid w:val="7CA4448C"/>
    <w:rsid w:val="7D536FF6"/>
    <w:rsid w:val="7D75AA38"/>
    <w:rsid w:val="7F7B6762"/>
    <w:rsid w:val="7FB34D18"/>
    <w:rsid w:val="AEEFB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0"/>
    <w:autoRedefine/>
    <w:qFormat/>
    <w:uiPriority w:val="0"/>
    <w:pPr>
      <w:keepNext/>
      <w:keepLines/>
      <w:widowControl/>
      <w:spacing w:line="242" w:lineRule="auto"/>
      <w:ind w:left="3068" w:hanging="2350"/>
      <w:jc w:val="left"/>
      <w:outlineLvl w:val="0"/>
    </w:pPr>
    <w:rPr>
      <w:rFonts w:hint="eastAsia" w:ascii="宋体" w:hAnsi="宋体"/>
      <w:color w:val="000000"/>
      <w:sz w:val="36"/>
      <w:szCs w:val="2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link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1 字符"/>
    <w:basedOn w:val="8"/>
    <w:link w:val="2"/>
    <w:autoRedefine/>
    <w:qFormat/>
    <w:uiPriority w:val="0"/>
    <w:rPr>
      <w:rFonts w:hint="eastAsia" w:ascii="宋体" w:hAnsi="宋体" w:eastAsia="宋体" w:cs="宋体"/>
      <w:color w:val="000000"/>
      <w:sz w:val="36"/>
    </w:rPr>
  </w:style>
  <w:style w:type="table" w:customStyle="1" w:styleId="11">
    <w:name w:val="TableGrid"/>
    <w:basedOn w:val="6"/>
    <w:qFormat/>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0" w:type="dxa"/>
        <w:bottom w:w="0" w:type="dxa"/>
        <w:right w:w="0" w:type="dxa"/>
      </w:tblCellMar>
    </w:tblPr>
  </w:style>
  <w:style w:type="paragraph" w:customStyle="1" w:styleId="12">
    <w:name w:val="列表段落1"/>
    <w:basedOn w:val="1"/>
    <w:autoRedefine/>
    <w:qFormat/>
    <w:uiPriority w:val="34"/>
    <w:pPr>
      <w:ind w:firstLine="420" w:firstLineChars="200"/>
    </w:pPr>
    <w:rPr>
      <w:rFonts w:asciiTheme="minorHAnsi" w:hAnsiTheme="minorHAnsi" w:eastAsiaTheme="minorEastAsia" w:cstheme="minorBidi"/>
      <w:szCs w:val="22"/>
    </w:rPr>
  </w:style>
  <w:style w:type="character" w:customStyle="1" w:styleId="13">
    <w:name w:val="页眉 字符"/>
    <w:basedOn w:val="8"/>
    <w:link w:val="4"/>
    <w:autoRedefine/>
    <w:qFormat/>
    <w:uiPriority w:val="0"/>
    <w:rPr>
      <w:rFonts w:asciiTheme="minorHAnsi" w:hAnsiTheme="minorHAnsi" w:eastAsiaTheme="minorEastAsia" w:cstheme="minorBidi"/>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6077</Words>
  <Characters>6241</Characters>
  <Lines>14</Lines>
  <Paragraphs>4</Paragraphs>
  <TotalTime>0</TotalTime>
  <ScaleCrop>false</ScaleCrop>
  <LinksUpToDate>false</LinksUpToDate>
  <CharactersWithSpaces>7398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2023-01-11T09:35:00Z</dcterms:created>
  <dc:creator>jiangyucheng</dc:creator>
  <cp:lastModifiedBy>武黎星</cp:lastModifiedBy>
  <cp:lastPrinted>2023-08-27T07:17:00Z</cp:lastPrinted>
  <dcterms:modified xsi:type="dcterms:W3CDTF">2024-06-28T14:28:51Z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794D4C139C3446189B93EF4BACDC6A45_13</vt:lpwstr>
  </property>
</Properties>
</file>