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52"/>
          <w:szCs w:val="52"/>
        </w:rPr>
      </w:pPr>
      <w:bookmarkStart w:id="0" w:name="_GoBack"/>
      <w:bookmarkEnd w:id="0"/>
      <w:r>
        <w:rPr>
          <w:rFonts w:hint="eastAsia" w:ascii="宋体" w:hAnsi="宋体" w:eastAsia="宋体" w:cs="宋体"/>
          <w:sz w:val="52"/>
          <w:szCs w:val="52"/>
        </w:rPr>
        <w:t>通知书</w:t>
      </w:r>
    </w:p>
    <w:p>
      <w:pPr>
        <w:numPr>
          <w:ilvl w:val="0"/>
          <w:numId w:val="1"/>
        </w:num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福田塑胶破管字第0608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邢台福田塑胶制品有限公司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邢台市中级人民法院根据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河北巨鹿农村商业银行股份有限公司</w:t>
      </w:r>
      <w:r>
        <w:rPr>
          <w:rFonts w:hint="eastAsia" w:ascii="仿宋" w:hAnsi="仿宋" w:eastAsia="仿宋" w:cs="仿宋"/>
          <w:sz w:val="32"/>
          <w:szCs w:val="32"/>
        </w:rPr>
        <w:t>的申请，于2024年4月1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日裁定受理邢台福田塑胶制品有限公司破产清算一案，经报请河北省高级人民法院批准，作出(2024)冀05破申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61</w:t>
      </w:r>
      <w:r>
        <w:rPr>
          <w:rFonts w:hint="eastAsia" w:ascii="仿宋" w:hAnsi="仿宋" w:eastAsia="仿宋" w:cs="仿宋"/>
          <w:sz w:val="32"/>
          <w:szCs w:val="32"/>
        </w:rPr>
        <w:t>号之一民事裁定书，指令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本案</w:t>
      </w:r>
      <w:r>
        <w:rPr>
          <w:rFonts w:hint="eastAsia" w:ascii="仿宋" w:hAnsi="仿宋" w:eastAsia="仿宋" w:cs="仿宋"/>
          <w:sz w:val="32"/>
          <w:szCs w:val="32"/>
        </w:rPr>
        <w:t>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巨鹿县人民法院</w:t>
      </w:r>
      <w:r>
        <w:rPr>
          <w:rFonts w:hint="eastAsia" w:ascii="仿宋" w:hAnsi="仿宋" w:eastAsia="仿宋" w:cs="仿宋"/>
          <w:sz w:val="32"/>
          <w:szCs w:val="32"/>
        </w:rPr>
        <w:t>审理。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巨鹿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县人民法院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经公开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选聘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，指定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河北国途律师事务所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邢台福田塑胶制品有限公司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管理人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根据《中华人民共和国破产企业法》第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二十五条之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规定，</w:t>
      </w:r>
      <w:r>
        <w:rPr>
          <w:rFonts w:hint="eastAsia" w:ascii="仿宋" w:hAnsi="仿宋" w:eastAsia="仿宋" w:cs="仿宋"/>
          <w:sz w:val="32"/>
          <w:szCs w:val="32"/>
        </w:rPr>
        <w:t>你单位应在收到本通知之日起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日内，向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管理人移交财产、印章和账簿、文书等资料</w:t>
      </w:r>
      <w:r>
        <w:rPr>
          <w:rFonts w:hint="eastAsia" w:ascii="仿宋" w:hAnsi="仿宋" w:eastAsia="仿宋" w:cs="仿宋"/>
          <w:sz w:val="32"/>
          <w:szCs w:val="32"/>
        </w:rPr>
        <w:t>。如拒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移交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的，或者伪造、销毁有关财产证据材料而使财产状况不明的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法院有权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依据《中华人民共和国破产企业法》第一百二十七条第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款规定，对直接责任人员处以罚款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特此通知。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3200" w:firstLineChars="10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邢台福田塑胶制品有限公司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管理人</w:t>
      </w:r>
    </w:p>
    <w:p>
      <w:pPr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二〇二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四年六月七日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92AA05"/>
    <w:multiLevelType w:val="singleLevel"/>
    <w:tmpl w:val="D792AA05"/>
    <w:lvl w:ilvl="0" w:tentative="0">
      <w:start w:val="2024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kZGJmNjIyMzI2MWY0YjU1MjMwNDAwNjIzMzMwYjMifQ=="/>
  </w:docVars>
  <w:rsids>
    <w:rsidRoot w:val="DD55617A"/>
    <w:rsid w:val="00366FAE"/>
    <w:rsid w:val="375E7336"/>
    <w:rsid w:val="559520F4"/>
    <w:rsid w:val="5F7523E8"/>
    <w:rsid w:val="77BFF286"/>
    <w:rsid w:val="7C775DA2"/>
    <w:rsid w:val="DD55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358</Characters>
  <Lines>0</Lines>
  <Paragraphs>0</Paragraphs>
  <TotalTime>0</TotalTime>
  <ScaleCrop>false</ScaleCrop>
  <LinksUpToDate>false</LinksUpToDate>
  <CharactersWithSpaces>358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2024-05-23T20:40:00Z</dcterms:created>
  <dc:creator>闫聚超</dc:creator>
  <cp:lastModifiedBy>闫聚超</cp:lastModifiedBy>
  <dcterms:modified xsi:type="dcterms:W3CDTF">2024-06-07T12:34:04Z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53B182A4ECE7409B871D36D2E0ADD756_13</vt:lpwstr>
  </property>
</Properties>
</file>